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line="220" w:lineRule="auto"/>
        <w:jc w:val="center"/>
        <w:outlineLvl w:val="0"/>
        <w:rPr>
          <w:sz w:val="28"/>
          <w:szCs w:val="28"/>
        </w:rPr>
      </w:pPr>
      <w:r>
        <w:rPr>
          <w:rFonts w:hint="eastAsia"/>
          <w:b/>
          <w:bCs/>
          <w:spacing w:val="-4"/>
          <w:sz w:val="28"/>
          <w:szCs w:val="28"/>
          <w:lang w:eastAsia="zh-CN"/>
        </w:rPr>
        <w:t>枣庄市峄城区</w:t>
      </w:r>
      <w:r>
        <w:rPr>
          <w:b/>
          <w:bCs/>
          <w:spacing w:val="-4"/>
          <w:sz w:val="28"/>
          <w:szCs w:val="28"/>
        </w:rPr>
        <w:t>车用柴油产品质量监督抽查实施细则</w:t>
      </w:r>
    </w:p>
    <w:p>
      <w:pPr>
        <w:pStyle w:val="2"/>
        <w:spacing w:before="200" w:line="228" w:lineRule="auto"/>
        <w:ind w:left="37"/>
        <w:outlineLvl w:val="1"/>
        <w:rPr>
          <w:b/>
          <w:bCs/>
          <w:spacing w:val="-5"/>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363" w:lineRule="auto"/>
        <w:ind w:right="0"/>
        <w:textAlignment w:val="baseline"/>
        <w:rPr>
          <w:b/>
          <w:bCs/>
          <w:spacing w:val="9"/>
        </w:rPr>
      </w:pPr>
      <w:r>
        <w:rPr>
          <w:b/>
          <w:bCs/>
          <w:spacing w:val="9"/>
        </w:rPr>
        <w:t>1 抽样</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right="0"/>
        <w:textAlignment w:val="baseline"/>
        <w:rPr>
          <w:spacing w:val="9"/>
        </w:rPr>
      </w:pPr>
      <w:r>
        <w:rPr>
          <w:spacing w:val="9"/>
        </w:rPr>
        <w:t>1.1 抽样方法</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left="28" w:right="0" w:firstLine="420"/>
        <w:textAlignment w:val="baseline"/>
        <w:rPr>
          <w:spacing w:val="9"/>
        </w:rPr>
      </w:pPr>
      <w:r>
        <w:rPr>
          <w:spacing w:val="9"/>
        </w:rPr>
        <w:t>以随机抽样的方式在被抽样生产者、销售者的待销产品中抽取。 随机数一般可使用随机数表等方法产生。</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left="28" w:right="0" w:firstLine="420"/>
        <w:textAlignment w:val="baseline"/>
        <w:rPr>
          <w:spacing w:val="9"/>
        </w:rPr>
      </w:pPr>
      <w:r>
        <w:rPr>
          <w:spacing w:val="9"/>
        </w:rPr>
        <w:t xml:space="preserve">流通领域:按 GB/T4756 方法从企业待销罐或加油机加油枪抽取样品。 </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right="0"/>
        <w:textAlignment w:val="baseline"/>
        <w:rPr>
          <w:spacing w:val="9"/>
        </w:rPr>
      </w:pPr>
      <w:r>
        <w:rPr>
          <w:spacing w:val="9"/>
        </w:rPr>
        <w:t>1.2 抽样基数</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left="28" w:right="0" w:firstLine="420"/>
        <w:textAlignment w:val="baseline"/>
        <w:rPr>
          <w:spacing w:val="9"/>
        </w:rPr>
      </w:pPr>
      <w:r>
        <w:rPr>
          <w:spacing w:val="9"/>
        </w:rPr>
        <w:t>抽查样品基数满足抽样数量即可。</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right="0"/>
        <w:textAlignment w:val="baseline"/>
        <w:rPr>
          <w:spacing w:val="9"/>
        </w:rPr>
      </w:pPr>
      <w:r>
        <w:rPr>
          <w:spacing w:val="9"/>
        </w:rPr>
        <w:t>1.3 抽样数量</w:t>
      </w:r>
    </w:p>
    <w:p>
      <w:pPr>
        <w:pStyle w:val="2"/>
        <w:keepNext w:val="0"/>
        <w:keepLines w:val="0"/>
        <w:pageBreakBefore w:val="0"/>
        <w:widowControl/>
        <w:kinsoku w:val="0"/>
        <w:wordWrap/>
        <w:overflowPunct/>
        <w:topLinePunct w:val="0"/>
        <w:autoSpaceDE w:val="0"/>
        <w:autoSpaceDN w:val="0"/>
        <w:bidi w:val="0"/>
        <w:adjustRightInd w:val="0"/>
        <w:snapToGrid w:val="0"/>
        <w:spacing w:before="100" w:line="363" w:lineRule="auto"/>
        <w:ind w:left="28" w:right="0" w:firstLine="420"/>
        <w:textAlignment w:val="baseline"/>
        <w:rPr>
          <w:spacing w:val="9"/>
        </w:rPr>
      </w:pPr>
      <w:r>
        <w:rPr>
          <w:spacing w:val="9"/>
        </w:rPr>
        <w:t>每批次产品抽取不少于</w:t>
      </w:r>
      <w:r>
        <w:rPr>
          <w:rFonts w:hint="eastAsia"/>
          <w:spacing w:val="9"/>
          <w:lang w:val="en-US" w:eastAsia="zh-CN"/>
        </w:rPr>
        <w:t>4</w:t>
      </w:r>
      <w:r>
        <w:rPr>
          <w:spacing w:val="9"/>
        </w:rPr>
        <w:t xml:space="preserve">L 样品，其中检验样品 </w:t>
      </w:r>
      <w:r>
        <w:rPr>
          <w:rFonts w:hint="eastAsia"/>
          <w:spacing w:val="9"/>
          <w:lang w:val="en-US" w:eastAsia="zh-CN"/>
        </w:rPr>
        <w:t>2</w:t>
      </w:r>
      <w:r>
        <w:rPr>
          <w:spacing w:val="9"/>
        </w:rPr>
        <w:t>L，备用样品 2L，盛装在合适的容器中。</w:t>
      </w:r>
    </w:p>
    <w:p>
      <w:pPr>
        <w:pStyle w:val="2"/>
        <w:keepNext w:val="0"/>
        <w:keepLines w:val="0"/>
        <w:pageBreakBefore w:val="0"/>
        <w:widowControl/>
        <w:kinsoku w:val="0"/>
        <w:wordWrap/>
        <w:overflowPunct w:val="0"/>
        <w:topLinePunct w:val="0"/>
        <w:autoSpaceDE w:val="0"/>
        <w:autoSpaceDN w:val="0"/>
        <w:bidi w:val="0"/>
        <w:adjustRightInd w:val="0"/>
        <w:snapToGrid w:val="0"/>
        <w:spacing w:before="33" w:line="228" w:lineRule="auto"/>
        <w:ind w:left="24"/>
        <w:textAlignment w:val="baseline"/>
        <w:outlineLvl w:val="1"/>
      </w:pPr>
      <w:r>
        <w:rPr>
          <w:b/>
          <w:bCs/>
          <w:spacing w:val="6"/>
        </w:rPr>
        <w:t>2</w:t>
      </w:r>
      <w:r>
        <w:rPr>
          <w:spacing w:val="6"/>
        </w:rPr>
        <w:t xml:space="preserve"> </w:t>
      </w:r>
      <w:r>
        <w:rPr>
          <w:b/>
          <w:bCs/>
          <w:spacing w:val="6"/>
        </w:rPr>
        <w:t>检验项目及检测方法</w:t>
      </w:r>
    </w:p>
    <w:p>
      <w:pPr>
        <w:spacing w:line="250" w:lineRule="auto"/>
        <w:rPr>
          <w:rFonts w:ascii="Arial"/>
          <w:sz w:val="21"/>
        </w:rPr>
      </w:pPr>
    </w:p>
    <w:p>
      <w:pPr>
        <w:pStyle w:val="2"/>
        <w:spacing w:before="65" w:line="228" w:lineRule="auto"/>
        <w:ind w:left="3119"/>
        <w:rPr>
          <w:b/>
          <w:bCs/>
          <w:spacing w:val="4"/>
        </w:rPr>
      </w:pPr>
      <w:r>
        <w:rPr>
          <w:b/>
          <w:bCs/>
          <w:spacing w:val="4"/>
        </w:rPr>
        <w:t>表</w:t>
      </w:r>
      <w:r>
        <w:rPr>
          <w:spacing w:val="-18"/>
        </w:rPr>
        <w:t xml:space="preserve"> </w:t>
      </w:r>
      <w:r>
        <w:rPr>
          <w:b/>
          <w:bCs/>
          <w:spacing w:val="4"/>
        </w:rPr>
        <w:t>1</w:t>
      </w:r>
      <w:r>
        <w:rPr>
          <w:spacing w:val="-37"/>
        </w:rPr>
        <w:t xml:space="preserve"> </w:t>
      </w:r>
      <w:r>
        <w:rPr>
          <w:b/>
          <w:bCs/>
          <w:spacing w:val="4"/>
        </w:rPr>
        <w:t>车用柴油产品检验项目</w:t>
      </w:r>
    </w:p>
    <w:p>
      <w:pPr>
        <w:pStyle w:val="2"/>
        <w:spacing w:before="65" w:line="228" w:lineRule="auto"/>
        <w:ind w:left="3119"/>
        <w:rPr>
          <w:b/>
          <w:bCs/>
          <w:spacing w:val="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8"/>
              <w:widowControl w:val="0"/>
              <w:spacing w:before="65" w:line="229" w:lineRule="auto"/>
              <w:jc w:val="center"/>
              <w:rPr>
                <w:b/>
                <w:bCs/>
                <w:spacing w:val="4"/>
                <w:vertAlign w:val="baseline"/>
              </w:rPr>
            </w:pPr>
            <w:r>
              <w:rPr>
                <w:spacing w:val="5"/>
              </w:rPr>
              <w:t>序号</w:t>
            </w:r>
          </w:p>
        </w:tc>
        <w:tc>
          <w:tcPr>
            <w:tcW w:w="3012" w:type="dxa"/>
            <w:vAlign w:val="center"/>
          </w:tcPr>
          <w:p>
            <w:pPr>
              <w:pStyle w:val="8"/>
              <w:widowControl w:val="0"/>
              <w:spacing w:before="65" w:line="228" w:lineRule="auto"/>
              <w:jc w:val="center"/>
              <w:rPr>
                <w:b/>
                <w:bCs/>
                <w:spacing w:val="4"/>
                <w:vertAlign w:val="baseline"/>
              </w:rPr>
            </w:pPr>
            <w:r>
              <w:rPr>
                <w:spacing w:val="7"/>
              </w:rPr>
              <w:t>检验项目</w:t>
            </w:r>
          </w:p>
        </w:tc>
        <w:tc>
          <w:tcPr>
            <w:tcW w:w="2935"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012" w:type="dxa"/>
            <w:vAlign w:val="center"/>
          </w:tcPr>
          <w:p>
            <w:pPr>
              <w:pStyle w:val="8"/>
              <w:widowControl w:val="0"/>
              <w:spacing w:before="65" w:line="228" w:lineRule="auto"/>
              <w:jc w:val="center"/>
              <w:rPr>
                <w:rFonts w:hint="eastAsia"/>
                <w:spacing w:val="7"/>
                <w:lang w:eastAsia="zh-CN"/>
              </w:rPr>
            </w:pPr>
            <w:r>
              <w:rPr>
                <w:rFonts w:hint="eastAsia"/>
                <w:spacing w:val="7"/>
                <w:lang w:eastAsia="zh-CN"/>
              </w:rPr>
              <w:t>硫含量</w:t>
            </w:r>
          </w:p>
        </w:tc>
        <w:tc>
          <w:tcPr>
            <w:tcW w:w="2935" w:type="dxa"/>
            <w:vAlign w:val="center"/>
          </w:tcPr>
          <w:p>
            <w:pPr>
              <w:pStyle w:val="8"/>
              <w:widowControl w:val="0"/>
              <w:spacing w:before="65" w:line="228" w:lineRule="auto"/>
              <w:jc w:val="center"/>
              <w:rPr>
                <w:spacing w:val="7"/>
              </w:rPr>
            </w:pPr>
            <w:r>
              <w:rPr>
                <w:spacing w:val="7"/>
              </w:rPr>
              <w:t xml:space="preserve">GB/T 11140  </w:t>
            </w:r>
          </w:p>
          <w:p>
            <w:pPr>
              <w:pStyle w:val="8"/>
              <w:widowControl w:val="0"/>
              <w:spacing w:before="65" w:line="228" w:lineRule="auto"/>
              <w:jc w:val="center"/>
              <w:rPr>
                <w:spacing w:val="7"/>
              </w:rPr>
            </w:pPr>
            <w:r>
              <w:rPr>
                <w:spacing w:val="7"/>
              </w:rPr>
              <w:t xml:space="preserve">或 SH/T 0689 </w:t>
            </w:r>
          </w:p>
          <w:p>
            <w:pPr>
              <w:pStyle w:val="8"/>
              <w:widowControl w:val="0"/>
              <w:spacing w:before="65" w:line="228" w:lineRule="auto"/>
              <w:jc w:val="center"/>
              <w:rPr>
                <w:spacing w:val="7"/>
              </w:rPr>
            </w:pPr>
            <w:r>
              <w:rPr>
                <w:spacing w:val="7"/>
              </w:rPr>
              <w:t>或 ASTM D7039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012" w:type="dxa"/>
            <w:vAlign w:val="center"/>
          </w:tcPr>
          <w:p>
            <w:pPr>
              <w:pStyle w:val="8"/>
              <w:widowControl w:val="0"/>
              <w:spacing w:before="65" w:line="228" w:lineRule="auto"/>
              <w:jc w:val="center"/>
              <w:rPr>
                <w:spacing w:val="7"/>
              </w:rPr>
            </w:pPr>
            <w:r>
              <w:rPr>
                <w:spacing w:val="7"/>
              </w:rPr>
              <w:t>总污染物含量</w:t>
            </w:r>
          </w:p>
        </w:tc>
        <w:tc>
          <w:tcPr>
            <w:tcW w:w="2935" w:type="dxa"/>
            <w:vAlign w:val="top"/>
          </w:tcPr>
          <w:p>
            <w:pPr>
              <w:pStyle w:val="8"/>
              <w:widowControl w:val="0"/>
              <w:spacing w:before="65" w:line="228" w:lineRule="auto"/>
              <w:jc w:val="center"/>
              <w:rPr>
                <w:rFonts w:hint="default"/>
                <w:spacing w:val="7"/>
                <w:lang w:val="en-US" w:eastAsia="zh-CN"/>
              </w:rPr>
            </w:pPr>
            <w:r>
              <w:rPr>
                <w:color w:val="auto"/>
              </w:rPr>
              <w:t>GB</w:t>
            </w:r>
            <w:r>
              <w:rPr>
                <w:color w:val="auto"/>
                <w:spacing w:val="3"/>
              </w:rPr>
              <w:t>/T</w:t>
            </w:r>
            <w:r>
              <w:rPr>
                <w:color w:val="auto"/>
                <w:spacing w:val="22"/>
              </w:rPr>
              <w:t xml:space="preserve"> </w:t>
            </w:r>
            <w:r>
              <w:rPr>
                <w:color w:val="auto"/>
                <w:spacing w:val="3"/>
              </w:rPr>
              <w:t>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012" w:type="dxa"/>
            <w:vAlign w:val="center"/>
          </w:tcPr>
          <w:p>
            <w:pPr>
              <w:pStyle w:val="8"/>
              <w:widowControl w:val="0"/>
              <w:spacing w:before="65" w:line="228" w:lineRule="auto"/>
              <w:jc w:val="center"/>
              <w:rPr>
                <w:spacing w:val="7"/>
              </w:rPr>
            </w:pPr>
            <w:r>
              <w:rPr>
                <w:spacing w:val="7"/>
              </w:rPr>
              <w:t>凝点</w:t>
            </w:r>
          </w:p>
        </w:tc>
        <w:tc>
          <w:tcPr>
            <w:tcW w:w="2935" w:type="dxa"/>
            <w:vAlign w:val="top"/>
          </w:tcPr>
          <w:p>
            <w:pPr>
              <w:pStyle w:val="8"/>
              <w:widowControl w:val="0"/>
              <w:spacing w:before="65" w:line="228" w:lineRule="auto"/>
              <w:jc w:val="center"/>
              <w:rPr>
                <w:spacing w:val="7"/>
              </w:rPr>
            </w:pPr>
            <w:r>
              <w:rPr>
                <w:spacing w:val="7"/>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012" w:type="dxa"/>
            <w:vAlign w:val="center"/>
          </w:tcPr>
          <w:p>
            <w:pPr>
              <w:pStyle w:val="8"/>
              <w:widowControl w:val="0"/>
              <w:spacing w:before="65" w:line="228" w:lineRule="auto"/>
              <w:jc w:val="center"/>
              <w:rPr>
                <w:spacing w:val="7"/>
              </w:rPr>
            </w:pPr>
            <w:r>
              <w:rPr>
                <w:spacing w:val="7"/>
              </w:rPr>
              <w:t>冷滤点</w:t>
            </w:r>
          </w:p>
        </w:tc>
        <w:tc>
          <w:tcPr>
            <w:tcW w:w="2935" w:type="dxa"/>
            <w:vAlign w:val="top"/>
          </w:tcPr>
          <w:p>
            <w:pPr>
              <w:pStyle w:val="8"/>
              <w:widowControl w:val="0"/>
              <w:spacing w:before="65" w:line="228" w:lineRule="auto"/>
              <w:jc w:val="center"/>
              <w:rPr>
                <w:spacing w:val="7"/>
              </w:rPr>
            </w:pPr>
            <w:r>
              <w:rPr>
                <w:spacing w:val="7"/>
              </w:rPr>
              <w:t>NB/SH/T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012" w:type="dxa"/>
            <w:vAlign w:val="center"/>
          </w:tcPr>
          <w:p>
            <w:pPr>
              <w:pStyle w:val="8"/>
              <w:widowControl w:val="0"/>
              <w:spacing w:before="65" w:line="228" w:lineRule="auto"/>
              <w:jc w:val="center"/>
              <w:rPr>
                <w:spacing w:val="7"/>
              </w:rPr>
            </w:pPr>
            <w:r>
              <w:rPr>
                <w:spacing w:val="7"/>
              </w:rPr>
              <w:t>闪点（闭口）</w:t>
            </w:r>
          </w:p>
        </w:tc>
        <w:tc>
          <w:tcPr>
            <w:tcW w:w="2935" w:type="dxa"/>
            <w:vAlign w:val="top"/>
          </w:tcPr>
          <w:p>
            <w:pPr>
              <w:pStyle w:val="8"/>
              <w:widowControl w:val="0"/>
              <w:spacing w:before="65" w:line="228" w:lineRule="auto"/>
              <w:jc w:val="center"/>
              <w:rPr>
                <w:spacing w:val="7"/>
              </w:rPr>
            </w:pPr>
            <w:r>
              <w:rPr>
                <w:spacing w:val="7"/>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012" w:type="dxa"/>
            <w:vAlign w:val="center"/>
          </w:tcPr>
          <w:p>
            <w:pPr>
              <w:pStyle w:val="8"/>
              <w:widowControl w:val="0"/>
              <w:spacing w:before="65" w:line="228" w:lineRule="auto"/>
              <w:jc w:val="center"/>
              <w:rPr>
                <w:spacing w:val="7"/>
              </w:rPr>
            </w:pPr>
            <w:r>
              <w:rPr>
                <w:spacing w:val="7"/>
              </w:rPr>
              <w:t>十六烷指数</w:t>
            </w:r>
          </w:p>
        </w:tc>
        <w:tc>
          <w:tcPr>
            <w:tcW w:w="2935" w:type="dxa"/>
            <w:vAlign w:val="top"/>
          </w:tcPr>
          <w:p>
            <w:pPr>
              <w:pStyle w:val="8"/>
              <w:widowControl w:val="0"/>
              <w:spacing w:before="65" w:line="228" w:lineRule="auto"/>
              <w:jc w:val="center"/>
              <w:rPr>
                <w:spacing w:val="7"/>
              </w:rPr>
            </w:pPr>
            <w:r>
              <w:rPr>
                <w:spacing w:val="7"/>
              </w:rPr>
              <w:t>GB/T 11139</w:t>
            </w:r>
          </w:p>
          <w:p>
            <w:pPr>
              <w:pStyle w:val="8"/>
              <w:widowControl w:val="0"/>
              <w:spacing w:before="65" w:line="228" w:lineRule="auto"/>
              <w:jc w:val="center"/>
              <w:rPr>
                <w:spacing w:val="7"/>
              </w:rPr>
            </w:pPr>
            <w:r>
              <w:rPr>
                <w:spacing w:val="7"/>
              </w:rPr>
              <w:t>或 SH/T 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7</w:t>
            </w:r>
          </w:p>
        </w:tc>
        <w:tc>
          <w:tcPr>
            <w:tcW w:w="3012" w:type="dxa"/>
            <w:vAlign w:val="center"/>
          </w:tcPr>
          <w:p>
            <w:pPr>
              <w:pStyle w:val="8"/>
              <w:widowControl w:val="0"/>
              <w:spacing w:before="65" w:line="228" w:lineRule="auto"/>
              <w:jc w:val="center"/>
              <w:rPr>
                <w:spacing w:val="7"/>
              </w:rPr>
            </w:pPr>
            <w:r>
              <w:rPr>
                <w:spacing w:val="7"/>
              </w:rPr>
              <w:t>馏程</w:t>
            </w:r>
          </w:p>
        </w:tc>
        <w:tc>
          <w:tcPr>
            <w:tcW w:w="2935" w:type="dxa"/>
            <w:vAlign w:val="top"/>
          </w:tcPr>
          <w:p>
            <w:pPr>
              <w:pStyle w:val="8"/>
              <w:widowControl w:val="0"/>
              <w:spacing w:before="65" w:line="228" w:lineRule="auto"/>
              <w:jc w:val="center"/>
              <w:rPr>
                <w:spacing w:val="7"/>
              </w:rPr>
            </w:pPr>
            <w:r>
              <w:rPr>
                <w:spacing w:val="7"/>
              </w:rPr>
              <w:t>GB/T 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8</w:t>
            </w:r>
          </w:p>
        </w:tc>
        <w:tc>
          <w:tcPr>
            <w:tcW w:w="3012" w:type="dxa"/>
            <w:vAlign w:val="center"/>
          </w:tcPr>
          <w:p>
            <w:pPr>
              <w:pStyle w:val="8"/>
              <w:widowControl w:val="0"/>
              <w:spacing w:before="65" w:line="228" w:lineRule="auto"/>
              <w:jc w:val="center"/>
              <w:rPr>
                <w:spacing w:val="7"/>
              </w:rPr>
            </w:pPr>
            <w:r>
              <w:rPr>
                <w:spacing w:val="7"/>
              </w:rPr>
              <w:t>密度</w:t>
            </w:r>
          </w:p>
        </w:tc>
        <w:tc>
          <w:tcPr>
            <w:tcW w:w="2935" w:type="dxa"/>
            <w:vAlign w:val="top"/>
          </w:tcPr>
          <w:p>
            <w:pPr>
              <w:pStyle w:val="8"/>
              <w:widowControl w:val="0"/>
              <w:spacing w:before="65" w:line="228" w:lineRule="auto"/>
              <w:jc w:val="center"/>
              <w:rPr>
                <w:spacing w:val="7"/>
              </w:rPr>
            </w:pPr>
            <w:r>
              <w:rPr>
                <w:spacing w:val="7"/>
              </w:rPr>
              <w:t xml:space="preserve">GB/T 1884 和 GB/T 1885 </w:t>
            </w:r>
          </w:p>
          <w:p>
            <w:pPr>
              <w:pStyle w:val="8"/>
              <w:widowControl w:val="0"/>
              <w:spacing w:before="65" w:line="228" w:lineRule="auto"/>
              <w:jc w:val="center"/>
              <w:rPr>
                <w:spacing w:val="7"/>
              </w:rPr>
            </w:pPr>
            <w:r>
              <w:rPr>
                <w:spacing w:val="7"/>
              </w:rPr>
              <w:t>或 SH/T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9</w:t>
            </w:r>
          </w:p>
        </w:tc>
        <w:tc>
          <w:tcPr>
            <w:tcW w:w="3012" w:type="dxa"/>
            <w:vAlign w:val="center"/>
          </w:tcPr>
          <w:p>
            <w:pPr>
              <w:pStyle w:val="8"/>
              <w:widowControl w:val="0"/>
              <w:spacing w:before="65" w:line="228" w:lineRule="auto"/>
              <w:jc w:val="center"/>
              <w:rPr>
                <w:spacing w:val="7"/>
              </w:rPr>
            </w:pPr>
            <w:r>
              <w:rPr>
                <w:spacing w:val="7"/>
              </w:rPr>
              <w:t>10%蒸余物残炭</w:t>
            </w:r>
          </w:p>
        </w:tc>
        <w:tc>
          <w:tcPr>
            <w:tcW w:w="2935" w:type="dxa"/>
            <w:vAlign w:val="top"/>
          </w:tcPr>
          <w:p>
            <w:pPr>
              <w:pStyle w:val="8"/>
              <w:widowControl w:val="0"/>
              <w:spacing w:before="65" w:line="228" w:lineRule="auto"/>
              <w:jc w:val="center"/>
              <w:rPr>
                <w:spacing w:val="7"/>
              </w:rPr>
            </w:pPr>
            <w:r>
              <w:rPr>
                <w:spacing w:val="7"/>
              </w:rPr>
              <w:t>GB/T 268</w:t>
            </w:r>
          </w:p>
          <w:p>
            <w:pPr>
              <w:pStyle w:val="8"/>
              <w:widowControl w:val="0"/>
              <w:spacing w:before="65" w:line="228" w:lineRule="auto"/>
              <w:jc w:val="center"/>
              <w:rPr>
                <w:spacing w:val="7"/>
              </w:rPr>
            </w:pPr>
            <w:r>
              <w:rPr>
                <w:spacing w:val="7"/>
              </w:rPr>
              <w:t>或 GB/T 17144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default"/>
                <w:color w:val="auto"/>
                <w:spacing w:val="7"/>
                <w:lang w:val="en-US" w:eastAsia="zh-CN"/>
              </w:rPr>
            </w:pPr>
            <w:r>
              <w:rPr>
                <w:rFonts w:hint="eastAsia"/>
                <w:color w:val="auto"/>
                <w:spacing w:val="7"/>
                <w:lang w:val="en-US" w:eastAsia="zh-CN"/>
              </w:rPr>
              <w:t>10</w:t>
            </w:r>
          </w:p>
        </w:tc>
        <w:tc>
          <w:tcPr>
            <w:tcW w:w="3012" w:type="dxa"/>
            <w:vAlign w:val="center"/>
          </w:tcPr>
          <w:p>
            <w:pPr>
              <w:pStyle w:val="8"/>
              <w:widowControl w:val="0"/>
              <w:spacing w:before="65" w:line="228" w:lineRule="auto"/>
              <w:jc w:val="center"/>
              <w:rPr>
                <w:spacing w:val="7"/>
              </w:rPr>
            </w:pPr>
            <w:r>
              <w:rPr>
                <w:spacing w:val="7"/>
              </w:rPr>
              <w:t>灰分</w:t>
            </w:r>
          </w:p>
        </w:tc>
        <w:tc>
          <w:tcPr>
            <w:tcW w:w="2935" w:type="dxa"/>
            <w:vAlign w:val="top"/>
          </w:tcPr>
          <w:p>
            <w:pPr>
              <w:pStyle w:val="8"/>
              <w:widowControl w:val="0"/>
              <w:spacing w:before="65" w:line="228" w:lineRule="auto"/>
              <w:jc w:val="center"/>
              <w:rPr>
                <w:spacing w:val="7"/>
              </w:rPr>
            </w:pPr>
            <w:r>
              <w:rPr>
                <w:spacing w:val="7"/>
              </w:rPr>
              <w:t>GB/T 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default"/>
                <w:color w:val="auto"/>
                <w:spacing w:val="7"/>
                <w:lang w:val="en-US" w:eastAsia="zh-CN"/>
              </w:rPr>
            </w:pPr>
            <w:r>
              <w:rPr>
                <w:rFonts w:hint="eastAsia"/>
                <w:color w:val="auto"/>
                <w:spacing w:val="7"/>
                <w:lang w:val="en-US" w:eastAsia="zh-CN"/>
              </w:rPr>
              <w:t>11</w:t>
            </w:r>
          </w:p>
        </w:tc>
        <w:tc>
          <w:tcPr>
            <w:tcW w:w="3012" w:type="dxa"/>
            <w:vAlign w:val="center"/>
          </w:tcPr>
          <w:p>
            <w:pPr>
              <w:pStyle w:val="8"/>
              <w:widowControl w:val="0"/>
              <w:spacing w:before="65" w:line="228" w:lineRule="auto"/>
              <w:jc w:val="center"/>
              <w:rPr>
                <w:spacing w:val="7"/>
              </w:rPr>
            </w:pPr>
            <w:r>
              <w:rPr>
                <w:spacing w:val="7"/>
              </w:rPr>
              <w:t>铜片腐蚀</w:t>
            </w:r>
          </w:p>
        </w:tc>
        <w:tc>
          <w:tcPr>
            <w:tcW w:w="2935" w:type="dxa"/>
            <w:vAlign w:val="top"/>
          </w:tcPr>
          <w:p>
            <w:pPr>
              <w:pStyle w:val="8"/>
              <w:widowControl w:val="0"/>
              <w:spacing w:before="65" w:line="228" w:lineRule="auto"/>
              <w:jc w:val="center"/>
              <w:rPr>
                <w:spacing w:val="7"/>
              </w:rPr>
            </w:pPr>
            <w:r>
              <w:rPr>
                <w:spacing w:val="7"/>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891" w:type="dxa"/>
            <w:vAlign w:val="center"/>
          </w:tcPr>
          <w:p>
            <w:pPr>
              <w:pStyle w:val="2"/>
              <w:widowControl w:val="0"/>
              <w:spacing w:before="65" w:line="228" w:lineRule="auto"/>
              <w:jc w:val="center"/>
              <w:rPr>
                <w:rFonts w:hint="default"/>
                <w:color w:val="auto"/>
                <w:spacing w:val="7"/>
                <w:lang w:val="en-US" w:eastAsia="zh-CN"/>
              </w:rPr>
            </w:pPr>
            <w:r>
              <w:rPr>
                <w:rFonts w:hint="eastAsia"/>
                <w:color w:val="auto"/>
                <w:spacing w:val="7"/>
                <w:lang w:val="en-US" w:eastAsia="zh-CN"/>
              </w:rPr>
              <w:t>12</w:t>
            </w:r>
          </w:p>
        </w:tc>
        <w:tc>
          <w:tcPr>
            <w:tcW w:w="3012" w:type="dxa"/>
            <w:vAlign w:val="center"/>
          </w:tcPr>
          <w:p>
            <w:pPr>
              <w:pStyle w:val="8"/>
              <w:widowControl w:val="0"/>
              <w:spacing w:before="65" w:line="228" w:lineRule="auto"/>
              <w:jc w:val="center"/>
              <w:rPr>
                <w:spacing w:val="7"/>
              </w:rPr>
            </w:pPr>
            <w:r>
              <w:rPr>
                <w:spacing w:val="7"/>
              </w:rPr>
              <w:t>水含量</w:t>
            </w:r>
          </w:p>
        </w:tc>
        <w:tc>
          <w:tcPr>
            <w:tcW w:w="2935" w:type="dxa"/>
            <w:vAlign w:val="center"/>
          </w:tcPr>
          <w:p>
            <w:pPr>
              <w:pStyle w:val="8"/>
              <w:widowControl w:val="0"/>
              <w:spacing w:before="65" w:line="228" w:lineRule="auto"/>
              <w:jc w:val="center"/>
              <w:rPr>
                <w:spacing w:val="7"/>
              </w:rPr>
            </w:pPr>
            <w:r>
              <w:rPr>
                <w:spacing w:val="7"/>
              </w:rPr>
              <w:t>GB/T 260</w:t>
            </w:r>
          </w:p>
          <w:p>
            <w:pPr>
              <w:pStyle w:val="8"/>
              <w:widowControl w:val="0"/>
              <w:spacing w:before="65" w:line="228" w:lineRule="auto"/>
              <w:jc w:val="center"/>
              <w:rPr>
                <w:spacing w:val="7"/>
              </w:rPr>
            </w:pPr>
            <w:r>
              <w:rPr>
                <w:spacing w:val="7"/>
              </w:rPr>
              <w:t xml:space="preserve">或 GB/T 11133 </w:t>
            </w:r>
          </w:p>
          <w:p>
            <w:pPr>
              <w:pStyle w:val="8"/>
              <w:widowControl w:val="0"/>
              <w:spacing w:before="65" w:line="228" w:lineRule="auto"/>
              <w:jc w:val="center"/>
              <w:rPr>
                <w:spacing w:val="7"/>
              </w:rPr>
            </w:pPr>
            <w:r>
              <w:rPr>
                <w:spacing w:val="7"/>
              </w:rPr>
              <w:t>或 SH/T 0246</w:t>
            </w:r>
          </w:p>
          <w:p>
            <w:pPr>
              <w:pStyle w:val="8"/>
              <w:widowControl w:val="0"/>
              <w:spacing w:before="65" w:line="228" w:lineRule="auto"/>
              <w:jc w:val="center"/>
              <w:rPr>
                <w:spacing w:val="7"/>
              </w:rPr>
            </w:pPr>
            <w:r>
              <w:rPr>
                <w:spacing w:val="7"/>
              </w:rPr>
              <w:t>或 GB 19147 目测</w:t>
            </w:r>
          </w:p>
        </w:tc>
      </w:tr>
    </w:tbl>
    <w:p>
      <w:pPr>
        <w:pStyle w:val="2"/>
        <w:spacing w:before="32" w:line="362" w:lineRule="auto"/>
        <w:ind w:left="22" w:firstLine="42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33" w:line="228" w:lineRule="auto"/>
        <w:ind w:left="442"/>
      </w:pPr>
      <w:r>
        <w:rPr>
          <w:spacing w:val="9"/>
        </w:rPr>
        <w:t>执行企业标准、团体标准、地方标准的产品，检验项目参照上述内容执行。</w:t>
      </w:r>
    </w:p>
    <w:p>
      <w:pPr>
        <w:pStyle w:val="2"/>
        <w:spacing w:before="160" w:line="362" w:lineRule="auto"/>
        <w:ind w:left="27" w:right="58" w:firstLine="419"/>
      </w:pPr>
      <w:r>
        <w:rPr>
          <w:spacing w:val="7"/>
        </w:rPr>
        <w:t>凡是注日期的文件，其随后所有的修改单（不包括勘误的内容）或修订版不适用于本规</w:t>
      </w:r>
      <w:r>
        <w:rPr>
          <w:spacing w:val="4"/>
        </w:rPr>
        <w:t xml:space="preserve"> </w:t>
      </w:r>
      <w:r>
        <w:rPr>
          <w:spacing w:val="9"/>
        </w:rPr>
        <w:t>范。凡是不注日期的文件，其最新版本适用于本细</w:t>
      </w:r>
      <w:r>
        <w:rPr>
          <w:spacing w:val="8"/>
        </w:rPr>
        <w:t>则。</w:t>
      </w:r>
    </w:p>
    <w:p>
      <w:pPr>
        <w:pStyle w:val="2"/>
        <w:spacing w:before="32" w:line="228" w:lineRule="auto"/>
        <w:ind w:left="26"/>
        <w:outlineLvl w:val="1"/>
      </w:pPr>
      <w:r>
        <w:rPr>
          <w:b/>
          <w:bCs/>
          <w:spacing w:val="3"/>
        </w:rPr>
        <w:t>3</w:t>
      </w:r>
      <w:r>
        <w:rPr>
          <w:spacing w:val="14"/>
        </w:rPr>
        <w:t xml:space="preserve"> </w:t>
      </w:r>
      <w:r>
        <w:rPr>
          <w:b/>
          <w:bCs/>
          <w:spacing w:val="3"/>
        </w:rPr>
        <w:t>判定规则</w:t>
      </w:r>
    </w:p>
    <w:p>
      <w:pPr>
        <w:pStyle w:val="2"/>
        <w:spacing w:before="160" w:line="227" w:lineRule="auto"/>
        <w:ind w:left="26"/>
      </w:pPr>
      <w:r>
        <w:rPr>
          <w:spacing w:val="4"/>
        </w:rPr>
        <w:t>3.1</w:t>
      </w:r>
      <w:r>
        <w:rPr>
          <w:spacing w:val="-37"/>
        </w:rPr>
        <w:t xml:space="preserve"> </w:t>
      </w:r>
      <w:r>
        <w:rPr>
          <w:spacing w:val="4"/>
        </w:rPr>
        <w:t>标准依据</w:t>
      </w:r>
    </w:p>
    <w:p>
      <w:pPr>
        <w:pStyle w:val="2"/>
        <w:spacing w:before="161" w:line="228" w:lineRule="auto"/>
        <w:ind w:left="439"/>
      </w:pPr>
      <w:r>
        <w:t>GB</w:t>
      </w:r>
      <w:r>
        <w:rPr>
          <w:spacing w:val="33"/>
        </w:rPr>
        <w:t xml:space="preserve"> </w:t>
      </w:r>
      <w:r>
        <w:rPr>
          <w:spacing w:val="3"/>
        </w:rPr>
        <w:t>19147</w:t>
      </w:r>
      <w:r>
        <w:rPr>
          <w:spacing w:val="9"/>
        </w:rPr>
        <w:t xml:space="preserve">  </w:t>
      </w:r>
      <w:r>
        <w:rPr>
          <w:spacing w:val="3"/>
        </w:rPr>
        <w:t>车用柴油</w:t>
      </w:r>
    </w:p>
    <w:p>
      <w:pPr>
        <w:pStyle w:val="2"/>
        <w:spacing w:before="164" w:line="227" w:lineRule="auto"/>
        <w:ind w:left="442"/>
      </w:pPr>
      <w:r>
        <w:rPr>
          <w:spacing w:val="9"/>
        </w:rPr>
        <w:t>相关的法律、行政法规、部门规章、规范性文件</w:t>
      </w:r>
    </w:p>
    <w:p>
      <w:pPr>
        <w:pStyle w:val="2"/>
        <w:spacing w:before="163" w:line="362" w:lineRule="auto"/>
        <w:ind w:left="26" w:right="2065"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31" w:line="364" w:lineRule="auto"/>
        <w:ind w:left="25" w:right="58" w:firstLine="418"/>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pPr>
        <w:pStyle w:val="2"/>
        <w:spacing w:before="30" w:line="362" w:lineRule="auto"/>
        <w:ind w:left="23" w:right="58" w:firstLine="420"/>
      </w:pPr>
      <w:r>
        <w:rPr>
          <w:spacing w:val="7"/>
        </w:rPr>
        <w:t>若被检产品明示的质量要求高于本细则中检验项目依据的标准要求时，应按被检产品明</w:t>
      </w:r>
      <w:r>
        <w:rPr>
          <w:spacing w:val="8"/>
        </w:rPr>
        <w:t xml:space="preserve"> </w:t>
      </w:r>
      <w:r>
        <w:rPr>
          <w:spacing w:val="7"/>
        </w:rPr>
        <w:t>示的质量要求判定。</w:t>
      </w:r>
    </w:p>
    <w:p>
      <w:pPr>
        <w:pStyle w:val="2"/>
        <w:spacing w:before="30" w:line="365" w:lineRule="auto"/>
        <w:ind w:left="23" w:right="58" w:firstLine="420"/>
        <w:rPr>
          <w:spacing w:val="7"/>
        </w:rPr>
      </w:pPr>
      <w:r>
        <w:rPr>
          <w:spacing w:val="7"/>
        </w:rPr>
        <w:t>若被检产品明示的质量要求低于本细则中检验项目依据的强制性标准要求时，应按照强</w:t>
      </w:r>
      <w:r>
        <w:rPr>
          <w:spacing w:val="8"/>
        </w:rPr>
        <w:t xml:space="preserve"> </w:t>
      </w:r>
      <w:r>
        <w:rPr>
          <w:spacing w:val="7"/>
        </w:rPr>
        <w:t>制性标准要求判定。</w:t>
      </w:r>
    </w:p>
    <w:p>
      <w:pPr>
        <w:pStyle w:val="2"/>
        <w:spacing w:before="42" w:line="361" w:lineRule="auto"/>
        <w:ind w:left="45" w:right="15" w:firstLine="397"/>
      </w:pPr>
      <w:r>
        <w:rPr>
          <w:spacing w:val="7"/>
        </w:rPr>
        <w:t>若被检产品明示的质量要求低于或包含本细则中检验项目依据的推荐性标准要求时，应</w:t>
      </w:r>
      <w:r>
        <w:rPr>
          <w:spacing w:val="8"/>
        </w:rPr>
        <w:t xml:space="preserve"> 以被检产品明示的质量要求判定，但应在检验报告备注中进行说明。</w:t>
      </w:r>
    </w:p>
    <w:p>
      <w:pPr>
        <w:pStyle w:val="2"/>
        <w:spacing w:before="36" w:line="362" w:lineRule="auto"/>
        <w:ind w:left="23" w:right="15" w:firstLine="420"/>
      </w:pPr>
      <w:r>
        <w:rPr>
          <w:spacing w:val="7"/>
        </w:rPr>
        <w:t>若被检产品明示的质量要求缺少本细则中检验项目依据的强制性标准要求时，应按照强</w:t>
      </w:r>
      <w:r>
        <w:rPr>
          <w:spacing w:val="8"/>
        </w:rPr>
        <w:t xml:space="preserve"> </w:t>
      </w:r>
      <w:r>
        <w:rPr>
          <w:spacing w:val="7"/>
        </w:rPr>
        <w:t>制性标准要求判定。</w:t>
      </w:r>
    </w:p>
    <w:p>
      <w:pPr>
        <w:pStyle w:val="2"/>
        <w:spacing w:before="31" w:line="361" w:lineRule="auto"/>
        <w:ind w:left="23" w:right="15" w:firstLine="419"/>
      </w:pPr>
      <w:r>
        <w:rPr>
          <w:spacing w:val="7"/>
        </w:rPr>
        <w:t>若被检产品明示的质量要求缺少本细则中检验项目依据的推荐性标准要求时，该项目不</w:t>
      </w:r>
      <w:r>
        <w:rPr>
          <w:spacing w:val="8"/>
        </w:rPr>
        <w:t xml:space="preserve"> 参与判定，但应在检验报告备注中进行说明。</w:t>
      </w:r>
    </w:p>
    <w:p>
      <w:pPr>
        <w:pStyle w:val="2"/>
        <w:spacing w:before="35" w:line="228" w:lineRule="auto"/>
        <w:ind w:left="21"/>
        <w:outlineLvl w:val="1"/>
      </w:pPr>
      <w:r>
        <w:rPr>
          <w:b/>
          <w:bCs/>
          <w:spacing w:val="3"/>
        </w:rPr>
        <w:t>4</w:t>
      </w:r>
      <w:r>
        <w:rPr>
          <w:spacing w:val="19"/>
        </w:rPr>
        <w:t xml:space="preserve"> </w:t>
      </w:r>
      <w:r>
        <w:rPr>
          <w:b/>
          <w:bCs/>
          <w:spacing w:val="3"/>
        </w:rPr>
        <w:t>异议复检</w:t>
      </w:r>
    </w:p>
    <w:p>
      <w:pPr>
        <w:pStyle w:val="2"/>
        <w:spacing w:before="161" w:line="227" w:lineRule="auto"/>
        <w:ind w:left="443"/>
      </w:pPr>
      <w:r>
        <w:rPr>
          <w:spacing w:val="9"/>
        </w:rPr>
        <w:t>本细则中确定的全部检验项目，采用备用样品进行复检</w:t>
      </w:r>
      <w:r>
        <w:rPr>
          <w:rFonts w:hint="eastAsia"/>
          <w:spacing w:val="9"/>
          <w:lang w:eastAsia="zh-CN"/>
        </w:rPr>
        <w:t>。</w:t>
      </w:r>
      <w:bookmarkStart w:id="0" w:name="_GoBack"/>
      <w:bookmarkEnd w:id="0"/>
    </w:p>
    <w:sectPr>
      <w:footerReference r:id="rId5" w:type="default"/>
      <w:pgSz w:w="11906" w:h="16839"/>
      <w:pgMar w:top="1428" w:right="1701" w:bottom="1378" w:left="1701" w:header="0"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ZjYWUxMjQxYjcxMDExOWY3NzEwZjc4NDdlNTQ5MzQifQ=="/>
  </w:docVars>
  <w:rsids>
    <w:rsidRoot w:val="00000000"/>
    <w:rsid w:val="0F085120"/>
    <w:rsid w:val="32DC6961"/>
    <w:rsid w:val="3C2A2780"/>
    <w:rsid w:val="3E0A0ED9"/>
    <w:rsid w:val="45080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914</Words>
  <Characters>1080</Characters>
  <TotalTime>9</TotalTime>
  <ScaleCrop>false</ScaleCrop>
  <LinksUpToDate>false</LinksUpToDate>
  <CharactersWithSpaces>1149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Windows 用户</dc:creator>
  <cp:lastModifiedBy>Administrator</cp:lastModifiedBy>
  <dcterms:modified xsi:type="dcterms:W3CDTF">2024-06-18T03:46:12Z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2024-06-17T09:13:43Z</vt:filetime>
  </property>
  <property fmtid="{D5CDD505-2E9C-101B-9397-08002B2CF9AE}" pid="4" name="KSOProductBuildVer">
    <vt:lpwstr>2052-12.1.0.16929</vt:lpwstr>
  </property>
  <property fmtid="{D5CDD505-2E9C-101B-9397-08002B2CF9AE}" pid="5" name="ICV">
    <vt:lpwstr>E6993071C79C485E912BA7992A19271B_12</vt:lpwstr>
  </property>
</Properties>
</file>