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rFonts w:hint="eastAsia"/>
          <w:b/>
          <w:bCs/>
          <w:spacing w:val="-4"/>
          <w:sz w:val="28"/>
          <w:szCs w:val="28"/>
          <w:lang w:val="en-US" w:eastAsia="zh-CN"/>
        </w:rPr>
      </w:pPr>
      <w:r>
        <w:rPr>
          <w:rFonts w:hint="eastAsia"/>
          <w:b/>
          <w:bCs/>
          <w:spacing w:val="-4"/>
          <w:sz w:val="28"/>
          <w:szCs w:val="28"/>
          <w:lang w:eastAsia="zh-CN"/>
        </w:rPr>
        <w:t>枣庄市</w:t>
      </w:r>
      <w:r>
        <w:rPr>
          <w:rFonts w:hint="eastAsia"/>
          <w:b/>
          <w:bCs/>
          <w:spacing w:val="-4"/>
          <w:sz w:val="28"/>
          <w:szCs w:val="28"/>
          <w:lang w:val="en-US" w:eastAsia="zh-CN"/>
        </w:rPr>
        <w:t>峄城区烧结多孔砖和多孔砌块产品</w:t>
      </w:r>
    </w:p>
    <w:p>
      <w:pPr>
        <w:pStyle w:val="3"/>
        <w:spacing w:before="56" w:line="220" w:lineRule="auto"/>
        <w:jc w:val="center"/>
        <w:outlineLvl w:val="0"/>
        <w:rPr>
          <w:sz w:val="28"/>
          <w:szCs w:val="28"/>
        </w:rPr>
      </w:pPr>
      <w:r>
        <w:rPr>
          <w:b/>
          <w:bCs/>
          <w:spacing w:val="-4"/>
          <w:sz w:val="28"/>
          <w:szCs w:val="28"/>
        </w:rPr>
        <w:t>质量监督抽查实施细则</w:t>
      </w:r>
    </w:p>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6"/>
          <w:lang w:val="en-US" w:eastAsia="zh-CN"/>
        </w:rPr>
        <w:t>40块</w:t>
      </w:r>
      <w:r>
        <w:rPr>
          <w:spacing w:val="6"/>
        </w:rPr>
        <w:t>，其中</w:t>
      </w:r>
      <w:r>
        <w:rPr>
          <w:rFonts w:hint="eastAsia"/>
          <w:spacing w:val="6"/>
          <w:lang w:val="en-US" w:eastAsia="zh-CN"/>
        </w:rPr>
        <w:t>20块</w:t>
      </w:r>
      <w:r>
        <w:rPr>
          <w:spacing w:val="6"/>
        </w:rPr>
        <w:t>作为检验样品，</w:t>
      </w:r>
      <w:r>
        <w:rPr>
          <w:rFonts w:hint="eastAsia"/>
          <w:spacing w:val="6"/>
          <w:lang w:val="en-US" w:eastAsia="zh-CN"/>
        </w:rPr>
        <w:t>20块</w:t>
      </w:r>
      <w:r>
        <w:rPr>
          <w:spacing w:val="6"/>
        </w:rPr>
        <w:t>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jc w:val="center"/>
        <w:rPr>
          <w:b/>
          <w:bCs/>
          <w:spacing w:val="5"/>
        </w:rPr>
      </w:pPr>
      <w:r>
        <w:rPr>
          <w:b/>
          <w:bCs/>
          <w:spacing w:val="5"/>
        </w:rPr>
        <w:t>表</w:t>
      </w:r>
      <w:r>
        <w:rPr>
          <w:spacing w:val="-17"/>
        </w:rPr>
        <w:t xml:space="preserve"> </w:t>
      </w:r>
      <w:r>
        <w:rPr>
          <w:b/>
          <w:bCs/>
          <w:spacing w:val="5"/>
        </w:rPr>
        <w:t>1</w:t>
      </w:r>
      <w:r>
        <w:rPr>
          <w:rFonts w:hint="eastAsia"/>
          <w:b/>
          <w:bCs/>
          <w:spacing w:val="5"/>
          <w:lang w:val="en-US" w:eastAsia="zh-CN"/>
        </w:rPr>
        <w:t>-1</w:t>
      </w:r>
      <w:r>
        <w:rPr>
          <w:b/>
          <w:bCs/>
          <w:spacing w:val="5"/>
        </w:rPr>
        <w:t xml:space="preserve"> </w:t>
      </w:r>
      <w:r>
        <w:rPr>
          <w:rFonts w:hint="eastAsia"/>
          <w:b/>
          <w:bCs/>
          <w:spacing w:val="5"/>
          <w:lang w:val="en-US" w:eastAsia="zh-CN"/>
        </w:rPr>
        <w:t>烧结多孔砖和多孔砌块</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spacing w:val="7"/>
                <w:lang w:val="en-US" w:eastAsia="zh-CN"/>
              </w:rPr>
            </w:pPr>
            <w:r>
              <w:rPr>
                <w:rFonts w:hint="eastAsia"/>
                <w:spacing w:val="7"/>
                <w:lang w:val="en-US" w:eastAsia="zh-CN"/>
              </w:rPr>
              <w:t>尺寸允许偏差</w:t>
            </w:r>
          </w:p>
        </w:tc>
        <w:tc>
          <w:tcPr>
            <w:tcW w:w="3258" w:type="dxa"/>
            <w:vAlign w:val="center"/>
          </w:tcPr>
          <w:p>
            <w:pPr>
              <w:pStyle w:val="8"/>
              <w:widowControl w:val="0"/>
              <w:spacing w:before="65" w:line="228" w:lineRule="auto"/>
              <w:jc w:val="center"/>
              <w:rPr>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密度等级</w:t>
            </w:r>
          </w:p>
        </w:tc>
        <w:tc>
          <w:tcPr>
            <w:tcW w:w="3258" w:type="dxa"/>
            <w:vAlign w:val="top"/>
          </w:tcPr>
          <w:p>
            <w:pPr>
              <w:pStyle w:val="8"/>
              <w:widowControl w:val="0"/>
              <w:spacing w:before="65" w:line="228" w:lineRule="auto"/>
              <w:jc w:val="center"/>
              <w:rPr>
                <w:rFonts w:hint="eastAsia"/>
                <w:spacing w:val="7"/>
                <w:lang w:val="en-US" w:eastAsia="zh-CN"/>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孔型孔结构及孔洞率</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泛霜</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石灰爆裂</w:t>
            </w:r>
          </w:p>
        </w:tc>
        <w:tc>
          <w:tcPr>
            <w:tcW w:w="3258" w:type="dxa"/>
            <w:vAlign w:val="center"/>
          </w:tcPr>
          <w:p>
            <w:pPr>
              <w:pStyle w:val="8"/>
              <w:widowControl w:val="0"/>
              <w:spacing w:before="65" w:line="228" w:lineRule="auto"/>
              <w:jc w:val="center"/>
              <w:rPr>
                <w:rFonts w:hint="eastAsia"/>
                <w:spacing w:val="7"/>
              </w:rPr>
            </w:pPr>
            <w:r>
              <w:rPr>
                <w:rFonts w:hint="eastAsia"/>
                <w:spacing w:val="7"/>
                <w:lang w:val="en-US" w:eastAsia="zh-CN"/>
              </w:rPr>
              <w:t>GB 13544</w:t>
            </w:r>
          </w:p>
        </w:tc>
      </w:tr>
    </w:tbl>
    <w:p>
      <w:pPr>
        <w:pStyle w:val="3"/>
        <w:spacing w:before="162" w:line="408" w:lineRule="exact"/>
        <w:ind w:right="15" w:firstLine="428" w:firstLineChars="200"/>
        <w:jc w:val="left"/>
        <w:rPr>
          <w:spacing w:val="7"/>
          <w:position w:val="15"/>
        </w:rPr>
      </w:pPr>
      <w:r>
        <w:rPr>
          <w:spacing w:val="7"/>
          <w:position w:val="15"/>
        </w:rPr>
        <w:t>注：上表所列检验项目是有关法律法规、标准等规定的，重点涉及健康、安全、节能、</w:t>
      </w:r>
    </w:p>
    <w:p>
      <w:pPr>
        <w:pStyle w:val="3"/>
        <w:spacing w:before="162" w:line="408" w:lineRule="exact"/>
        <w:ind w:right="15" w:firstLine="428" w:firstLineChars="200"/>
        <w:jc w:val="left"/>
        <w:rPr>
          <w:spacing w:val="7"/>
          <w:position w:val="15"/>
        </w:rPr>
      </w:pPr>
      <w:r>
        <w:rPr>
          <w:spacing w:val="7"/>
          <w:position w:val="15"/>
        </w:rPr>
        <w:t>环保以及消费者、有关组织反映有质量问题的重要项目。</w:t>
      </w:r>
    </w:p>
    <w:p>
      <w:pPr>
        <w:pStyle w:val="3"/>
        <w:spacing w:before="162" w:line="408" w:lineRule="exact"/>
        <w:ind w:right="15" w:firstLine="428" w:firstLineChars="200"/>
        <w:jc w:val="left"/>
        <w:rPr>
          <w:spacing w:val="7"/>
          <w:position w:val="15"/>
        </w:rPr>
      </w:pPr>
      <w:r>
        <w:rPr>
          <w:spacing w:val="7"/>
          <w:position w:val="15"/>
        </w:rPr>
        <w:t>执行企业标准、团体标准、地方标准的产品，检验项目参照上述内容执行。</w:t>
      </w:r>
    </w:p>
    <w:p>
      <w:pPr>
        <w:pStyle w:val="3"/>
        <w:spacing w:before="162" w:line="408" w:lineRule="exact"/>
        <w:ind w:right="15" w:firstLine="428" w:firstLineChars="200"/>
        <w:jc w:val="left"/>
        <w:rPr>
          <w:spacing w:val="7"/>
          <w:position w:val="15"/>
        </w:rPr>
      </w:pPr>
      <w:r>
        <w:rPr>
          <w:spacing w:val="7"/>
          <w:position w:val="15"/>
        </w:rPr>
        <w:t>凡是注日期的文件，其随后所有的修改单（不包括勘误的内容）或修订版不适用于本细则。凡是不注日期的文件，其最新版本适用于本细则。</w:t>
      </w:r>
    </w:p>
    <w:p>
      <w:pPr>
        <w:pStyle w:val="3"/>
        <w:spacing w:before="163" w:line="228" w:lineRule="auto"/>
        <w:ind w:left="120"/>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360" w:lineRule="auto"/>
        <w:ind w:left="125"/>
      </w:pPr>
      <w:r>
        <w:rPr>
          <w:spacing w:val="4"/>
        </w:rPr>
        <w:t>3.1</w:t>
      </w:r>
      <w:r>
        <w:rPr>
          <w:spacing w:val="-37"/>
        </w:rPr>
        <w:t xml:space="preserve"> </w:t>
      </w:r>
      <w:r>
        <w:rPr>
          <w:spacing w:val="4"/>
        </w:rPr>
        <w:t>标准依据</w:t>
      </w:r>
    </w:p>
    <w:p>
      <w:pPr>
        <w:pStyle w:val="3"/>
        <w:spacing w:before="1" w:line="360" w:lineRule="auto"/>
        <w:ind w:left="540"/>
        <w:rPr>
          <w:rFonts w:hint="default" w:ascii="宋体" w:hAnsi="宋体" w:eastAsia="宋体" w:cs="宋体"/>
          <w:snapToGrid w:val="0"/>
          <w:color w:val="000000"/>
          <w:spacing w:val="7"/>
          <w:kern w:val="0"/>
          <w:sz w:val="20"/>
          <w:szCs w:val="20"/>
          <w:lang w:val="en-US" w:eastAsia="zh-CN" w:bidi="ar-SA"/>
        </w:rPr>
      </w:pPr>
      <w:r>
        <w:rPr>
          <w:rFonts w:hint="eastAsia"/>
          <w:spacing w:val="7"/>
          <w:lang w:val="en-US" w:eastAsia="zh-CN"/>
        </w:rPr>
        <w:t>GB 13544</w:t>
      </w:r>
      <w:r>
        <w:rPr>
          <w:rFonts w:hint="eastAsia" w:cs="宋体"/>
          <w:snapToGrid w:val="0"/>
          <w:color w:val="000000"/>
          <w:spacing w:val="7"/>
          <w:kern w:val="0"/>
          <w:sz w:val="20"/>
          <w:szCs w:val="20"/>
          <w:lang w:val="en-US" w:eastAsia="zh-CN" w:bidi="ar-SA"/>
        </w:rPr>
        <w:t xml:space="preserve"> 烧结多孔砖和多孔砌块</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pPr>
      <w:r>
        <w:rPr>
          <w:spacing w:val="9"/>
        </w:rPr>
        <w:t>一项或一项以上不合格，判定为被抽查产品不合</w:t>
      </w:r>
      <w:r>
        <w:rPr>
          <w:spacing w:val="8"/>
        </w:rPr>
        <w:t>格。</w:t>
      </w:r>
    </w:p>
    <w:p>
      <w:pPr>
        <w:pStyle w:val="3"/>
        <w:spacing w:before="162" w:line="408" w:lineRule="exact"/>
        <w:ind w:right="15" w:firstLine="428" w:firstLineChars="200"/>
        <w:jc w:val="both"/>
      </w:pPr>
      <w:r>
        <w:rPr>
          <w:spacing w:val="7"/>
          <w:position w:val="15"/>
        </w:rPr>
        <w:t>若被检产品明示的质量要求高于本细则中检验项目依据的标准要求时，应按被检产品明</w:t>
      </w:r>
    </w:p>
    <w:p>
      <w:pPr>
        <w:pStyle w:val="3"/>
        <w:spacing w:line="228" w:lineRule="auto"/>
        <w:ind w:left="23"/>
        <w:rPr>
          <w:spacing w:val="7"/>
          <w:position w:val="15"/>
        </w:rPr>
      </w:pPr>
      <w:r>
        <w:rPr>
          <w:spacing w:val="7"/>
        </w:rPr>
        <w:t>示的质量要求判定。</w:t>
      </w:r>
      <w:bookmarkStart w:id="0" w:name="_GoBack"/>
      <w:bookmarkEnd w:id="0"/>
    </w:p>
    <w:p>
      <w:pPr>
        <w:pStyle w:val="3"/>
        <w:spacing w:before="163" w:line="408" w:lineRule="exact"/>
        <w:ind w:right="15" w:firstLine="428" w:firstLineChars="200"/>
        <w:jc w:val="both"/>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F73FB5"/>
    <w:rsid w:val="08233893"/>
    <w:rsid w:val="09B96D4E"/>
    <w:rsid w:val="0A031A4B"/>
    <w:rsid w:val="0F484F85"/>
    <w:rsid w:val="10D22332"/>
    <w:rsid w:val="115B693C"/>
    <w:rsid w:val="134A6C68"/>
    <w:rsid w:val="13955D7C"/>
    <w:rsid w:val="14B91DC7"/>
    <w:rsid w:val="1C206E5F"/>
    <w:rsid w:val="1DE95937"/>
    <w:rsid w:val="1E2F342B"/>
    <w:rsid w:val="1F38206B"/>
    <w:rsid w:val="258403C0"/>
    <w:rsid w:val="278C73F8"/>
    <w:rsid w:val="281A2C55"/>
    <w:rsid w:val="28630607"/>
    <w:rsid w:val="2A6121B2"/>
    <w:rsid w:val="2B681F2A"/>
    <w:rsid w:val="2DF301D1"/>
    <w:rsid w:val="381E409C"/>
    <w:rsid w:val="42A927C0"/>
    <w:rsid w:val="464F276C"/>
    <w:rsid w:val="4B73486A"/>
    <w:rsid w:val="522634B6"/>
    <w:rsid w:val="52CF44B9"/>
    <w:rsid w:val="53BE477E"/>
    <w:rsid w:val="53C0288A"/>
    <w:rsid w:val="5587498A"/>
    <w:rsid w:val="582F7751"/>
    <w:rsid w:val="5C6F4617"/>
    <w:rsid w:val="5DCF19CA"/>
    <w:rsid w:val="620A1069"/>
    <w:rsid w:val="62407B8A"/>
    <w:rsid w:val="63084D13"/>
    <w:rsid w:val="63451804"/>
    <w:rsid w:val="647A5C59"/>
    <w:rsid w:val="67140294"/>
    <w:rsid w:val="6F273D5F"/>
    <w:rsid w:val="703A6D18"/>
    <w:rsid w:val="783218CE"/>
    <w:rsid w:val="7B6A2721"/>
    <w:rsid w:val="7CCB0CF3"/>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790</Words>
  <Characters>835</Characters>
  <TotalTime>0</TotalTime>
  <ScaleCrop>false</ScaleCrop>
  <LinksUpToDate>false</LinksUpToDate>
  <CharactersWithSpaces>853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2024-06-18T08:54:01Z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