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7" w:lineRule="auto"/>
        <w:rPr>
          <w:rFonts w:ascii="Arial"/>
          <w:sz w:val="21"/>
        </w:rPr>
      </w:pPr>
      <w:bookmarkStart w:id="0" w:name="_GoBack"/>
      <w:bookmarkEnd w:id="0"/>
    </w:p>
    <w:p>
      <w:pPr>
        <w:spacing w:line="307" w:lineRule="auto"/>
        <w:rPr>
          <w:rFonts w:ascii="Arial"/>
          <w:sz w:val="21"/>
        </w:rPr>
      </w:pPr>
    </w:p>
    <w:p>
      <w:pPr>
        <w:pStyle w:val="2"/>
        <w:spacing w:before="91" w:line="220" w:lineRule="auto"/>
        <w:ind w:left="1636"/>
        <w:outlineLvl w:val="0"/>
        <w:rPr>
          <w:sz w:val="28"/>
          <w:szCs w:val="28"/>
        </w:rPr>
      </w:pPr>
      <w:r>
        <w:rPr>
          <w:rFonts w:hint="eastAsia"/>
          <w:b/>
          <w:bCs/>
          <w:spacing w:val="-4"/>
          <w:sz w:val="28"/>
          <w:szCs w:val="28"/>
          <w:lang w:val="en-US" w:eastAsia="zh-CN"/>
        </w:rPr>
        <w:t>枣庄市峄城区</w:t>
      </w:r>
      <w:r>
        <w:rPr>
          <w:b/>
          <w:bCs/>
          <w:spacing w:val="-4"/>
          <w:sz w:val="28"/>
          <w:szCs w:val="28"/>
        </w:rPr>
        <w:t>塑料购物袋产品质量监督抽查实施细则</w:t>
      </w:r>
    </w:p>
    <w:p>
      <w:pPr>
        <w:pStyle w:val="2"/>
        <w:spacing w:before="200" w:line="228" w:lineRule="auto"/>
        <w:ind w:left="12"/>
        <w:outlineLvl w:val="1"/>
      </w:pPr>
      <w:r>
        <w:rPr>
          <w:b/>
          <w:bCs/>
          <w:spacing w:val="-5"/>
        </w:rPr>
        <w:t>1</w:t>
      </w:r>
      <w:r>
        <w:rPr>
          <w:spacing w:val="15"/>
        </w:rPr>
        <w:t xml:space="preserve"> </w:t>
      </w:r>
      <w:r>
        <w:rPr>
          <w:b/>
          <w:bCs/>
          <w:spacing w:val="-5"/>
        </w:rPr>
        <w:t>抽样</w:t>
      </w:r>
    </w:p>
    <w:p>
      <w:pPr>
        <w:pStyle w:val="2"/>
        <w:spacing w:before="161" w:line="228" w:lineRule="auto"/>
        <w:ind w:left="12"/>
      </w:pPr>
      <w:r>
        <w:rPr>
          <w:spacing w:val="3"/>
        </w:rPr>
        <w:t>1.1</w:t>
      </w:r>
      <w:r>
        <w:rPr>
          <w:spacing w:val="-41"/>
        </w:rPr>
        <w:t xml:space="preserve"> </w:t>
      </w:r>
      <w:r>
        <w:rPr>
          <w:spacing w:val="3"/>
        </w:rPr>
        <w:t>抽样方法</w:t>
      </w:r>
    </w:p>
    <w:p>
      <w:pPr>
        <w:pStyle w:val="2"/>
        <w:spacing w:before="163" w:line="227" w:lineRule="auto"/>
        <w:ind w:left="441"/>
      </w:pPr>
      <w:r>
        <w:rPr>
          <w:spacing w:val="8"/>
        </w:rPr>
        <w:t>以随机抽样的方式在被抽样生产者、销售者的待销产品中抽取。</w:t>
      </w:r>
    </w:p>
    <w:p>
      <w:pPr>
        <w:pStyle w:val="2"/>
        <w:spacing w:before="262" w:line="228" w:lineRule="auto"/>
        <w:ind w:left="12"/>
      </w:pPr>
      <w:r>
        <w:rPr>
          <w:spacing w:val="3"/>
        </w:rPr>
        <w:t>1.2</w:t>
      </w:r>
      <w:r>
        <w:rPr>
          <w:spacing w:val="-41"/>
        </w:rPr>
        <w:t xml:space="preserve"> </w:t>
      </w:r>
      <w:r>
        <w:rPr>
          <w:spacing w:val="3"/>
        </w:rPr>
        <w:t>抽样基数</w:t>
      </w:r>
    </w:p>
    <w:p>
      <w:pPr>
        <w:pStyle w:val="2"/>
        <w:spacing w:before="128" w:line="228" w:lineRule="auto"/>
        <w:ind w:left="416"/>
      </w:pPr>
      <w:r>
        <w:rPr>
          <w:spacing w:val="8"/>
        </w:rPr>
        <w:t>抽查样品基数满足抽样数量即可。</w:t>
      </w:r>
    </w:p>
    <w:p>
      <w:pPr>
        <w:pStyle w:val="2"/>
        <w:spacing w:before="161" w:line="228" w:lineRule="auto"/>
        <w:ind w:left="12"/>
      </w:pPr>
      <w:r>
        <w:rPr>
          <w:spacing w:val="2"/>
        </w:rPr>
        <w:t>1.</w:t>
      </w:r>
      <w:r>
        <w:rPr>
          <w:rFonts w:hint="eastAsia"/>
          <w:spacing w:val="2"/>
          <w:lang w:val="en-US" w:eastAsia="zh-CN"/>
        </w:rPr>
        <w:t>3</w:t>
      </w:r>
      <w:r>
        <w:rPr>
          <w:spacing w:val="-34"/>
        </w:rPr>
        <w:t xml:space="preserve"> </w:t>
      </w:r>
      <w:r>
        <w:rPr>
          <w:spacing w:val="2"/>
        </w:rPr>
        <w:t>抽样数量</w:t>
      </w:r>
    </w:p>
    <w:p>
      <w:pPr>
        <w:pStyle w:val="2"/>
        <w:spacing w:before="161" w:line="228" w:lineRule="auto"/>
        <w:ind w:left="417"/>
      </w:pPr>
      <w:r>
        <w:rPr>
          <w:spacing w:val="9"/>
        </w:rPr>
        <w:t>每批次产品抽取样品</w:t>
      </w:r>
      <w:r>
        <w:rPr>
          <w:rFonts w:hint="eastAsia"/>
          <w:spacing w:val="9"/>
          <w:lang w:val="en-US" w:eastAsia="zh-CN"/>
        </w:rPr>
        <w:t>60</w:t>
      </w:r>
      <w:r>
        <w:rPr>
          <w:spacing w:val="-38"/>
        </w:rPr>
        <w:t xml:space="preserve"> </w:t>
      </w:r>
      <w:r>
        <w:rPr>
          <w:spacing w:val="9"/>
        </w:rPr>
        <w:t>个，其中</w:t>
      </w:r>
      <w:r>
        <w:rPr>
          <w:rFonts w:hint="eastAsia"/>
          <w:spacing w:val="-35"/>
          <w:lang w:val="en-US" w:eastAsia="zh-CN"/>
        </w:rPr>
        <w:t>40</w:t>
      </w:r>
      <w:r>
        <w:rPr>
          <w:spacing w:val="-38"/>
        </w:rPr>
        <w:t xml:space="preserve"> </w:t>
      </w:r>
      <w:r>
        <w:rPr>
          <w:spacing w:val="9"/>
        </w:rPr>
        <w:t>个作为检验样品，</w:t>
      </w:r>
      <w:r>
        <w:rPr>
          <w:rFonts w:hint="eastAsia"/>
          <w:spacing w:val="9"/>
          <w:lang w:val="en-US" w:eastAsia="zh-CN"/>
        </w:rPr>
        <w:t>20</w:t>
      </w:r>
      <w:r>
        <w:rPr>
          <w:spacing w:val="9"/>
        </w:rPr>
        <w:t>个作为备用</w:t>
      </w:r>
      <w:r>
        <w:rPr>
          <w:spacing w:val="8"/>
        </w:rPr>
        <w:t>样品。</w:t>
      </w:r>
    </w:p>
    <w:p>
      <w:pPr>
        <w:pStyle w:val="2"/>
        <w:spacing w:before="264" w:line="228" w:lineRule="auto"/>
        <w:outlineLvl w:val="1"/>
      </w:pPr>
      <w:r>
        <w:rPr>
          <w:b/>
          <w:bCs/>
          <w:spacing w:val="6"/>
        </w:rPr>
        <w:t>2</w:t>
      </w:r>
      <w:r>
        <w:rPr>
          <w:spacing w:val="6"/>
        </w:rPr>
        <w:t xml:space="preserve"> </w:t>
      </w:r>
      <w:r>
        <w:rPr>
          <w:b/>
          <w:bCs/>
          <w:spacing w:val="6"/>
        </w:rPr>
        <w:t>检验项目及检测方法</w:t>
      </w:r>
    </w:p>
    <w:p>
      <w:pPr>
        <w:pStyle w:val="2"/>
        <w:spacing w:before="267" w:line="228" w:lineRule="auto"/>
        <w:ind w:left="3020"/>
        <w:rPr>
          <w:b/>
          <w:bCs/>
          <w:spacing w:val="5"/>
        </w:rPr>
      </w:pPr>
      <w:r>
        <w:rPr>
          <w:b/>
          <w:bCs/>
          <w:spacing w:val="5"/>
        </w:rPr>
        <w:t>表</w:t>
      </w:r>
      <w:r>
        <w:rPr>
          <w:spacing w:val="-15"/>
        </w:rPr>
        <w:t xml:space="preserve"> </w:t>
      </w:r>
      <w:r>
        <w:rPr>
          <w:b/>
          <w:bCs/>
          <w:spacing w:val="5"/>
        </w:rPr>
        <w:t>1</w:t>
      </w:r>
      <w:r>
        <w:rPr>
          <w:spacing w:val="5"/>
        </w:rPr>
        <w:t xml:space="preserve"> </w:t>
      </w:r>
      <w:r>
        <w:rPr>
          <w:b/>
          <w:bCs/>
          <w:spacing w:val="5"/>
        </w:rPr>
        <w:t>塑料购物袋产品检验项目</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6"/>
        <w:gridCol w:w="3542"/>
        <w:gridCol w:w="3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6" w:type="dxa"/>
            <w:vAlign w:val="center"/>
          </w:tcPr>
          <w:p>
            <w:pPr>
              <w:pStyle w:val="7"/>
              <w:widowControl w:val="0"/>
              <w:spacing w:before="65" w:line="229" w:lineRule="auto"/>
              <w:jc w:val="center"/>
              <w:rPr>
                <w:b/>
                <w:bCs/>
                <w:spacing w:val="4"/>
                <w:vertAlign w:val="baseline"/>
              </w:rPr>
            </w:pPr>
            <w:r>
              <w:rPr>
                <w:spacing w:val="5"/>
              </w:rPr>
              <w:t>序号</w:t>
            </w:r>
          </w:p>
        </w:tc>
        <w:tc>
          <w:tcPr>
            <w:tcW w:w="3542" w:type="dxa"/>
            <w:vAlign w:val="center"/>
          </w:tcPr>
          <w:p>
            <w:pPr>
              <w:pStyle w:val="7"/>
              <w:widowControl w:val="0"/>
              <w:spacing w:before="65" w:line="228" w:lineRule="auto"/>
              <w:jc w:val="center"/>
              <w:rPr>
                <w:b/>
                <w:bCs/>
                <w:spacing w:val="4"/>
                <w:vertAlign w:val="baseline"/>
              </w:rPr>
            </w:pPr>
            <w:r>
              <w:rPr>
                <w:spacing w:val="7"/>
              </w:rPr>
              <w:t>检验项目</w:t>
            </w:r>
          </w:p>
        </w:tc>
        <w:tc>
          <w:tcPr>
            <w:tcW w:w="3155" w:type="dxa"/>
            <w:vAlign w:val="center"/>
          </w:tcPr>
          <w:p>
            <w:pPr>
              <w:pStyle w:val="7"/>
              <w:widowControl w:val="0"/>
              <w:spacing w:before="65" w:line="228" w:lineRule="auto"/>
              <w:jc w:val="center"/>
              <w:rPr>
                <w:b/>
                <w:bCs/>
                <w:spacing w:val="4"/>
                <w:vertAlign w:val="baseline"/>
              </w:rPr>
            </w:pPr>
            <w:r>
              <w:rPr>
                <w:spacing w:val="7"/>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6"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1</w:t>
            </w:r>
          </w:p>
        </w:tc>
        <w:tc>
          <w:tcPr>
            <w:tcW w:w="3542" w:type="dxa"/>
            <w:vAlign w:val="center"/>
          </w:tcPr>
          <w:p>
            <w:pPr>
              <w:pStyle w:val="7"/>
              <w:widowControl w:val="0"/>
              <w:spacing w:before="65" w:line="228" w:lineRule="auto"/>
              <w:jc w:val="center"/>
              <w:rPr>
                <w:rFonts w:hint="eastAsia"/>
                <w:spacing w:val="7"/>
                <w:lang w:eastAsia="zh-CN"/>
              </w:rPr>
            </w:pPr>
            <w:r>
              <w:rPr>
                <w:rFonts w:hint="eastAsia" w:ascii="宋体" w:hAnsi="宋体" w:eastAsia="宋体" w:cs="宋体"/>
                <w:snapToGrid w:val="0"/>
                <w:color w:val="000000"/>
                <w:spacing w:val="9"/>
                <w:kern w:val="0"/>
                <w:sz w:val="20"/>
                <w:szCs w:val="20"/>
                <w:lang w:val="en-US" w:eastAsia="zh-CN" w:bidi="ar-SA"/>
              </w:rPr>
              <w:t>总迁移量</w:t>
            </w:r>
          </w:p>
        </w:tc>
        <w:tc>
          <w:tcPr>
            <w:tcW w:w="3155" w:type="dxa"/>
            <w:vAlign w:val="center"/>
          </w:tcPr>
          <w:p>
            <w:pPr>
              <w:pStyle w:val="7"/>
              <w:widowControl w:val="0"/>
              <w:spacing w:before="99" w:line="233" w:lineRule="auto"/>
              <w:jc w:val="center"/>
              <w:rPr>
                <w:spacing w:val="7"/>
              </w:rPr>
            </w:pPr>
            <w:r>
              <w:rPr>
                <w:rFonts w:hint="eastAsia" w:ascii="宋体" w:hAnsi="宋体" w:eastAsia="宋体" w:cs="宋体"/>
                <w:snapToGrid w:val="0"/>
                <w:color w:val="000000"/>
                <w:spacing w:val="9"/>
                <w:kern w:val="0"/>
                <w:sz w:val="20"/>
                <w:szCs w:val="20"/>
                <w:lang w:val="en-US" w:eastAsia="en-US" w:bidi="ar-SA"/>
              </w:rPr>
              <w:t>GB 4806.7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6"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2</w:t>
            </w:r>
          </w:p>
        </w:tc>
        <w:tc>
          <w:tcPr>
            <w:tcW w:w="3542" w:type="dxa"/>
            <w:vAlign w:val="center"/>
          </w:tcPr>
          <w:p>
            <w:pPr>
              <w:pStyle w:val="7"/>
              <w:widowControl w:val="0"/>
              <w:spacing w:before="65" w:line="228" w:lineRule="auto"/>
              <w:jc w:val="center"/>
              <w:rPr>
                <w:spacing w:val="7"/>
              </w:rPr>
            </w:pPr>
            <w:r>
              <w:rPr>
                <w:rFonts w:hint="eastAsia" w:ascii="宋体" w:hAnsi="宋体" w:eastAsia="宋体" w:cs="宋体"/>
                <w:snapToGrid w:val="0"/>
                <w:color w:val="000000"/>
                <w:spacing w:val="9"/>
                <w:kern w:val="0"/>
                <w:sz w:val="20"/>
                <w:szCs w:val="20"/>
                <w:lang w:val="en-US" w:eastAsia="zh-CN" w:bidi="ar-SA"/>
              </w:rPr>
              <w:t>重金属（以 Pb 计）</w:t>
            </w:r>
          </w:p>
        </w:tc>
        <w:tc>
          <w:tcPr>
            <w:tcW w:w="3155" w:type="dxa"/>
            <w:vAlign w:val="center"/>
          </w:tcPr>
          <w:p>
            <w:pPr>
              <w:pStyle w:val="7"/>
              <w:widowControl w:val="0"/>
              <w:spacing w:before="29" w:line="243" w:lineRule="auto"/>
              <w:ind w:right="821" w:rightChars="0"/>
              <w:jc w:val="center"/>
              <w:rPr>
                <w:rFonts w:hint="default"/>
                <w:spacing w:val="7"/>
                <w:lang w:val="en-US" w:eastAsia="zh-CN"/>
              </w:rPr>
            </w:pPr>
            <w:r>
              <w:rPr>
                <w:rFonts w:hint="eastAsia" w:ascii="宋体" w:hAnsi="宋体" w:eastAsia="宋体" w:cs="宋体"/>
                <w:snapToGrid w:val="0"/>
                <w:color w:val="000000"/>
                <w:spacing w:val="9"/>
                <w:kern w:val="0"/>
                <w:sz w:val="20"/>
                <w:szCs w:val="20"/>
                <w:lang w:val="en-US" w:eastAsia="zh-CN" w:bidi="ar-SA"/>
              </w:rPr>
              <w:t xml:space="preserve">       </w:t>
            </w:r>
            <w:r>
              <w:rPr>
                <w:rFonts w:hint="eastAsia" w:ascii="宋体" w:hAnsi="宋体" w:eastAsia="宋体" w:cs="宋体"/>
                <w:snapToGrid w:val="0"/>
                <w:color w:val="000000"/>
                <w:spacing w:val="9"/>
                <w:kern w:val="0"/>
                <w:sz w:val="20"/>
                <w:szCs w:val="20"/>
                <w:lang w:val="en-US" w:eastAsia="en-US" w:bidi="ar-SA"/>
              </w:rPr>
              <w:t>GB 4806.7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646"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3</w:t>
            </w:r>
          </w:p>
        </w:tc>
        <w:tc>
          <w:tcPr>
            <w:tcW w:w="3542" w:type="dxa"/>
            <w:vAlign w:val="center"/>
          </w:tcPr>
          <w:p>
            <w:pPr>
              <w:pStyle w:val="7"/>
              <w:widowControl w:val="0"/>
              <w:spacing w:before="305" w:line="229" w:lineRule="auto"/>
              <w:ind w:firstLine="1284" w:firstLineChars="600"/>
              <w:jc w:val="both"/>
              <w:rPr>
                <w:rFonts w:hint="eastAsia" w:eastAsia="宋体"/>
                <w:spacing w:val="7"/>
                <w:lang w:val="en-US" w:eastAsia="zh-CN"/>
              </w:rPr>
            </w:pPr>
            <w:r>
              <w:rPr>
                <w:rFonts w:hint="eastAsia"/>
                <w:spacing w:val="7"/>
                <w:lang w:val="en-US" w:eastAsia="zh-CN"/>
              </w:rPr>
              <w:t>跌落试验</w:t>
            </w:r>
          </w:p>
        </w:tc>
        <w:tc>
          <w:tcPr>
            <w:tcW w:w="3155" w:type="dxa"/>
            <w:vAlign w:val="center"/>
          </w:tcPr>
          <w:p>
            <w:pPr>
              <w:pStyle w:val="7"/>
              <w:widowControl w:val="0"/>
              <w:spacing w:before="34" w:line="239" w:lineRule="auto"/>
              <w:ind w:right="821" w:rightChars="0"/>
              <w:jc w:val="center"/>
              <w:rPr>
                <w:spacing w:val="7"/>
              </w:rPr>
            </w:pPr>
            <w:r>
              <w:rPr>
                <w:rFonts w:hint="eastAsia"/>
                <w:lang w:val="en-US" w:eastAsia="zh-CN"/>
              </w:rPr>
              <w:t xml:space="preserve">        </w:t>
            </w:r>
            <w:r>
              <w:rPr>
                <w:rFonts w:hint="eastAsia"/>
              </w:rPr>
              <w:t>GB/T 21661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6"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4</w:t>
            </w:r>
          </w:p>
        </w:tc>
        <w:tc>
          <w:tcPr>
            <w:tcW w:w="3542" w:type="dxa"/>
            <w:vAlign w:val="center"/>
          </w:tcPr>
          <w:p>
            <w:pPr>
              <w:pStyle w:val="7"/>
              <w:widowControl w:val="0"/>
              <w:spacing w:before="65" w:line="228" w:lineRule="auto"/>
              <w:jc w:val="center"/>
              <w:rPr>
                <w:spacing w:val="7"/>
              </w:rPr>
            </w:pPr>
            <w:r>
              <w:rPr>
                <w:spacing w:val="6"/>
              </w:rPr>
              <w:t>漏水性</w:t>
            </w:r>
          </w:p>
        </w:tc>
        <w:tc>
          <w:tcPr>
            <w:tcW w:w="3155" w:type="dxa"/>
            <w:vAlign w:val="center"/>
          </w:tcPr>
          <w:p>
            <w:pPr>
              <w:pStyle w:val="7"/>
              <w:widowControl w:val="0"/>
              <w:spacing w:before="37" w:line="238" w:lineRule="auto"/>
              <w:ind w:right="821" w:rightChars="0"/>
              <w:jc w:val="center"/>
              <w:rPr>
                <w:spacing w:val="7"/>
              </w:rPr>
            </w:pPr>
            <w:r>
              <w:rPr>
                <w:rFonts w:hint="eastAsia"/>
                <w:lang w:val="en-US" w:eastAsia="zh-CN"/>
              </w:rPr>
              <w:t xml:space="preserve">        </w:t>
            </w:r>
            <w:r>
              <w:rPr>
                <w:rFonts w:hint="eastAsia"/>
              </w:rPr>
              <w:t>GB/T 21661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6"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5</w:t>
            </w:r>
          </w:p>
        </w:tc>
        <w:tc>
          <w:tcPr>
            <w:tcW w:w="3542" w:type="dxa"/>
            <w:vAlign w:val="center"/>
          </w:tcPr>
          <w:p>
            <w:pPr>
              <w:pStyle w:val="7"/>
              <w:widowControl w:val="0"/>
              <w:spacing w:before="104" w:line="228" w:lineRule="auto"/>
              <w:jc w:val="center"/>
              <w:rPr>
                <w:spacing w:val="7"/>
              </w:rPr>
            </w:pPr>
            <w:r>
              <w:rPr>
                <w:spacing w:val="6"/>
              </w:rPr>
              <w:t>落镖冲击</w:t>
            </w:r>
          </w:p>
        </w:tc>
        <w:tc>
          <w:tcPr>
            <w:tcW w:w="3155" w:type="dxa"/>
            <w:vAlign w:val="center"/>
          </w:tcPr>
          <w:p>
            <w:pPr>
              <w:pStyle w:val="7"/>
              <w:widowControl w:val="0"/>
              <w:spacing w:before="103" w:line="233" w:lineRule="auto"/>
              <w:jc w:val="center"/>
              <w:rPr>
                <w:spacing w:val="7"/>
              </w:rPr>
            </w:pPr>
            <w:r>
              <w:rPr>
                <w:rFonts w:hint="eastAsia"/>
              </w:rPr>
              <w:t>GB/T 21661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6"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6</w:t>
            </w:r>
          </w:p>
        </w:tc>
        <w:tc>
          <w:tcPr>
            <w:tcW w:w="3542" w:type="dxa"/>
            <w:vAlign w:val="center"/>
          </w:tcPr>
          <w:p>
            <w:pPr>
              <w:pStyle w:val="7"/>
              <w:widowControl w:val="0"/>
              <w:spacing w:before="104" w:line="228" w:lineRule="auto"/>
              <w:jc w:val="center"/>
              <w:rPr>
                <w:spacing w:val="7"/>
              </w:rPr>
            </w:pPr>
            <w:r>
              <w:rPr>
                <w:rFonts w:hint="eastAsia"/>
                <w:spacing w:val="6"/>
              </w:rPr>
              <w:t>宽度和长度偏差</w:t>
            </w:r>
          </w:p>
        </w:tc>
        <w:tc>
          <w:tcPr>
            <w:tcW w:w="3155" w:type="dxa"/>
            <w:vAlign w:val="center"/>
          </w:tcPr>
          <w:p>
            <w:pPr>
              <w:pStyle w:val="7"/>
              <w:widowControl w:val="0"/>
              <w:spacing w:before="103" w:line="233" w:lineRule="auto"/>
              <w:jc w:val="center"/>
              <w:rPr>
                <w:spacing w:val="7"/>
              </w:rPr>
            </w:pPr>
            <w:r>
              <w:rPr>
                <w:rFonts w:hint="eastAsia"/>
              </w:rPr>
              <w:t>GB/T 21661</w:t>
            </w:r>
          </w:p>
        </w:tc>
      </w:tr>
    </w:tbl>
    <w:p>
      <w:pPr>
        <w:spacing w:line="252" w:lineRule="auto"/>
        <w:rPr>
          <w:rFonts w:ascii="Arial"/>
          <w:sz w:val="21"/>
        </w:rPr>
      </w:pPr>
    </w:p>
    <w:p>
      <w:pPr>
        <w:pStyle w:val="2"/>
        <w:spacing w:before="66" w:line="391" w:lineRule="auto"/>
        <w:ind w:firstLine="440" w:firstLineChars="200"/>
      </w:pPr>
      <w:r>
        <w:rPr>
          <w:spacing w:val="10"/>
        </w:rPr>
        <w:t>注：上表所列检验项目是有关法律法规、标准等规定的，重点涉及健康、安全、节能、环保</w:t>
      </w:r>
      <w:r>
        <w:rPr>
          <w:spacing w:val="14"/>
        </w:rPr>
        <w:t xml:space="preserve"> </w:t>
      </w:r>
      <w:r>
        <w:rPr>
          <w:spacing w:val="8"/>
        </w:rPr>
        <w:t>以及消费者、有关组织反映有质量问题的重要项目。</w:t>
      </w:r>
    </w:p>
    <w:p>
      <w:pPr>
        <w:pStyle w:val="2"/>
        <w:spacing w:before="49" w:line="228" w:lineRule="auto"/>
        <w:ind w:left="417"/>
      </w:pPr>
      <w:r>
        <w:rPr>
          <w:spacing w:val="9"/>
        </w:rPr>
        <w:t>执行企业标准、团体标准、地方标准的产品，检验项目参照上述内容执行。</w:t>
      </w:r>
    </w:p>
    <w:p>
      <w:pPr>
        <w:pStyle w:val="2"/>
        <w:spacing w:before="303" w:line="227" w:lineRule="auto"/>
        <w:ind w:right="8"/>
        <w:jc w:val="right"/>
      </w:pPr>
      <w:r>
        <w:rPr>
          <w:spacing w:val="10"/>
        </w:rPr>
        <w:t>凡是注日期的文件，其随后所有的修改单（不包括勘误的内容）或修订版不适用于本细则。</w:t>
      </w:r>
    </w:p>
    <w:p>
      <w:pPr>
        <w:spacing w:line="227" w:lineRule="auto"/>
      </w:pPr>
    </w:p>
    <w:p>
      <w:pPr>
        <w:pStyle w:val="2"/>
        <w:spacing w:before="65" w:line="227" w:lineRule="auto"/>
      </w:pPr>
      <w:r>
        <w:rPr>
          <w:spacing w:val="9"/>
        </w:rPr>
        <w:t>凡是不注日期的文件，其最新版本适用于本</w:t>
      </w:r>
      <w:r>
        <w:rPr>
          <w:spacing w:val="8"/>
        </w:rPr>
        <w:t>细则。</w:t>
      </w:r>
    </w:p>
    <w:p>
      <w:pPr>
        <w:pStyle w:val="2"/>
        <w:spacing w:before="196" w:line="360" w:lineRule="auto"/>
        <w:ind w:left="5"/>
        <w:outlineLvl w:val="1"/>
      </w:pPr>
      <w:r>
        <w:rPr>
          <w:rFonts w:ascii="黑体" w:hAnsi="黑体" w:eastAsia="黑体" w:cs="黑体"/>
          <w:b/>
          <w:bCs/>
          <w:spacing w:val="4"/>
        </w:rPr>
        <w:t>3</w:t>
      </w:r>
      <w:r>
        <w:rPr>
          <w:rFonts w:ascii="黑体" w:hAnsi="黑体" w:eastAsia="黑体" w:cs="黑体"/>
          <w:spacing w:val="14"/>
        </w:rPr>
        <w:t xml:space="preserve"> </w:t>
      </w:r>
      <w:r>
        <w:rPr>
          <w:b/>
          <w:bCs/>
          <w:spacing w:val="4"/>
        </w:rPr>
        <w:t>判定规则</w:t>
      </w:r>
    </w:p>
    <w:p>
      <w:pPr>
        <w:pStyle w:val="2"/>
        <w:spacing w:before="49" w:line="360" w:lineRule="auto"/>
        <w:rPr>
          <w:spacing w:val="9"/>
        </w:rPr>
      </w:pPr>
      <w:r>
        <w:rPr>
          <w:spacing w:val="9"/>
        </w:rPr>
        <w:t>3.1 标准依据</w:t>
      </w:r>
    </w:p>
    <w:p>
      <w:pPr>
        <w:pStyle w:val="2"/>
        <w:spacing w:before="49" w:line="360" w:lineRule="auto"/>
        <w:ind w:left="417"/>
        <w:rPr>
          <w:spacing w:val="9"/>
        </w:rPr>
      </w:pPr>
      <w:r>
        <w:rPr>
          <w:spacing w:val="9"/>
        </w:rPr>
        <w:t>GB/T 21661 塑料购物袋</w:t>
      </w:r>
    </w:p>
    <w:p>
      <w:pPr>
        <w:pStyle w:val="2"/>
        <w:spacing w:before="49" w:line="360" w:lineRule="auto"/>
        <w:ind w:left="417"/>
        <w:rPr>
          <w:rFonts w:hint="default"/>
          <w:spacing w:val="9"/>
          <w:lang w:val="en-US" w:eastAsia="zh-CN"/>
        </w:rPr>
      </w:pPr>
      <w:r>
        <w:rPr>
          <w:rFonts w:hint="eastAsia"/>
          <w:spacing w:val="9"/>
        </w:rPr>
        <w:t>GB 4806.7</w:t>
      </w:r>
      <w:r>
        <w:rPr>
          <w:rFonts w:hint="eastAsia"/>
          <w:spacing w:val="9"/>
          <w:lang w:val="en-US" w:eastAsia="zh-CN"/>
        </w:rPr>
        <w:t xml:space="preserve">  食品接触用塑料材料及制品安全要求</w:t>
      </w:r>
    </w:p>
    <w:p>
      <w:pPr>
        <w:pStyle w:val="2"/>
        <w:spacing w:before="49" w:line="360" w:lineRule="auto"/>
        <w:ind w:left="417"/>
        <w:rPr>
          <w:spacing w:val="9"/>
        </w:rPr>
      </w:pPr>
      <w:r>
        <w:rPr>
          <w:spacing w:val="9"/>
        </w:rPr>
        <w:t>相关的法律、行政法规、部门规章、规范性文件</w:t>
      </w:r>
    </w:p>
    <w:p>
      <w:pPr>
        <w:pStyle w:val="2"/>
        <w:spacing w:before="49" w:line="360" w:lineRule="auto"/>
        <w:ind w:left="417"/>
        <w:rPr>
          <w:spacing w:val="9"/>
        </w:rPr>
      </w:pPr>
      <w:r>
        <w:rPr>
          <w:spacing w:val="9"/>
        </w:rPr>
        <w:t xml:space="preserve">现行有效的企业标准、团体标准、地方标准及产品明示质量要求 </w:t>
      </w:r>
    </w:p>
    <w:p>
      <w:pPr>
        <w:pStyle w:val="2"/>
        <w:spacing w:before="194" w:line="391" w:lineRule="auto"/>
        <w:ind w:left="9" w:right="2544" w:firstLine="417"/>
        <w:rPr>
          <w:spacing w:val="4"/>
        </w:rPr>
      </w:pPr>
    </w:p>
    <w:p>
      <w:pPr>
        <w:pStyle w:val="2"/>
        <w:spacing w:before="194" w:line="391" w:lineRule="auto"/>
        <w:ind w:right="2544"/>
      </w:pPr>
      <w:r>
        <w:rPr>
          <w:spacing w:val="4"/>
        </w:rPr>
        <w:t>3.2</w:t>
      </w:r>
      <w:r>
        <w:rPr>
          <w:spacing w:val="-37"/>
        </w:rPr>
        <w:t xml:space="preserve"> </w:t>
      </w:r>
      <w:r>
        <w:rPr>
          <w:spacing w:val="4"/>
        </w:rPr>
        <w:t>判定原则</w:t>
      </w:r>
    </w:p>
    <w:p>
      <w:pPr>
        <w:pStyle w:val="2"/>
        <w:spacing w:before="33" w:line="391" w:lineRule="auto"/>
        <w:ind w:left="8" w:firstLine="419"/>
      </w:pPr>
      <w:r>
        <w:rPr>
          <w:spacing w:val="10"/>
        </w:rPr>
        <w:t xml:space="preserve">经检验，检验项目全部合格，判定为被抽查产品所检项目未发现不合格；检验项目中任一项 </w:t>
      </w:r>
      <w:r>
        <w:rPr>
          <w:spacing w:val="8"/>
        </w:rPr>
        <w:t>或一项以上不合格，判定为被抽查产品不合格。</w:t>
      </w:r>
    </w:p>
    <w:p>
      <w:pPr>
        <w:pStyle w:val="2"/>
        <w:spacing w:before="32" w:line="393" w:lineRule="auto"/>
        <w:ind w:left="6" w:firstLine="417"/>
      </w:pPr>
      <w:r>
        <w:rPr>
          <w:spacing w:val="10"/>
        </w:rPr>
        <w:t>若被检产品明示的质量要求高于本细则中检验项目依据的标准要求时，应按被检产品明示的</w:t>
      </w:r>
      <w:r>
        <w:rPr>
          <w:spacing w:val="13"/>
        </w:rPr>
        <w:t xml:space="preserve"> </w:t>
      </w:r>
      <w:r>
        <w:rPr>
          <w:spacing w:val="6"/>
        </w:rPr>
        <w:t>质量要求判定。</w:t>
      </w:r>
    </w:p>
    <w:p>
      <w:pPr>
        <w:pStyle w:val="2"/>
        <w:spacing w:before="29" w:line="391" w:lineRule="auto"/>
        <w:ind w:left="6" w:firstLine="417"/>
      </w:pPr>
      <w:r>
        <w:rPr>
          <w:spacing w:val="10"/>
        </w:rPr>
        <w:t>若被检产品明示的质量要求低于本细则中检验项目依据的强制性标准要求时，应按照强制性</w:t>
      </w:r>
      <w:r>
        <w:rPr>
          <w:spacing w:val="13"/>
        </w:rPr>
        <w:t xml:space="preserve"> </w:t>
      </w:r>
      <w:r>
        <w:rPr>
          <w:spacing w:val="6"/>
        </w:rPr>
        <w:t>标准要求判定。</w:t>
      </w:r>
    </w:p>
    <w:p>
      <w:pPr>
        <w:pStyle w:val="2"/>
        <w:spacing w:before="34" w:line="390" w:lineRule="auto"/>
        <w:ind w:left="5" w:firstLine="418"/>
      </w:pPr>
      <w:r>
        <w:rPr>
          <w:spacing w:val="10"/>
        </w:rPr>
        <w:t>若被检产品明示的质量要求低于或包含细则中检验项目依据的推荐性标准要求时，应以被检</w:t>
      </w:r>
      <w:r>
        <w:rPr>
          <w:spacing w:val="13"/>
        </w:rPr>
        <w:t xml:space="preserve"> </w:t>
      </w:r>
      <w:r>
        <w:rPr>
          <w:spacing w:val="9"/>
        </w:rPr>
        <w:t>产品明示的质量要求判定，但应在检验报告备注中进行说明。</w:t>
      </w:r>
    </w:p>
    <w:p>
      <w:pPr>
        <w:pStyle w:val="2"/>
        <w:spacing w:before="34" w:line="393" w:lineRule="auto"/>
        <w:ind w:left="6" w:firstLine="417"/>
      </w:pPr>
      <w:r>
        <w:rPr>
          <w:spacing w:val="10"/>
        </w:rPr>
        <w:t>若被检产品明示的质量要求缺少本细则中检验项目依据的强制性标准要求时，应按照强制性</w:t>
      </w:r>
      <w:r>
        <w:rPr>
          <w:spacing w:val="13"/>
        </w:rPr>
        <w:t xml:space="preserve"> </w:t>
      </w:r>
      <w:r>
        <w:rPr>
          <w:spacing w:val="6"/>
        </w:rPr>
        <w:t>标准要求判定。</w:t>
      </w:r>
    </w:p>
    <w:p>
      <w:pPr>
        <w:pStyle w:val="2"/>
        <w:spacing w:before="28" w:line="390" w:lineRule="auto"/>
        <w:ind w:left="5" w:firstLine="418"/>
      </w:pPr>
      <w:r>
        <w:rPr>
          <w:spacing w:val="10"/>
        </w:rPr>
        <w:t>若被检产品明示的质量要求缺少本细则中检验项目依据的推荐性标准要求时，该项目不参与</w:t>
      </w:r>
      <w:r>
        <w:rPr>
          <w:spacing w:val="13"/>
        </w:rPr>
        <w:t xml:space="preserve"> </w:t>
      </w:r>
      <w:r>
        <w:rPr>
          <w:spacing w:val="8"/>
        </w:rPr>
        <w:t>判定，但应在检验报告备注中进行说明。</w:t>
      </w:r>
    </w:p>
    <w:p>
      <w:pPr>
        <w:pStyle w:val="2"/>
        <w:spacing w:before="36" w:line="228" w:lineRule="auto"/>
        <w:outlineLvl w:val="1"/>
      </w:pPr>
      <w:r>
        <w:rPr>
          <w:rFonts w:ascii="黑体" w:hAnsi="黑体" w:eastAsia="黑体" w:cs="黑体"/>
          <w:b/>
          <w:bCs/>
          <w:spacing w:val="4"/>
        </w:rPr>
        <w:t>4</w:t>
      </w:r>
      <w:r>
        <w:rPr>
          <w:rFonts w:ascii="黑体" w:hAnsi="黑体" w:eastAsia="黑体" w:cs="黑体"/>
          <w:spacing w:val="19"/>
        </w:rPr>
        <w:t xml:space="preserve"> </w:t>
      </w:r>
      <w:r>
        <w:rPr>
          <w:b/>
          <w:bCs/>
          <w:spacing w:val="4"/>
        </w:rPr>
        <w:t>异议复检</w:t>
      </w:r>
    </w:p>
    <w:p>
      <w:pPr>
        <w:pStyle w:val="2"/>
        <w:spacing w:before="154" w:line="227" w:lineRule="auto"/>
        <w:ind w:left="426"/>
      </w:pPr>
      <w:r>
        <w:rPr>
          <w:spacing w:val="9"/>
        </w:rPr>
        <w:t>本细则中确定的全部检验项目，采用备用样品进行复检。</w:t>
      </w:r>
    </w:p>
    <w:p>
      <w:pPr>
        <w:spacing w:line="256" w:lineRule="auto"/>
        <w:rPr>
          <w:rFonts w:ascii="Arial"/>
          <w:sz w:val="21"/>
        </w:rPr>
      </w:pPr>
    </w:p>
    <w:p>
      <w:pPr>
        <w:spacing w:line="256" w:lineRule="auto"/>
        <w:rPr>
          <w:rFonts w:ascii="Arial"/>
          <w:sz w:val="21"/>
        </w:rPr>
      </w:pPr>
    </w:p>
    <w:p>
      <w:pPr>
        <w:spacing w:line="256" w:lineRule="auto"/>
        <w:rPr>
          <w:rFonts w:ascii="Arial"/>
          <w:sz w:val="21"/>
        </w:rPr>
      </w:pPr>
    </w:p>
    <w:sectPr>
      <w:footerReference r:id="rId5" w:type="default"/>
      <w:pgSz w:w="11906" w:h="16839"/>
      <w:pgMar w:top="1431" w:right="1533" w:bottom="1429" w:left="1533" w:header="0" w:footer="84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176" w:lineRule="auto"/>
      <w:ind w:left="4363"/>
      <w:rPr>
        <w:sz w:val="28"/>
        <w:szCs w:val="28"/>
      </w:rPr>
    </w:pPr>
    <w:r>
      <w:rPr>
        <w:sz w:val="28"/>
        <w:szCs w:val="28"/>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NjOWJjZWRlNDJjM2M1M2M2MDEzY2Y5NzZiODM0N2MifQ=="/>
  </w:docVars>
  <w:rsids>
    <w:rsidRoot w:val="00000000"/>
    <w:rsid w:val="022573A2"/>
    <w:rsid w:val="0B8450E6"/>
    <w:rsid w:val="0FB2105D"/>
    <w:rsid w:val="0FE95EB3"/>
    <w:rsid w:val="1D2D73DF"/>
    <w:rsid w:val="224A4C83"/>
    <w:rsid w:val="2FBC2844"/>
    <w:rsid w:val="352549E8"/>
    <w:rsid w:val="45D207A8"/>
    <w:rsid w:val="46CE1383"/>
    <w:rsid w:val="4A1A3C81"/>
    <w:rsid w:val="4DF3347D"/>
    <w:rsid w:val="53A476F3"/>
    <w:rsid w:val="677C3646"/>
    <w:rsid w:val="6DF579EF"/>
    <w:rsid w:val="6E3851B0"/>
    <w:rsid w:val="6F3B1FC7"/>
    <w:rsid w:val="74654825"/>
    <w:rsid w:val="7C4905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val="en-US" w:eastAsia="en-US"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801</Words>
  <Characters>868</Characters>
  <TotalTime>4</TotalTime>
  <ScaleCrop>false</ScaleCrop>
  <LinksUpToDate>false</LinksUpToDate>
  <CharactersWithSpaces>925</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2024-02-01T22:28:00Z</dcterms:created>
  <dc:creator>Administrator</dc:creator>
  <cp:lastModifiedBy>逐光</cp:lastModifiedBy>
  <dcterms:modified xsi:type="dcterms:W3CDTF">2024-06-18T08:53:34Z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2024-06-17T09:13:59Z</vt:filetime>
  </property>
  <property fmtid="{D5CDD505-2E9C-101B-9397-08002B2CF9AE}" pid="4" name="KSOProductBuildVer">
    <vt:lpwstr>2052-12.1.0.16929</vt:lpwstr>
  </property>
  <property fmtid="{D5CDD505-2E9C-101B-9397-08002B2CF9AE}" pid="5" name="ICV">
    <vt:lpwstr>F45874F4663941B4B8ED371B97D335DE_12</vt:lpwstr>
  </property>
</Properties>
</file>