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tabs>
          <w:tab w:val="left" w:pos="0"/>
          <w:tab w:val="left" w:pos="1980"/>
        </w:tabs>
        <w:spacing w:before="0" w:beforeAutospacing="0" w:after="0" w:afterAutospacing="0"/>
        <w:ind w:left="0" w:right="0"/>
        <w:jc w:val="center"/>
      </w:pPr>
      <w:r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lang w:val="en-US" w:eastAsia="zh-CN" w:bidi="ar"/>
        </w:rPr>
        <w:t>用电业务办理告知书（低压新装、增容）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312" w:lineRule="auto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 w:val="0"/>
          <w:spacing w:val="0"/>
          <w:kern w:val="2"/>
          <w:sz w:val="28"/>
          <w:szCs w:val="28"/>
          <w:lang w:val="en-US" w:eastAsia="zh-CN" w:bidi="ar"/>
        </w:rPr>
        <w:t>尊敬的电力客户：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12" w:lineRule="auto"/>
        <w:ind w:left="0" w:right="0" w:firstLine="562" w:firstLineChars="20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黑体" w:eastAsia="黑体" w:cs="黑体"/>
          <w:b/>
          <w:bCs w:val="0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10160</wp:posOffset>
            </wp:positionV>
            <wp:extent cx="5266690" cy="2962910"/>
            <wp:effectExtent l="0" t="0" r="3810" b="8890"/>
            <wp:wrapNone/>
            <wp:docPr id="2" name="图片 2" descr="微信图片_20210909112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9091124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Times New Roman" w:eastAsia="宋体" w:cs="Times New Roman"/>
          <w:spacing w:val="0"/>
          <w:sz w:val="28"/>
          <w:szCs w:val="22"/>
          <w:lang w:val="en-US" w:eastAsia="zh-CN" w:bidi="ar-SA"/>
        </w:rPr>
        <w:t>欢迎您到国网</w:t>
      </w:r>
      <w:r>
        <w:rPr>
          <w:rFonts w:hint="eastAsia" w:ascii="仿宋_GB2312" w:eastAsia="宋体" w:cs="Times New Roman"/>
          <w:spacing w:val="0"/>
          <w:sz w:val="28"/>
          <w:szCs w:val="22"/>
          <w:lang w:val="en-US" w:eastAsia="zh-CN" w:bidi="ar-SA"/>
        </w:rPr>
        <w:t>山东省电力</w:t>
      </w:r>
      <w:r>
        <w:rPr>
          <w:rFonts w:hint="eastAsia" w:ascii="仿宋_GB2312" w:hAnsi="Times New Roman" w:eastAsia="宋体" w:cs="Times New Roman"/>
          <w:spacing w:val="0"/>
          <w:sz w:val="28"/>
          <w:szCs w:val="22"/>
          <w:lang w:val="en-US" w:eastAsia="zh-CN" w:bidi="ar-SA"/>
        </w:rPr>
        <w:t>公司办理用电业务！我公司全面推行</w:t>
      </w:r>
      <w:r>
        <w:rPr>
          <w:rFonts w:hint="eastAsia" w:ascii="仿宋_GB2312" w:eastAsia="宋体" w:cs="Times New Roman"/>
          <w:spacing w:val="0"/>
          <w:sz w:val="28"/>
          <w:szCs w:val="22"/>
          <w:lang w:val="en-US" w:eastAsia="zh-CN" w:bidi="ar-SA"/>
        </w:rPr>
        <w:t>居民客户和低压小微企业</w:t>
      </w:r>
      <w:r>
        <w:rPr>
          <w:rFonts w:hint="eastAsia" w:ascii="仿宋_GB2312" w:hAnsi="Times New Roman" w:eastAsia="宋体" w:cs="Times New Roman"/>
          <w:spacing w:val="0"/>
          <w:sz w:val="28"/>
          <w:szCs w:val="22"/>
          <w:lang w:val="en-US" w:eastAsia="zh-CN" w:bidi="ar-SA"/>
        </w:rPr>
        <w:t>“三</w:t>
      </w:r>
      <w:r>
        <w:rPr>
          <w:rFonts w:hint="eastAsia" w:ascii="仿宋_GB2312" w:eastAsia="宋体" w:cs="Times New Roman"/>
          <w:spacing w:val="0"/>
          <w:sz w:val="28"/>
          <w:szCs w:val="22"/>
          <w:lang w:val="en-US" w:eastAsia="zh-CN" w:bidi="ar-SA"/>
        </w:rPr>
        <w:t>零</w:t>
      </w:r>
      <w:r>
        <w:rPr>
          <w:rFonts w:hint="eastAsia" w:ascii="仿宋_GB2312" w:hAnsi="Times New Roman" w:eastAsia="宋体" w:cs="Times New Roman"/>
          <w:spacing w:val="0"/>
          <w:sz w:val="28"/>
          <w:szCs w:val="22"/>
          <w:lang w:val="en-US" w:eastAsia="zh-CN" w:bidi="ar-SA"/>
        </w:rPr>
        <w:t>”（</w:t>
      </w:r>
      <w:r>
        <w:rPr>
          <w:rFonts w:hint="eastAsia" w:ascii="仿宋_GB2312" w:eastAsia="宋体" w:cs="Times New Roman"/>
          <w:spacing w:val="0"/>
          <w:sz w:val="28"/>
          <w:szCs w:val="22"/>
          <w:lang w:val="en-US" w:eastAsia="zh-CN" w:bidi="ar-SA"/>
        </w:rPr>
        <w:t>零上门</w:t>
      </w:r>
      <w:r>
        <w:rPr>
          <w:rFonts w:hint="eastAsia" w:ascii="仿宋_GB2312" w:hAnsi="Times New Roman" w:eastAsia="宋体" w:cs="Times New Roman"/>
          <w:spacing w:val="0"/>
          <w:sz w:val="28"/>
          <w:szCs w:val="22"/>
          <w:lang w:val="en-US" w:eastAsia="zh-CN" w:bidi="ar-SA"/>
        </w:rPr>
        <w:t>、</w:t>
      </w:r>
      <w:r>
        <w:rPr>
          <w:rFonts w:hint="eastAsia" w:ascii="仿宋_GB2312" w:eastAsia="宋体" w:cs="Times New Roman"/>
          <w:spacing w:val="0"/>
          <w:sz w:val="28"/>
          <w:szCs w:val="22"/>
          <w:lang w:val="en-US" w:eastAsia="zh-CN" w:bidi="ar-SA"/>
        </w:rPr>
        <w:t>零审批</w:t>
      </w:r>
      <w:r>
        <w:rPr>
          <w:rFonts w:hint="eastAsia" w:ascii="仿宋_GB2312" w:hAnsi="Times New Roman" w:eastAsia="宋体" w:cs="Times New Roman"/>
          <w:spacing w:val="0"/>
          <w:sz w:val="28"/>
          <w:szCs w:val="22"/>
          <w:lang w:val="en-US" w:eastAsia="zh-CN" w:bidi="ar-SA"/>
        </w:rPr>
        <w:t>、</w:t>
      </w:r>
      <w:r>
        <w:rPr>
          <w:rFonts w:hint="eastAsia" w:ascii="仿宋_GB2312" w:eastAsia="宋体" w:cs="Times New Roman"/>
          <w:spacing w:val="0"/>
          <w:sz w:val="28"/>
          <w:szCs w:val="22"/>
          <w:lang w:val="en-US" w:eastAsia="zh-CN" w:bidi="ar-SA"/>
        </w:rPr>
        <w:t>零投资</w:t>
      </w:r>
      <w:r>
        <w:rPr>
          <w:rFonts w:hint="eastAsia" w:ascii="仿宋_GB2312" w:hAnsi="Times New Roman" w:eastAsia="宋体" w:cs="Times New Roman"/>
          <w:spacing w:val="0"/>
          <w:sz w:val="28"/>
          <w:szCs w:val="22"/>
          <w:lang w:val="en-US" w:eastAsia="zh-CN" w:bidi="ar-SA"/>
        </w:rPr>
        <w:t>）服务。为了方便您办理业务，请您仔细阅读以下内容。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60" w:beforeLines="25" w:beforeAutospacing="0" w:after="60" w:afterLines="25" w:afterAutospacing="0"/>
        <w:ind w:left="0" w:right="0" w:firstLine="561"/>
        <w:jc w:val="both"/>
        <w:rPr>
          <w:rFonts w:hint="eastAsia" w:ascii="黑体" w:eastAsia="黑体" w:cs="黑体"/>
          <w:b/>
          <w:bCs w:val="0"/>
          <w:sz w:val="28"/>
          <w:szCs w:val="28"/>
          <w:lang w:val="en-US"/>
        </w:rPr>
      </w:pPr>
      <w:r>
        <w:rPr>
          <w:rFonts w:hint="eastAsia" w:ascii="黑体" w:hAnsi="Calibri" w:eastAsia="黑体" w:cs="黑体"/>
          <w:b/>
          <w:bCs w:val="0"/>
          <w:spacing w:val="0"/>
          <w:kern w:val="2"/>
          <w:sz w:val="28"/>
          <w:szCs w:val="28"/>
          <w:lang w:val="en-US" w:eastAsia="zh-CN" w:bidi="ar"/>
        </w:rPr>
        <w:t>一、业务办理流程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561"/>
        <w:jc w:val="both"/>
        <w:rPr>
          <w:rFonts w:hint="eastAsia" w:ascii="黑体" w:eastAsia="黑体" w:cs="黑体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561"/>
        <w:jc w:val="both"/>
        <w:rPr>
          <w:rFonts w:hint="eastAsia" w:ascii="黑体" w:eastAsia="黑体" w:cs="黑体"/>
          <w:b/>
          <w:bCs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60" w:beforeLines="25" w:beforeAutospacing="0" w:after="60" w:afterLines="25" w:afterAutospacing="0"/>
        <w:ind w:left="0" w:right="0" w:firstLine="561"/>
        <w:jc w:val="both"/>
        <w:rPr>
          <w:rFonts w:hint="eastAsia" w:ascii="仿宋_GB2312" w:hAnsi="仿宋" w:eastAsia="仿宋_GB2312" w:cs="仿宋"/>
          <w:b/>
          <w:bCs w:val="0"/>
          <w:sz w:val="28"/>
          <w:szCs w:val="28"/>
          <w:lang w:val="en-US"/>
        </w:rPr>
      </w:pPr>
      <w:r>
        <w:rPr>
          <w:rFonts w:hint="eastAsia" w:ascii="黑体" w:hAnsi="Calibri" w:eastAsia="黑体" w:cs="黑体"/>
          <w:b/>
          <w:bCs w:val="0"/>
          <w:spacing w:val="0"/>
          <w:kern w:val="2"/>
          <w:sz w:val="28"/>
          <w:szCs w:val="28"/>
          <w:lang w:val="en-US" w:eastAsia="zh-CN" w:bidi="ar"/>
        </w:rPr>
        <w:t>二、业务办理说明</w:t>
      </w:r>
    </w:p>
    <w:tbl>
      <w:tblPr>
        <w:tblStyle w:val="4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_GB2312" w:eastAsia="楷体_GB2312" w:cs="楷体_GB2312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楷体_GB2312" w:hAnsi="仿宋" w:eastAsia="楷体_GB2312" w:cs="仿宋"/>
                <w:b/>
                <w:bCs w:val="0"/>
                <w:spacing w:val="0"/>
                <w:kern w:val="2"/>
                <w:sz w:val="28"/>
                <w:szCs w:val="28"/>
                <w:lang w:val="en-US" w:eastAsia="zh-CN" w:bidi="ar"/>
              </w:rPr>
              <w:t>1.用电申请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您在办理用电申请时，请提供以下申请材料：</w:t>
            </w:r>
          </w:p>
          <w:p>
            <w:pPr>
              <w:pStyle w:val="2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用电主体资格证明（居民请提供身份证或军人证、护照、户口簿、公安机关户籍证明，非居民请提供营业执照或组织机构代码证，法人或其他组织还需提供法人代表有效身份证明）。</w:t>
            </w:r>
          </w:p>
          <w:p>
            <w:pPr>
              <w:pStyle w:val="2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房屋产权证明（复印件）或土地权属证明文件。</w:t>
            </w:r>
          </w:p>
          <w:p>
            <w:pPr>
              <w:pStyle w:val="2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原用电范围内的增容业务无需重复提供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有效期内的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用电主体资格证明、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房屋产权证明（复印件）或土地权属证明文件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  <w:t>资料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若您受用电人委托办理业务，还需提供您的有效身份证明及授权委托书。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highlight w:val="none"/>
                <w:lang w:val="en-US" w:eastAsia="zh-CN" w:bidi="ar"/>
              </w:rPr>
              <w:t>为方便您的办理，您也可扫描下方二维码，登录“网上国网”App线上提交申请，在您扫脸验证和授权后，可直接调用您的身份证、营业执照、不动产证等电子证照，您也可以将上述材料拍照上传。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楷体_GB2312" w:hAnsi="仿宋" w:eastAsia="楷体_GB2312" w:cs="仿宋"/>
                <w:b/>
                <w:bCs w:val="0"/>
                <w:spacing w:val="0"/>
                <w:kern w:val="2"/>
                <w:sz w:val="28"/>
                <w:szCs w:val="28"/>
                <w:lang w:val="en-US" w:eastAsia="zh-CN" w:bidi="ar"/>
              </w:rPr>
              <w:t>2.工程施工（视情况）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在受理您用电申请后，在1个工作日内或按照与您约定的时间上门服务并制定接电方案，具备直接装表条件的，我们将当日装表接电。</w:t>
            </w:r>
          </w:p>
          <w:p>
            <w:pPr>
              <w:pStyle w:val="2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如果您的用电涉及工程施工，根据相关规定，居民客户由供电公司负责电表及以上工程施工；自用电申请起3个工作日内为您装表送电。如果您属于小微企业，我们将为您投资至表箱，自用电申请起7个工作日内为您施工接电，需对公变台区进行改造的，15个工作日内为您施工接电。其他非居民客户由您负责产权分界点至表箱的工程施工，表箱和表由供电公司提供。所有表后线都由您自行安装，请您自主选择您产权范围内工程的施工单位（具备相应资质）。</w:t>
            </w:r>
          </w:p>
          <w:p>
            <w:pPr>
              <w:pStyle w:val="2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小微企业应同时具备以下4个条件：拥有营业执照的用户；执行一般工商业电价；供电企业直供；同一用电地址累计接入容量160千瓦及以下。排灌户、集团户、非直供户、累计容量超过160千瓦的客户不在此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楷体_GB2312" w:hAnsi="仿宋" w:eastAsia="楷体_GB2312" w:cs="仿宋"/>
                <w:b/>
                <w:bCs w:val="0"/>
                <w:spacing w:val="0"/>
                <w:kern w:val="2"/>
                <w:sz w:val="28"/>
                <w:szCs w:val="28"/>
                <w:lang w:val="en-US" w:eastAsia="zh-CN" w:bidi="ar"/>
              </w:rPr>
              <w:t>3.装表接电并签订合同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工程施工完成并办结相关手续后，我们将在当日内为您装表接电。</w:t>
            </w:r>
          </w:p>
          <w:p>
            <w:pPr>
              <w:pStyle w:val="2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在装表接电前，请您与我们签订供用电合同。</w:t>
            </w:r>
          </w:p>
          <w:p>
            <w:pPr>
              <w:pStyle w:val="2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在用电报装工程验收接入环节，我公司及所属产业单位或委托的安装工程公司不收取移表费、计量装置赔偿费、环境监测费、高压电缆介损试验费、高压电缆震荡波试验费、低压电缆试验费、低压计量检测费、互感器试验费、网络自动化费、配电室试验费、开闭站集资费、调试费、保护定值整定计算费、带电作业费等类似名目费用。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exact"/>
        <w:ind w:right="0" w:firstLine="482" w:firstLineChars="200"/>
        <w:jc w:val="both"/>
        <w:rPr>
          <w:rFonts w:hint="eastAsia" w:ascii="宋体" w:hAnsi="宋体" w:eastAsia="宋体" w:cs="仿宋"/>
          <w:b/>
          <w:bCs w:val="0"/>
          <w:sz w:val="28"/>
          <w:szCs w:val="28"/>
          <w:lang w:val="en-US"/>
        </w:rPr>
      </w:pPr>
      <w:r>
        <w:rPr>
          <w:rFonts w:hint="eastAsia" w:ascii="仿宋_GB2312" w:hAnsi="仿宋" w:eastAsia="仿宋_GB2312" w:cs="仿宋"/>
          <w:b/>
          <w:bCs w:val="0"/>
          <w:spacing w:val="0"/>
          <w:kern w:val="2"/>
          <w:sz w:val="24"/>
          <w:szCs w:val="24"/>
          <w:lang w:val="en-US" w:eastAsia="zh-CN" w:bidi="ar"/>
        </w:rPr>
        <w:t>请您对我们的服务进行监督，如有建议或意见，请及时拨打95598服务热线</w:t>
      </w:r>
      <w:r>
        <w:rPr>
          <w:rFonts w:hint="eastAsia" w:ascii="仿宋_GB2312" w:hAnsi="仿宋" w:cs="仿宋"/>
          <w:b/>
          <w:bCs w:val="0"/>
          <w:spacing w:val="0"/>
          <w:kern w:val="2"/>
          <w:sz w:val="24"/>
          <w:szCs w:val="24"/>
          <w:lang w:val="en-US" w:eastAsia="zh-CN" w:bidi="ar"/>
        </w:rPr>
        <w:t>、</w:t>
      </w:r>
      <w:r>
        <w:rPr>
          <w:rFonts w:hint="eastAsia" w:ascii="仿宋_GB2312" w:hAnsi="仿宋" w:eastAsia="仿宋_GB2312" w:cs="仿宋"/>
          <w:b/>
          <w:bCs w:val="0"/>
          <w:spacing w:val="0"/>
          <w:kern w:val="2"/>
          <w:sz w:val="24"/>
          <w:szCs w:val="24"/>
          <w:lang w:val="en-US" w:eastAsia="zh-CN" w:bidi="ar"/>
        </w:rPr>
        <w:t>12398监管热线或登录</w:t>
      </w:r>
      <w:r>
        <w:rPr>
          <w:rFonts w:hint="eastAsia" w:ascii="仿宋_GB2312" w:hAnsi="仿宋" w:cs="仿宋"/>
          <w:b/>
          <w:bCs w:val="0"/>
          <w:kern w:val="2"/>
          <w:sz w:val="24"/>
          <w:szCs w:val="24"/>
          <w:lang w:val="en-US" w:eastAsia="zh-CN" w:bidi="ar"/>
        </w:rPr>
        <w:t>“网上国网”</w:t>
      </w:r>
      <w:r>
        <w:rPr>
          <w:rFonts w:hint="eastAsia" w:ascii="仿宋_GB2312" w:hAnsi="仿宋" w:eastAsia="仿宋_GB2312" w:cs="仿宋"/>
          <w:b/>
          <w:bCs w:val="0"/>
          <w:spacing w:val="0"/>
          <w:kern w:val="2"/>
          <w:sz w:val="24"/>
          <w:szCs w:val="24"/>
          <w:lang w:val="en-US" w:eastAsia="zh-CN" w:bidi="ar"/>
        </w:rPr>
        <w:t>A</w:t>
      </w:r>
      <w:r>
        <w:rPr>
          <w:rFonts w:hint="eastAsia" w:ascii="仿宋_GB2312" w:hAnsi="仿宋" w:cs="仿宋"/>
          <w:b/>
          <w:bCs w:val="0"/>
          <w:spacing w:val="0"/>
          <w:kern w:val="2"/>
          <w:sz w:val="24"/>
          <w:szCs w:val="24"/>
          <w:lang w:val="en-US" w:eastAsia="zh-CN" w:bidi="ar"/>
        </w:rPr>
        <w:t>pp、</w:t>
      </w:r>
      <w:r>
        <w:rPr>
          <w:rFonts w:hint="eastAsia" w:ascii="仿宋_GB2312" w:hAnsi="仿宋" w:eastAsia="仿宋_GB2312" w:cs="仿宋"/>
          <w:b/>
          <w:bCs w:val="0"/>
          <w:spacing w:val="0"/>
          <w:kern w:val="2"/>
          <w:sz w:val="24"/>
          <w:szCs w:val="24"/>
          <w:lang w:val="en-US" w:eastAsia="zh-CN" w:bidi="ar"/>
        </w:rPr>
        <w:t>我们将竭诚为您服务！</w:t>
      </w:r>
    </w:p>
    <w:p>
      <w:pPr>
        <w:jc w:val="center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1237615" cy="734695"/>
            <wp:effectExtent l="0" t="0" r="635" b="8255"/>
            <wp:docPr id="3" name="图片 1" descr="16311552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631155235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929640" cy="620395"/>
            <wp:effectExtent l="0" t="0" r="3810" b="8255"/>
            <wp:docPr id="6" name="图片 2" descr="src=http___www.a6k.www.spg.com.cn_upload_image_20180116_1516068955612987.jpg&amp;refer=http___www.a6k.www.sp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src=http___www.a6k.www.spg.com.cn_upload_image_20180116_1516068955612987.jpg&amp;refer=http___www.a6k.www.spg.co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drawing>
          <wp:inline distT="0" distB="0" distL="114300" distR="114300">
            <wp:extent cx="845820" cy="845820"/>
            <wp:effectExtent l="0" t="0" r="11430" b="11430"/>
            <wp:docPr id="7" name="图片 3" descr="网上国网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网上国网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841375" cy="845185"/>
            <wp:effectExtent l="0" t="0" r="15875" b="12065"/>
            <wp:docPr id="5" name="图片 5" descr="163115616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31156162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9D8C1"/>
    <w:multiLevelType w:val="multilevel"/>
    <w:tmpl w:val="FF39D8C1"/>
    <w:lvl w:ilvl="0" w:tentative="0">
      <w:start w:val="1"/>
      <w:numFmt w:val="bullet"/>
      <w:lvlText w:val=""/>
      <w:lvlJc w:val="left"/>
      <w:pPr>
        <w:tabs>
          <w:tab w:val="left" w:pos="0"/>
        </w:tabs>
        <w:ind w:left="860" w:hanging="300"/>
      </w:pPr>
      <w:rPr>
        <w:rFonts w:hint="default" w:ascii="Wingdings" w:hAnsi="Wingdings" w:cs="Wingdings"/>
      </w:rPr>
    </w:lvl>
    <w:lvl w:ilvl="1" w:tentative="0">
      <w:start w:val="1"/>
      <w:numFmt w:val="decimalEnclosedCircle"/>
      <w:lvlText w:val="%2"/>
      <w:lvlJc w:val="left"/>
      <w:pPr>
        <w:tabs>
          <w:tab w:val="left" w:pos="0"/>
        </w:tabs>
        <w:ind w:left="644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340" w:hanging="420"/>
      </w:pPr>
    </w:lvl>
  </w:abstractNum>
  <w:abstractNum w:abstractNumId="1">
    <w:nsid w:val="263B3D08"/>
    <w:multiLevelType w:val="multilevel"/>
    <w:tmpl w:val="263B3D08"/>
    <w:lvl w:ilvl="0" w:tentative="0">
      <w:start w:val="1"/>
      <w:numFmt w:val="bullet"/>
      <w:lvlText w:val=""/>
      <w:lvlJc w:val="left"/>
      <w:pPr>
        <w:tabs>
          <w:tab w:val="left" w:pos="0"/>
        </w:tabs>
        <w:ind w:left="987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tabs>
          <w:tab w:val="left" w:pos="0"/>
        </w:tabs>
        <w:ind w:left="1407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0"/>
        </w:tabs>
        <w:ind w:left="1827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0"/>
        </w:tabs>
        <w:ind w:left="2247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0"/>
        </w:tabs>
        <w:ind w:left="2667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0"/>
        </w:tabs>
        <w:ind w:left="3087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0"/>
        </w:tabs>
        <w:ind w:left="3507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0"/>
        </w:tabs>
        <w:ind w:left="3927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0"/>
        </w:tabs>
        <w:ind w:left="4347" w:hanging="42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C0E37"/>
    <w:rsid w:val="01DC45AE"/>
    <w:rsid w:val="04B1336D"/>
    <w:rsid w:val="04C25443"/>
    <w:rsid w:val="0AC7682A"/>
    <w:rsid w:val="0D7D509F"/>
    <w:rsid w:val="0E2066AA"/>
    <w:rsid w:val="10940D2D"/>
    <w:rsid w:val="10BC64AD"/>
    <w:rsid w:val="12774F66"/>
    <w:rsid w:val="12A970FD"/>
    <w:rsid w:val="158B5B25"/>
    <w:rsid w:val="16C22BF8"/>
    <w:rsid w:val="18A7667D"/>
    <w:rsid w:val="192173D0"/>
    <w:rsid w:val="1BE0395F"/>
    <w:rsid w:val="24065748"/>
    <w:rsid w:val="25606BE5"/>
    <w:rsid w:val="27327843"/>
    <w:rsid w:val="27C133E5"/>
    <w:rsid w:val="282D026D"/>
    <w:rsid w:val="2A6B3FFC"/>
    <w:rsid w:val="2AA60795"/>
    <w:rsid w:val="2B527A42"/>
    <w:rsid w:val="2BF66530"/>
    <w:rsid w:val="2E5F25D5"/>
    <w:rsid w:val="2F756540"/>
    <w:rsid w:val="2FDD2D59"/>
    <w:rsid w:val="317920A5"/>
    <w:rsid w:val="331D3136"/>
    <w:rsid w:val="33DD5B50"/>
    <w:rsid w:val="34A95B46"/>
    <w:rsid w:val="35794621"/>
    <w:rsid w:val="38492D49"/>
    <w:rsid w:val="3B5B767C"/>
    <w:rsid w:val="3D9B35AA"/>
    <w:rsid w:val="43783426"/>
    <w:rsid w:val="441549CA"/>
    <w:rsid w:val="45762794"/>
    <w:rsid w:val="471B6AC7"/>
    <w:rsid w:val="47814F2C"/>
    <w:rsid w:val="4B4103FC"/>
    <w:rsid w:val="4B8232E1"/>
    <w:rsid w:val="4CEE3F31"/>
    <w:rsid w:val="4CFE0341"/>
    <w:rsid w:val="4DA83C38"/>
    <w:rsid w:val="4FB56B39"/>
    <w:rsid w:val="523C4A18"/>
    <w:rsid w:val="567B7B01"/>
    <w:rsid w:val="5AA7177C"/>
    <w:rsid w:val="5ABD1C04"/>
    <w:rsid w:val="5B5D50D8"/>
    <w:rsid w:val="619D3738"/>
    <w:rsid w:val="64F62F81"/>
    <w:rsid w:val="654458BD"/>
    <w:rsid w:val="67DE3A5D"/>
    <w:rsid w:val="68EE3EE3"/>
    <w:rsid w:val="6B9923B3"/>
    <w:rsid w:val="6D9063ED"/>
    <w:rsid w:val="70B32443"/>
    <w:rsid w:val="77B26D41"/>
    <w:rsid w:val="7A8E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2021-07-13T09:54:00Z</dcterms:created>
  <dc:creator>Administrator</dc:creator>
  <cp:lastModifiedBy>营业处</cp:lastModifiedBy>
  <dcterms:modified xsi:type="dcterms:W3CDTF">2022-05-12T03:51:34Z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7A078A9331C14846B9EAC918CAA7B3F7</vt:lpwstr>
  </property>
</Properties>
</file>