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用电业务办理告知书（高压新装、增容）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line="320" w:lineRule="exact"/>
        <w:textAlignment w:val="auto"/>
        <w:outlineLvl w:val="9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bidi="ar"/>
        </w:rPr>
        <w:t>尊敬的电力客户：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20" w:lineRule="exact"/>
        <w:ind w:firstLine="560" w:firstLineChars="200"/>
        <w:textAlignment w:val="auto"/>
        <w:outlineLvl w:val="9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欢迎您到国网山东省电力公司办理用电业务！供电公司全面推行高压“三省”（省时、省力、省钱）服务。为了方便您办理业务，请您仔细阅读以下内容。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textAlignment w:val="auto"/>
        <w:outlineLvl w:val="9"/>
        <w:rPr>
          <w:rFonts w:ascii="黑体" w:hAnsi="Calibri" w:eastAsia="黑体" w:cs="黑体"/>
          <w:b/>
          <w:sz w:val="28"/>
          <w:szCs w:val="28"/>
          <w:lang w:bidi="ar"/>
        </w:rPr>
      </w:pPr>
      <w:r>
        <w:rPr>
          <w:rFonts w:hint="eastAsia" w:ascii="黑体" w:hAnsi="Calibri" w:eastAsia="黑体" w:cs="黑体"/>
          <w:b/>
          <w:sz w:val="28"/>
          <w:szCs w:val="28"/>
          <w:lang w:bidi="ar"/>
        </w:rPr>
        <w:t>业务办理流程</w:t>
      </w:r>
    </w:p>
    <w:p>
      <w:pPr>
        <w:adjustRightInd w:val="0"/>
        <w:snapToGrid w:val="0"/>
        <w:jc w:val="center"/>
        <w:rPr>
          <w:rFonts w:ascii="黑体" w:eastAsia="黑体" w:cs="黑体"/>
          <w:b/>
          <w:sz w:val="28"/>
          <w:szCs w:val="28"/>
        </w:rPr>
      </w:pPr>
      <w:r>
        <w:drawing>
          <wp:inline distT="0" distB="0" distL="114300" distR="114300">
            <wp:extent cx="5090795" cy="674370"/>
            <wp:effectExtent l="0" t="0" r="1460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textAlignment w:val="auto"/>
        <w:outlineLvl w:val="9"/>
        <w:rPr>
          <w:rFonts w:hint="eastAsia" w:ascii="黑体" w:hAnsi="Calibri" w:eastAsia="黑体" w:cs="黑体"/>
          <w:b/>
          <w:sz w:val="28"/>
          <w:szCs w:val="28"/>
          <w:lang w:bidi="ar"/>
        </w:rPr>
      </w:pPr>
      <w:r>
        <w:rPr>
          <w:rFonts w:hint="eastAsia" w:ascii="黑体" w:hAnsi="Calibri" w:eastAsia="黑体" w:cs="黑体"/>
          <w:b/>
          <w:sz w:val="28"/>
          <w:szCs w:val="28"/>
          <w:lang w:bidi="ar"/>
        </w:rPr>
        <w:t>业务办理说明</w:t>
      </w:r>
    </w:p>
    <w:tbl>
      <w:tblPr>
        <w:tblStyle w:val="6"/>
        <w:tblW w:w="10646" w:type="dxa"/>
        <w:jc w:val="center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rPr>
                <w:rFonts w:cs="楷体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bidi="ar"/>
              </w:rPr>
              <w:t>1.用电申请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bidi="ar"/>
              </w:rPr>
              <w:t>您在办理用电申请时，请提供以下申请材料：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用电主体资格证明：营业执照或组织机构代码证，法人代表有效身份证明。若您受用电人委托办理业务，还需提供您的有效身份证明及授权委托书。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Chars="0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用电地址权属证明：以下材料提供其一：①房屋产权所有证原件（或购房合同原件）或土地使用证原件；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租赁协议原件[还需同时提供出租方房屋产权证明复印件或土地使用证复印件（加盖出租方公章，无公章的由出租方签字）]；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③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法院判决文书复印件（必须明确房屋或土地产权所有人并加盖公章）等其他证明文书。如无法提供原件，提供复印件时企事业单位应加盖公章。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重要、“两高”及其他特殊客户，按照国家要求，加验环评报告、项目批复（核准、备案）文件等证照资料。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原用电范围内的增容业务无需重复提供有效期内的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用电主体资格证明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房屋产权证明（复印件）或土地权属证明文件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、用电工程项目批准文件等资料。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snapToGrid w:val="0"/>
              <w:spacing w:line="24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为方便您的办理，您也可扫描下方二维码，登录“网上国网”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  <w:lang w:bidi="ar"/>
              </w:rPr>
              <w:t>A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pp线上提交申请，在您扫脸验证和授权后，可直接调用您的身份证、营业执照、不动产证等电子证照，您也可以将上述材料拍照上传。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如果您提供的资料不全，我们将为您容缺受理，如果在现场勘查时，您仍无法提供相应资料，我们将终止您的用电申请。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bidi="ar"/>
              </w:rPr>
              <w:t>2.方案答复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在受理您用电申请后，我们将按照与您约定的时间至现场查看供电条件，具备条件的现场直接答复供电方案，需会商的于现场勘查后答复，您可登录“网上国网”App进行线上确认。答复供电方案时限：10千伏及以上单电源客户不超过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  <w:lang w:bidi="ar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个工作日、双电源客户不超过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  <w:lang w:bidi="ar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个工作日。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ind w:firstLineChars="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关于现行电价政策、功率因数考核标准、高可靠性供电费的有关规定请您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务必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知悉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。如果您属于两部制电价客户，请根据您的生产情况，合理选择基本电费计费方式（按容量计费、按合同最大需量计费、按实际最大需量计费）。请您合理选择无功补偿装置，确保在用电期间的功率因数满足供电方案要求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根据《国家发展改革委办公厅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能源局综合司关于推进新型电力负荷管理系统建设的通知》（发改办运行〔2022〕471号），您的受电设施分支开关应具备远程跳闸功能，预留安装负荷管理装置的位置，具备接入新型负荷管理系统条件。优先接入末端低压负荷3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80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伏出线开关，对同类负荷可控制1</w:t>
            </w: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千伏及以上高压开关，原则上至少两路及以上回路接入负荷管理系统，除保安负荷外的非生产、辅助生产、主要生产、其他全部负荷分轮次规范接入。保安负荷应由独立线路供电，不得接入负荷管理系统。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bidi="ar"/>
              </w:rPr>
              <w:t>3.工程施工（视情况）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根据国家《供电营业规则》规定，产权分界点以下部分由您负责施工，产权分界点以上工程由供电公司负责，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供电公司产权范围内的环网柜、柱上开关（隔离开关、分界开关、跌落式熔断器等）、计量装置等均由供电公司免费提供并安装。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请您自主选择具备相应资质的设计、施工及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设备供应单位，使用的变压器须符合《电力变压器能效限定值及能效等级》（GB20052-2020）中1级、2级能效标准。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重要电力客户需进行设计审查和中间检查。设计完成后，请及时提交设计文件，我们将于3个工作日内完成设计审查；在电缆管沟、接地网等隐蔽工程覆盖前，请及时通知供电公司，我们将于2个工作日内完成中间检查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ascii="仿宋_GB2312" w:hAnsi="仿宋" w:cs="仿宋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根据各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 w:bidi="ar"/>
              </w:rPr>
              <w:t>地区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出台的延伸投资政策，对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 w:bidi="ar"/>
              </w:rPr>
              <w:t>城镇规划建设用地范围内，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符合政策条件的客户延伸投资界面至项目用地规划红线。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rPr>
                <w:rFonts w:cs="仿宋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 w:val="24"/>
                <w:szCs w:val="24"/>
                <w:lang w:bidi="ar"/>
              </w:rPr>
              <w:t>4.验收接电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工程竣工后，请及时报验。10千伏及以上客户，我们将于竣工报验后3个工作日内完成工程验收，验收合格后3个工作日内送电。送电前需签订《供用电合同》及相关协议，并结清业务费用,业务费用的标准按照价格管理部门的价格标准执行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0"/>
              </w:tabs>
              <w:adjustRightInd w:val="0"/>
              <w:snapToGrid w:val="0"/>
              <w:spacing w:line="240" w:lineRule="auto"/>
              <w:rPr>
                <w:rFonts w:ascii="仿宋_GB2312" w:hAnsi="仿宋" w:cs="仿宋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bidi="ar"/>
              </w:rPr>
              <w:t>在用电报装工程验收接入环节，供电公司及所属产业单位或委托的安装工程公司不收取移表费、计量装置赔偿费、环境监测费、高压电缆介损试验费、高压电缆震荡波试验费、低压电缆试验费、低压计量检测费、互感器试验费、网络自动化费、配电室试验费、开闭站集资费、调试费、保护定值整定计算费、带电作业费等类似名目费用。</w:t>
            </w:r>
          </w:p>
        </w:tc>
      </w:tr>
    </w:tbl>
    <w:p>
      <w:pPr>
        <w:adjustRightInd w:val="0"/>
        <w:snapToGrid w:val="0"/>
        <w:spacing w:line="360" w:lineRule="exact"/>
        <w:ind w:firstLine="480" w:firstLineChars="200"/>
        <w:rPr>
          <w:rFonts w:cs="仿宋" w:asciiTheme="minorEastAsia" w:hAnsiTheme="minorEastAsia" w:eastAsiaTheme="minorEastAsia"/>
          <w:b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  <w:lang w:bidi="ar"/>
        </w:rPr>
        <w:t>请您对我们的服务进行监督，您在业务办理过程中如有疑问，或者对我们的服务有建议或意见，请及时登录“网上国网”手机App或者国家电网有限公司95598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bCs/>
          <w:sz w:val="24"/>
          <w:szCs w:val="24"/>
          <w:lang w:bidi="ar"/>
        </w:rPr>
        <w:t>供电服务热线进行咨询，我们将竭诚为您服务。若您的诉求未得到及时响应，或者对我们的服务不满意，您可致电国家能源局12398监管热线进行反映。</w:t>
      </w:r>
    </w:p>
    <w:p>
      <w:pPr>
        <w:adjustRightInd w:val="0"/>
        <w:snapToGrid w:val="0"/>
        <w:spacing w:line="360" w:lineRule="exact"/>
        <w:ind w:left="-640" w:leftChars="-200" w:right="-653" w:rightChars="-204" w:firstLine="482" w:firstLineChars="200"/>
        <w:rPr>
          <w:rFonts w:ascii="仿宋_GB2312" w:hAnsi="仿宋" w:cs="仿宋"/>
          <w:b/>
          <w:sz w:val="24"/>
          <w:szCs w:val="24"/>
          <w:lang w:bidi="ar"/>
        </w:rPr>
      </w:pPr>
    </w:p>
    <w:tbl>
      <w:tblPr>
        <w:tblStyle w:val="6"/>
        <w:tblW w:w="9194" w:type="dxa"/>
        <w:jc w:val="center"/>
        <w:tblInd w:w="-6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298"/>
        <w:gridCol w:w="2298"/>
        <w:gridCol w:w="2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298" w:type="dxa"/>
            <w:vAlign w:val="top"/>
          </w:tcPr>
          <w:p>
            <w:pPr>
              <w:adjustRightInd w:val="0"/>
              <w:snapToGrid w:val="0"/>
              <w:spacing w:line="360" w:lineRule="exact"/>
              <w:ind w:right="-653" w:rightChars="-204"/>
              <w:rPr>
                <w:rFonts w:hint="eastAsia" w:ascii="仿宋_GB2312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222250</wp:posOffset>
                  </wp:positionV>
                  <wp:extent cx="824865" cy="894080"/>
                  <wp:effectExtent l="0" t="0" r="13335" b="5080"/>
                  <wp:wrapSquare wrapText="bothSides"/>
                  <wp:docPr id="4" name="图片 2" descr="网上国网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网上国网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vAlign w:val="top"/>
          </w:tcPr>
          <w:p>
            <w:pPr>
              <w:adjustRightInd w:val="0"/>
              <w:snapToGrid w:val="0"/>
              <w:spacing w:line="360" w:lineRule="exact"/>
              <w:ind w:right="-653" w:rightChars="-204"/>
              <w:rPr>
                <w:rFonts w:hint="eastAsia" w:ascii="仿宋_GB2312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207645</wp:posOffset>
                  </wp:positionV>
                  <wp:extent cx="901700" cy="857250"/>
                  <wp:effectExtent l="0" t="0" r="12700" b="11430"/>
                  <wp:wrapSquare wrapText="bothSides"/>
                  <wp:docPr id="2" name="图片 3" descr="16311561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163115616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vAlign w:val="top"/>
          </w:tcPr>
          <w:p>
            <w:pPr>
              <w:adjustRightInd w:val="0"/>
              <w:snapToGrid w:val="0"/>
              <w:spacing w:line="360" w:lineRule="exact"/>
              <w:ind w:right="-653" w:rightChars="-204"/>
              <w:rPr>
                <w:rFonts w:hint="eastAsia" w:ascii="仿宋_GB2312" w:hAnsi="仿宋" w:cs="仿宋"/>
                <w:b/>
                <w:sz w:val="24"/>
                <w:szCs w:val="24"/>
                <w:lang w:bidi="ar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270510</wp:posOffset>
                  </wp:positionV>
                  <wp:extent cx="813435" cy="770255"/>
                  <wp:effectExtent l="0" t="0" r="9525" b="6985"/>
                  <wp:wrapSquare wrapText="bothSides"/>
                  <wp:docPr id="3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0" w:type="dxa"/>
            <w:vAlign w:val="top"/>
          </w:tcPr>
          <w:p>
            <w:pPr>
              <w:adjustRightInd w:val="0"/>
              <w:snapToGrid w:val="0"/>
              <w:spacing w:line="360" w:lineRule="exact"/>
              <w:ind w:right="-653" w:rightChars="-204"/>
              <w:rPr>
                <w:rFonts w:hint="eastAsia" w:ascii="仿宋_GB2312" w:hAnsi="仿宋" w:cs="仿宋"/>
                <w:b/>
                <w:sz w:val="24"/>
                <w:szCs w:val="24"/>
                <w:lang w:bidi="ar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269875</wp:posOffset>
                  </wp:positionV>
                  <wp:extent cx="794385" cy="781050"/>
                  <wp:effectExtent l="0" t="0" r="13335" b="11430"/>
                  <wp:wrapSquare wrapText="bothSides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6"/>
              </w:rPr>
              <w:t>网上国网App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6"/>
              </w:rPr>
              <w:t>爱山东App</w:t>
            </w:r>
          </w:p>
        </w:tc>
        <w:tc>
          <w:tcPr>
            <w:tcW w:w="2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6"/>
              </w:rPr>
              <w:t>能源监管App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16"/>
              </w:rPr>
              <w:t>能源监管公众号</w:t>
            </w:r>
          </w:p>
        </w:tc>
      </w:tr>
    </w:tbl>
    <w:p>
      <w:pPr>
        <w:adjustRightInd w:val="0"/>
        <w:snapToGrid w:val="0"/>
        <w:spacing w:line="360" w:lineRule="exact"/>
        <w:ind w:left="-640" w:leftChars="-200" w:right="-653" w:rightChars="-204" w:firstLine="482" w:firstLineChars="200"/>
        <w:rPr>
          <w:rFonts w:ascii="仿宋_GB2312" w:hAnsi="仿宋" w:cs="仿宋"/>
          <w:b/>
          <w:sz w:val="24"/>
          <w:szCs w:val="24"/>
          <w:lang w:bidi="ar"/>
        </w:rPr>
      </w:pPr>
    </w:p>
    <w:p>
      <w:pPr>
        <w:jc w:val="center"/>
      </w:pPr>
    </w:p>
    <w:p>
      <w:pPr>
        <w:pStyle w:val="4"/>
        <w:adjustRightInd w:val="0"/>
        <w:snapToGrid w:val="0"/>
        <w:spacing w:line="360" w:lineRule="exact"/>
        <w:ind w:firstLine="480" w:firstLineChars="200"/>
        <w:jc w:val="left"/>
      </w:pPr>
    </w:p>
    <w:sectPr>
      <w:pgSz w:w="11906" w:h="16838"/>
      <w:pgMar w:top="340" w:right="680" w:bottom="340" w:left="68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0907C3-FECD-4F59-8556-170A3D3B1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8E0F9200-ED87-482E-B605-CF1244EEDEF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1C7A8F6E-2390-4C90-A465-0A738668596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9EEB0A5-D809-4CF2-8B3F-FF7572082C94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A7D48337-2E52-4762-8F04-8B6A5E5AE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797D151-CF3F-4AC4-BD5F-23F58AF255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E6CB"/>
    <w:multiLevelType w:val="singleLevel"/>
    <w:tmpl w:val="1DB9E6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A80BA9"/>
    <w:multiLevelType w:val="multilevel"/>
    <w:tmpl w:val="5BA80BA9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7A380039"/>
    <w:multiLevelType w:val="multilevel"/>
    <w:tmpl w:val="7A380039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B5C43EC"/>
    <w:multiLevelType w:val="multilevel"/>
    <w:tmpl w:val="7B5C43EC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>
    <w:nsid w:val="7F6E7250"/>
    <w:multiLevelType w:val="multilevel"/>
    <w:tmpl w:val="7F6E7250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B6518"/>
    <w:rsid w:val="00066FDF"/>
    <w:rsid w:val="000A4543"/>
    <w:rsid w:val="001837D2"/>
    <w:rsid w:val="001877E9"/>
    <w:rsid w:val="002C5AD9"/>
    <w:rsid w:val="00371C1A"/>
    <w:rsid w:val="00420B27"/>
    <w:rsid w:val="00421F76"/>
    <w:rsid w:val="004332F8"/>
    <w:rsid w:val="0046347C"/>
    <w:rsid w:val="004B0277"/>
    <w:rsid w:val="005840F6"/>
    <w:rsid w:val="00596027"/>
    <w:rsid w:val="0077644E"/>
    <w:rsid w:val="007C2C21"/>
    <w:rsid w:val="0085557D"/>
    <w:rsid w:val="00885551"/>
    <w:rsid w:val="008B19AA"/>
    <w:rsid w:val="008B6518"/>
    <w:rsid w:val="009149E4"/>
    <w:rsid w:val="00950C82"/>
    <w:rsid w:val="009D1A29"/>
    <w:rsid w:val="00A071DC"/>
    <w:rsid w:val="00A54535"/>
    <w:rsid w:val="00BB19D8"/>
    <w:rsid w:val="00C649BA"/>
    <w:rsid w:val="00CE172E"/>
    <w:rsid w:val="00CE7A8B"/>
    <w:rsid w:val="00CF0789"/>
    <w:rsid w:val="00D73F4A"/>
    <w:rsid w:val="00DB062F"/>
    <w:rsid w:val="00DF61B4"/>
    <w:rsid w:val="00E4452B"/>
    <w:rsid w:val="00F03986"/>
    <w:rsid w:val="00FF6A71"/>
    <w:rsid w:val="020B1005"/>
    <w:rsid w:val="0222472E"/>
    <w:rsid w:val="073C169C"/>
    <w:rsid w:val="084B7D86"/>
    <w:rsid w:val="0C336F25"/>
    <w:rsid w:val="0CCC7237"/>
    <w:rsid w:val="0D5C790A"/>
    <w:rsid w:val="105300C1"/>
    <w:rsid w:val="106174A4"/>
    <w:rsid w:val="11406A42"/>
    <w:rsid w:val="143B3FDE"/>
    <w:rsid w:val="1A684F8A"/>
    <w:rsid w:val="1B0A1437"/>
    <w:rsid w:val="2220611F"/>
    <w:rsid w:val="23134834"/>
    <w:rsid w:val="231A17E3"/>
    <w:rsid w:val="241407CB"/>
    <w:rsid w:val="2DF83BCE"/>
    <w:rsid w:val="2F8A55D2"/>
    <w:rsid w:val="303039AC"/>
    <w:rsid w:val="32CA3B42"/>
    <w:rsid w:val="34082E3D"/>
    <w:rsid w:val="35B06A82"/>
    <w:rsid w:val="38AD13B7"/>
    <w:rsid w:val="38F67B11"/>
    <w:rsid w:val="3B4D2AAD"/>
    <w:rsid w:val="3BE04654"/>
    <w:rsid w:val="3CBA6951"/>
    <w:rsid w:val="3CE21A86"/>
    <w:rsid w:val="3E41323A"/>
    <w:rsid w:val="4238783F"/>
    <w:rsid w:val="42F3428D"/>
    <w:rsid w:val="44040FED"/>
    <w:rsid w:val="493C3537"/>
    <w:rsid w:val="4B533BCA"/>
    <w:rsid w:val="4F0B66E8"/>
    <w:rsid w:val="51B90622"/>
    <w:rsid w:val="51D94DC2"/>
    <w:rsid w:val="51DA525F"/>
    <w:rsid w:val="530A2E45"/>
    <w:rsid w:val="57E81FF0"/>
    <w:rsid w:val="5E8067DA"/>
    <w:rsid w:val="5E9316DF"/>
    <w:rsid w:val="609B5FBC"/>
    <w:rsid w:val="628D5EF2"/>
    <w:rsid w:val="65907997"/>
    <w:rsid w:val="694527C6"/>
    <w:rsid w:val="6B7863A3"/>
    <w:rsid w:val="6F483E5D"/>
    <w:rsid w:val="73EE6A32"/>
    <w:rsid w:val="74773188"/>
    <w:rsid w:val="75C42C93"/>
    <w:rsid w:val="7A150295"/>
    <w:rsid w:val="7AE34413"/>
    <w:rsid w:val="7DE569C0"/>
    <w:rsid w:val="7F3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0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47FA4-1E0D-42DA-BA7B-13BB87143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1648</Characters>
  <Lines>13</Lines>
  <Paragraphs>3</Paragraphs>
  <TotalTime>1</TotalTime>
  <ScaleCrop>false</ScaleCrop>
  <LinksUpToDate>false</LinksUpToDate>
  <CharactersWithSpaces>1933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2021-07-13T09:51:00Z</dcterms:created>
  <dc:creator>Administrator</dc:creator>
  <cp:lastModifiedBy>滕云雷</cp:lastModifiedBy>
  <cp:lastPrinted>2023-07-14T06:45:30Z</cp:lastPrinted>
  <dcterms:modified xsi:type="dcterms:W3CDTF">2023-07-14T06:54:45Z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F2E7173BD9EC4E808EBD9CCFC13BE78A</vt:lpwstr>
  </property>
</Properties>
</file>