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843" w:type="dxa"/>
        <w:jc w:val="center"/>
        <w:tblLayout w:type="fixed"/>
        <w:tblCellMar>
          <w:top w:w="0" w:type="dxa"/>
          <w:left w:w="0" w:type="dxa"/>
          <w:bottom w:w="0" w:type="dxa"/>
          <w:right w:w="0" w:type="dxa"/>
        </w:tblCellMar>
      </w:tblPr>
      <w:tblGrid>
        <w:gridCol w:w="8843"/>
      </w:tblGrid>
      <w:tr>
        <w:tblPrEx>
          <w:tblCellMar>
            <w:top w:w="0" w:type="dxa"/>
            <w:left w:w="0" w:type="dxa"/>
            <w:bottom w:w="0" w:type="dxa"/>
            <w:right w:w="0" w:type="dxa"/>
          </w:tblCellMar>
        </w:tblPrEx>
        <w:trPr>
          <w:trHeight w:val="113" w:hRule="atLeast"/>
          <w:jc w:val="center"/>
        </w:trPr>
        <w:tc>
          <w:tcPr>
            <w:tcW w:w="8843" w:type="dxa"/>
            <w:vAlign w:val="top"/>
          </w:tcPr>
          <w:p>
            <w:pPr>
              <w:widowControl/>
              <w:spacing w:line="113" w:lineRule="atLeast"/>
              <w:jc w:val="distribute"/>
              <w:rPr>
                <w:rFonts w:hint="eastAsia" w:ascii="方正小标宋_GBK" w:hAnsi="方正仿宋_GBK" w:eastAsia="方正小标宋_GBK" w:cs="方正仿宋_GBK"/>
                <w:color w:val="EB410C"/>
                <w:spacing w:val="130"/>
                <w:sz w:val="72"/>
                <w:szCs w:val="72"/>
                <w:highlight w:val="none"/>
              </w:rPr>
            </w:pPr>
            <w:r>
              <w:rPr>
                <w:rFonts w:hint="eastAsia" w:ascii="方正小标宋_GBK" w:hAnsi="方正仿宋_GBK" w:eastAsia="方正小标宋_GBK" w:cs="方正仿宋_GBK"/>
                <w:color w:val="EB410C"/>
                <w:spacing w:val="130"/>
                <w:sz w:val="72"/>
                <w:szCs w:val="72"/>
                <w:highlight w:val="none"/>
                <w:lang w:val="en-US" w:eastAsia="zh-CN"/>
              </w:rPr>
              <w:t>国网山东省电力</w:t>
            </w:r>
            <w:r>
              <w:rPr>
                <w:rFonts w:hint="eastAsia" w:ascii="方正小标宋_GBK" w:hAnsi="方正仿宋_GBK" w:eastAsia="方正小标宋_GBK" w:cs="方正仿宋_GBK"/>
                <w:color w:val="EB410C"/>
                <w:spacing w:val="130"/>
                <w:sz w:val="72"/>
                <w:szCs w:val="72"/>
                <w:highlight w:val="none"/>
              </w:rPr>
              <w:t>公司</w:t>
            </w:r>
          </w:p>
        </w:tc>
      </w:tr>
      <w:tr>
        <w:tblPrEx>
          <w:tblCellMar>
            <w:top w:w="0" w:type="dxa"/>
            <w:left w:w="0" w:type="dxa"/>
            <w:bottom w:w="0" w:type="dxa"/>
            <w:right w:w="0" w:type="dxa"/>
          </w:tblCellMar>
        </w:tblPrEx>
        <w:trPr>
          <w:trHeight w:val="113" w:hRule="atLeast"/>
          <w:jc w:val="center"/>
        </w:trPr>
        <w:tc>
          <w:tcPr>
            <w:tcW w:w="8843" w:type="dxa"/>
            <w:vAlign w:val="top"/>
          </w:tcPr>
          <w:p>
            <w:pPr>
              <w:widowControl/>
              <w:spacing w:line="113" w:lineRule="atLeast"/>
              <w:rPr>
                <w:rFonts w:ascii="方正仿宋_GBK" w:hAnsi="方正仿宋_GBK" w:eastAsia="方正仿宋_GBK" w:cs="方正仿宋_GBK"/>
                <w:color w:val="EB410C"/>
                <w:spacing w:val="130"/>
                <w:sz w:val="84"/>
                <w:szCs w:val="84"/>
                <w:highlight w:val="none"/>
              </w:rPr>
            </w:pPr>
            <w:r>
              <w:rPr>
                <w:rFonts w:hint="eastAsia" w:ascii="方正仿宋_GBK" w:hAnsi="方正仿宋_GBK" w:eastAsia="方正仿宋_GBK" w:cs="方正仿宋_GBK"/>
                <w:sz w:val="32"/>
                <w:szCs w:val="32"/>
                <w:highlight w:val="none"/>
              </w:rPr>
              <w:drawing>
                <wp:inline distT="0" distB="0" distL="114300" distR="114300">
                  <wp:extent cx="5615305" cy="86995"/>
                  <wp:effectExtent l="0" t="0" r="4445" b="6350"/>
                  <wp:docPr id="1" name="图片 1" descr="wps_clip_image-10"/>
                  <wp:cNvGraphicFramePr/>
                  <a:graphic xmlns:a="http://schemas.openxmlformats.org/drawingml/2006/main">
                    <a:graphicData uri="http://schemas.openxmlformats.org/drawingml/2006/picture">
                      <pic:pic xmlns:pic="http://schemas.openxmlformats.org/drawingml/2006/picture">
                        <pic:nvPicPr>
                          <pic:cNvPr id="1" name="图片 1" descr="wps_clip_image-10"/>
                          <pic:cNvPicPr/>
                        </pic:nvPicPr>
                        <pic:blipFill>
                          <a:blip r:embed="rId5"/>
                          <a:stretch>
                            <a:fillRect/>
                          </a:stretch>
                        </pic:blipFill>
                        <pic:spPr>
                          <a:xfrm>
                            <a:off x="0" y="0"/>
                            <a:ext cx="5615305" cy="86995"/>
                          </a:xfrm>
                          <a:prstGeom prst="rect">
                            <a:avLst/>
                          </a:prstGeom>
                          <a:noFill/>
                          <a:ln>
                            <a:noFill/>
                          </a:ln>
                        </pic:spPr>
                      </pic:pic>
                    </a:graphicData>
                  </a:graphic>
                </wp:inline>
              </w:drawing>
            </w:r>
          </w:p>
        </w:tc>
      </w:tr>
      <w:tr>
        <w:tblPrEx>
          <w:tblCellMar>
            <w:top w:w="0" w:type="dxa"/>
            <w:left w:w="0" w:type="dxa"/>
            <w:bottom w:w="0" w:type="dxa"/>
            <w:right w:w="0" w:type="dxa"/>
          </w:tblCellMar>
        </w:tblPrEx>
        <w:trPr>
          <w:cantSplit/>
          <w:trHeight w:val="616" w:hRule="atLeast"/>
          <w:jc w:val="center"/>
        </w:trPr>
        <w:tc>
          <w:tcPr>
            <w:tcW w:w="8843" w:type="dxa"/>
            <w:vAlign w:val="center"/>
          </w:tcPr>
          <w:p>
            <w:pPr>
              <w:spacing w:line="580" w:lineRule="exact"/>
              <w:jc w:val="left"/>
              <w:rPr>
                <w:rFonts w:hint="default"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普通事项 内部</w:t>
            </w:r>
          </w:p>
        </w:tc>
      </w:tr>
    </w:tbl>
    <w:p>
      <w:pPr>
        <w:spacing w:line="580" w:lineRule="exact"/>
        <w:jc w:val="center"/>
        <w:outlineLvl w:val="0"/>
        <w:rPr>
          <w:rFonts w:hint="eastAsia" w:ascii="方正小标宋_GBK" w:hAnsi="方正小标宋_GBK" w:eastAsia="方正小标宋_GBK" w:cs="方正小标宋_GBK"/>
          <w:sz w:val="44"/>
          <w:szCs w:val="44"/>
          <w:highlight w:val="none"/>
        </w:rPr>
      </w:pPr>
    </w:p>
    <w:p>
      <w:pPr>
        <w:spacing w:line="580" w:lineRule="exact"/>
        <w:jc w:val="center"/>
        <w:outlineLvl w:val="0"/>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第三</w:t>
      </w:r>
      <w:r>
        <w:rPr>
          <w:rFonts w:hint="eastAsia" w:ascii="方正小标宋_GBK" w:hAnsi="方正小标宋_GBK" w:eastAsia="方正小标宋_GBK" w:cs="方正小标宋_GBK"/>
          <w:sz w:val="44"/>
          <w:szCs w:val="44"/>
          <w:highlight w:val="none"/>
          <w:lang w:val="en-US" w:eastAsia="zh-CN"/>
        </w:rPr>
        <w:t>监管</w:t>
      </w:r>
      <w:r>
        <w:rPr>
          <w:rFonts w:hint="eastAsia" w:ascii="方正小标宋_GBK" w:hAnsi="方正小标宋_GBK" w:eastAsia="方正小标宋_GBK" w:cs="方正小标宋_GBK"/>
          <w:sz w:val="44"/>
          <w:szCs w:val="44"/>
          <w:highlight w:val="none"/>
        </w:rPr>
        <w:t>周期输配电价</w:t>
      </w:r>
      <w:r>
        <w:rPr>
          <w:rFonts w:hint="eastAsia" w:ascii="方正小标宋_GBK" w:hAnsi="方正小标宋_GBK" w:eastAsia="方正小标宋_GBK" w:cs="方正小标宋_GBK"/>
          <w:sz w:val="44"/>
          <w:szCs w:val="44"/>
          <w:highlight w:val="none"/>
          <w:lang w:val="en-US" w:eastAsia="zh-CN"/>
        </w:rPr>
        <w:t>营销专业</w:t>
      </w:r>
      <w:r>
        <w:rPr>
          <w:rFonts w:hint="eastAsia" w:ascii="方正小标宋_GBK" w:hAnsi="方正小标宋_GBK" w:eastAsia="方正小标宋_GBK" w:cs="方正小标宋_GBK"/>
          <w:sz w:val="44"/>
          <w:szCs w:val="44"/>
          <w:highlight w:val="none"/>
        </w:rPr>
        <w:t>落地执行</w:t>
      </w:r>
    </w:p>
    <w:p>
      <w:pPr>
        <w:spacing w:line="580" w:lineRule="exact"/>
        <w:jc w:val="center"/>
        <w:outlineLvl w:val="0"/>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工作指引</w:t>
      </w:r>
    </w:p>
    <w:p>
      <w:pPr>
        <w:spacing w:line="580" w:lineRule="exact"/>
        <w:jc w:val="center"/>
        <w:rPr>
          <w:rFonts w:hint="eastAsia" w:ascii="方正楷体_GBK" w:hAnsi="方正楷体_GBK" w:eastAsia="方正楷体_GBK" w:cs="方正楷体_GBK"/>
          <w:sz w:val="32"/>
          <w:szCs w:val="32"/>
          <w:highlight w:val="none"/>
          <w:lang w:eastAsia="zh-CN"/>
        </w:rPr>
      </w:pPr>
    </w:p>
    <w:p>
      <w:pPr>
        <w:spacing w:line="580" w:lineRule="exact"/>
        <w:ind w:firstLine="640" w:firstLineChars="200"/>
        <w:rPr>
          <w:rFonts w:hint="eastAsia" w:ascii="方正仿宋_GBK" w:hAnsi="方正仿宋_GBK" w:eastAsia="方正仿宋_GBK" w:cs="方正仿宋_GBK"/>
          <w:sz w:val="32"/>
          <w:szCs w:val="40"/>
          <w:highlight w:val="none"/>
        </w:rPr>
      </w:pPr>
      <w:r>
        <w:rPr>
          <w:rFonts w:hint="eastAsia" w:ascii="方正仿宋_GBK" w:hAnsi="方正仿宋_GBK" w:eastAsia="方正仿宋_GBK" w:cs="方正仿宋_GBK"/>
          <w:sz w:val="32"/>
          <w:szCs w:val="40"/>
          <w:highlight w:val="none"/>
        </w:rPr>
        <w:t>为准确把握输配电价政策要求，统一营销执行业务规则，扎实做好业务调整、系统适配、用户告知、政策宣传、业务培训、电费结算、执行跟踪、效果分析、舆情监测等工作，全力保障第三监管周期输配电价平稳落地，</w:t>
      </w:r>
      <w:r>
        <w:rPr>
          <w:rFonts w:hint="eastAsia" w:ascii="方正仿宋_GBK" w:hAnsi="方正仿宋_GBK" w:eastAsia="方正仿宋_GBK" w:cs="方正仿宋_GBK"/>
          <w:sz w:val="32"/>
          <w:szCs w:val="40"/>
          <w:highlight w:val="none"/>
          <w:lang w:val="en-US" w:eastAsia="zh-CN"/>
        </w:rPr>
        <w:t>公司</w:t>
      </w:r>
      <w:r>
        <w:rPr>
          <w:rFonts w:hint="eastAsia" w:ascii="方正仿宋_GBK" w:hAnsi="方正仿宋_GBK" w:eastAsia="方正仿宋_GBK" w:cs="方正仿宋_GBK"/>
          <w:sz w:val="32"/>
          <w:szCs w:val="40"/>
          <w:highlight w:val="none"/>
        </w:rPr>
        <w:t>营销部</w:t>
      </w:r>
      <w:r>
        <w:rPr>
          <w:rFonts w:hint="eastAsia" w:ascii="方正仿宋_GBK" w:hAnsi="方正仿宋_GBK" w:eastAsia="方正仿宋_GBK" w:cs="方正仿宋_GBK"/>
          <w:sz w:val="32"/>
          <w:szCs w:val="40"/>
          <w:highlight w:val="none"/>
          <w:lang w:val="en-US" w:eastAsia="zh-CN"/>
        </w:rPr>
        <w:t>会同</w:t>
      </w:r>
      <w:r>
        <w:rPr>
          <w:rFonts w:hint="eastAsia" w:ascii="方正仿宋_GBK" w:hAnsi="方正仿宋_GBK" w:eastAsia="方正仿宋_GBK" w:cs="方正仿宋_GBK"/>
          <w:sz w:val="32"/>
          <w:szCs w:val="40"/>
          <w:highlight w:val="none"/>
        </w:rPr>
        <w:t>财务部编制第三监管周期输配电价营销专业落地执行工作指引，请各单位遵照执行。</w:t>
      </w:r>
    </w:p>
    <w:p>
      <w:pPr>
        <w:spacing w:line="580" w:lineRule="exact"/>
        <w:ind w:firstLine="640" w:firstLineChars="200"/>
        <w:outlineLvl w:val="0"/>
        <w:rPr>
          <w:rFonts w:hint="eastAsia" w:ascii="方正黑体_GBK" w:hAnsi="方正黑体_GBK" w:eastAsia="方正黑体_GBK" w:cs="方正黑体_GBK"/>
          <w:sz w:val="32"/>
          <w:szCs w:val="40"/>
          <w:highlight w:val="none"/>
        </w:rPr>
      </w:pPr>
      <w:r>
        <w:rPr>
          <w:rFonts w:hint="eastAsia" w:ascii="方正黑体_GBK" w:hAnsi="方正黑体_GBK" w:eastAsia="方正黑体_GBK" w:cs="方正黑体_GBK"/>
          <w:sz w:val="32"/>
          <w:szCs w:val="40"/>
          <w:highlight w:val="none"/>
        </w:rPr>
        <w:t>一、政策要点</w:t>
      </w:r>
    </w:p>
    <w:p>
      <w:pPr>
        <w:spacing w:line="580" w:lineRule="exact"/>
        <w:ind w:firstLine="640" w:firstLineChars="200"/>
        <w:outlineLvl w:val="1"/>
        <w:rPr>
          <w:rFonts w:hint="eastAsia" w:ascii="方正楷体_GBK" w:hAnsi="方正楷体_GBK" w:eastAsia="方正楷体_GBK" w:cs="方正楷体_GBK"/>
          <w:sz w:val="32"/>
          <w:szCs w:val="40"/>
          <w:highlight w:val="none"/>
        </w:rPr>
      </w:pPr>
      <w:r>
        <w:rPr>
          <w:rFonts w:hint="eastAsia" w:ascii="方正楷体_GBK" w:hAnsi="方正楷体_GBK" w:eastAsia="方正楷体_GBK" w:cs="方正楷体_GBK"/>
          <w:sz w:val="32"/>
          <w:szCs w:val="40"/>
          <w:highlight w:val="none"/>
        </w:rPr>
        <w:t>（一）简化用电分类</w:t>
      </w:r>
    </w:p>
    <w:p>
      <w:pPr>
        <w:spacing w:line="580" w:lineRule="exact"/>
        <w:ind w:firstLine="643" w:firstLineChars="200"/>
        <w:rPr>
          <w:rFonts w:hint="eastAsia" w:ascii="方正仿宋_GBK" w:hAnsi="方正仿宋_GBK" w:eastAsia="方正仿宋_GBK" w:cs="方正仿宋_GBK"/>
          <w:sz w:val="32"/>
          <w:szCs w:val="40"/>
          <w:highlight w:val="none"/>
        </w:rPr>
      </w:pPr>
      <w:r>
        <w:rPr>
          <w:rFonts w:hint="eastAsia" w:ascii="方正仿宋_GBK" w:hAnsi="方正仿宋_GBK" w:eastAsia="方正仿宋_GBK" w:cs="方正仿宋_GBK"/>
          <w:b/>
          <w:bCs/>
          <w:sz w:val="32"/>
          <w:szCs w:val="40"/>
          <w:highlight w:val="none"/>
          <w:lang w:val="en-US" w:eastAsia="zh-CN"/>
        </w:rPr>
        <w:t>1.</w:t>
      </w:r>
      <w:r>
        <w:rPr>
          <w:rFonts w:hint="eastAsia" w:ascii="方正仿宋_GBK" w:hAnsi="方正仿宋_GBK" w:eastAsia="方正仿宋_GBK" w:cs="方正仿宋_GBK"/>
          <w:b/>
          <w:bCs/>
          <w:sz w:val="32"/>
          <w:szCs w:val="40"/>
          <w:highlight w:val="none"/>
        </w:rPr>
        <w:t>政策规定</w:t>
      </w:r>
      <w:r>
        <w:rPr>
          <w:rFonts w:hint="eastAsia" w:ascii="方正仿宋_GBK" w:hAnsi="方正仿宋_GBK" w:eastAsia="方正仿宋_GBK" w:cs="方正仿宋_GBK"/>
          <w:b/>
          <w:bCs/>
          <w:sz w:val="32"/>
          <w:szCs w:val="40"/>
          <w:highlight w:val="none"/>
          <w:lang w:eastAsia="zh-CN"/>
        </w:rPr>
        <w:t>。</w:t>
      </w:r>
      <w:r>
        <w:rPr>
          <w:rFonts w:hint="eastAsia" w:ascii="方正仿宋_GBK" w:hAnsi="方正仿宋_GBK" w:eastAsia="方正仿宋_GBK" w:cs="方正仿宋_GBK"/>
          <w:sz w:val="32"/>
          <w:szCs w:val="40"/>
          <w:highlight w:val="none"/>
        </w:rPr>
        <w:t>用户用电价格逐步归并为居民生活、农业生产</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rPr>
        <w:t>工商业用电（除执行居民生活和农业生产用电价格以外的用电）三类。</w:t>
      </w:r>
    </w:p>
    <w:p>
      <w:pPr>
        <w:spacing w:line="580" w:lineRule="exact"/>
        <w:ind w:firstLine="643" w:firstLineChars="200"/>
        <w:rPr>
          <w:rFonts w:hint="eastAsia" w:ascii="方正仿宋_GBK" w:hAnsi="方正仿宋_GBK" w:eastAsia="方正仿宋_GBK" w:cs="方正仿宋_GBK"/>
          <w:sz w:val="32"/>
          <w:szCs w:val="40"/>
          <w:highlight w:val="none"/>
          <w:lang w:eastAsia="zh-CN"/>
        </w:rPr>
      </w:pPr>
      <w:r>
        <w:rPr>
          <w:rFonts w:hint="eastAsia" w:ascii="方正仿宋_GBK" w:hAnsi="方正仿宋_GBK" w:eastAsia="方正仿宋_GBK" w:cs="方正仿宋_GBK"/>
          <w:b/>
          <w:bCs/>
          <w:sz w:val="32"/>
          <w:szCs w:val="40"/>
          <w:highlight w:val="none"/>
          <w:lang w:val="en-US" w:eastAsia="zh-CN"/>
        </w:rPr>
        <w:t>2.</w:t>
      </w:r>
      <w:r>
        <w:rPr>
          <w:rFonts w:hint="eastAsia" w:ascii="方正仿宋_GBK" w:hAnsi="方正仿宋_GBK" w:eastAsia="方正仿宋_GBK" w:cs="方正仿宋_GBK"/>
          <w:b/>
          <w:bCs/>
          <w:sz w:val="32"/>
          <w:szCs w:val="40"/>
          <w:highlight w:val="none"/>
        </w:rPr>
        <w:t>要点及明确事项</w:t>
      </w:r>
      <w:r>
        <w:rPr>
          <w:rFonts w:hint="eastAsia" w:ascii="方正仿宋_GBK" w:hAnsi="方正仿宋_GBK" w:eastAsia="方正仿宋_GBK" w:cs="方正仿宋_GBK"/>
          <w:b/>
          <w:bCs/>
          <w:sz w:val="32"/>
          <w:szCs w:val="40"/>
          <w:highlight w:val="none"/>
          <w:lang w:eastAsia="zh-CN"/>
        </w:rPr>
        <w:t>。</w:t>
      </w:r>
      <w:r>
        <w:rPr>
          <w:rFonts w:hint="eastAsia" w:ascii="方正仿宋_GBK" w:hAnsi="方正仿宋_GBK" w:eastAsia="方正仿宋_GBK" w:cs="方正仿宋_GBK"/>
          <w:sz w:val="32"/>
          <w:szCs w:val="40"/>
          <w:highlight w:val="none"/>
        </w:rPr>
        <w:t>原“工商业及其他用电”更名为“工商业用电”</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lang w:val="en-US" w:eastAsia="zh-CN"/>
        </w:rPr>
        <w:t>包括大工业用电和一般工商业用电</w:t>
      </w:r>
      <w:r>
        <w:rPr>
          <w:rFonts w:hint="eastAsia" w:ascii="方正仿宋_GBK" w:hAnsi="方正仿宋_GBK" w:eastAsia="方正仿宋_GBK" w:cs="方正仿宋_GBK"/>
          <w:sz w:val="32"/>
          <w:szCs w:val="40"/>
          <w:highlight w:val="none"/>
        </w:rPr>
        <w:t>。</w:t>
      </w:r>
    </w:p>
    <w:p>
      <w:pPr>
        <w:spacing w:line="580" w:lineRule="exact"/>
        <w:ind w:firstLine="640" w:firstLineChars="200"/>
        <w:outlineLvl w:val="1"/>
        <w:rPr>
          <w:rFonts w:hint="eastAsia" w:ascii="方正楷体_GBK" w:hAnsi="方正楷体_GBK" w:eastAsia="方正楷体_GBK" w:cs="方正楷体_GBK"/>
          <w:sz w:val="32"/>
          <w:szCs w:val="40"/>
          <w:highlight w:val="none"/>
          <w:lang w:val="en-US" w:eastAsia="zh-CN"/>
        </w:rPr>
      </w:pPr>
      <w:r>
        <w:rPr>
          <w:rFonts w:hint="eastAsia" w:ascii="方正楷体_GBK" w:hAnsi="方正楷体_GBK" w:eastAsia="方正楷体_GBK" w:cs="方正楷体_GBK"/>
          <w:sz w:val="32"/>
          <w:szCs w:val="40"/>
          <w:highlight w:val="none"/>
        </w:rPr>
        <w:t>（二）</w:t>
      </w:r>
      <w:bookmarkStart w:id="0" w:name="_Hlk133312337"/>
      <w:bookmarkStart w:id="1" w:name="_Hlk133311253"/>
      <w:r>
        <w:rPr>
          <w:rFonts w:hint="eastAsia" w:ascii="方正楷体_GBK" w:hAnsi="方正楷体_GBK" w:eastAsia="方正楷体_GBK" w:cs="方正楷体_GBK"/>
          <w:sz w:val="32"/>
          <w:szCs w:val="40"/>
          <w:highlight w:val="none"/>
          <w:lang w:val="en-US" w:eastAsia="zh-CN"/>
        </w:rPr>
        <w:t>工商业电价</w:t>
      </w:r>
      <w:r>
        <w:rPr>
          <w:rFonts w:hint="eastAsia" w:ascii="方正楷体_GBK" w:hAnsi="方正楷体_GBK" w:eastAsia="方正楷体_GBK" w:cs="方正楷体_GBK"/>
          <w:sz w:val="32"/>
          <w:szCs w:val="40"/>
          <w:highlight w:val="none"/>
        </w:rPr>
        <w:t>执行</w:t>
      </w:r>
      <w:r>
        <w:rPr>
          <w:rFonts w:hint="eastAsia" w:ascii="方正楷体_GBK" w:hAnsi="方正楷体_GBK" w:eastAsia="方正楷体_GBK" w:cs="方正楷体_GBK"/>
          <w:sz w:val="32"/>
          <w:szCs w:val="40"/>
          <w:highlight w:val="none"/>
          <w:lang w:val="en-US" w:eastAsia="zh-CN"/>
        </w:rPr>
        <w:t>方式</w:t>
      </w:r>
    </w:p>
    <w:bookmarkEnd w:id="0"/>
    <w:bookmarkEnd w:id="1"/>
    <w:p>
      <w:pPr>
        <w:spacing w:line="580" w:lineRule="exact"/>
        <w:ind w:firstLine="643" w:firstLineChars="200"/>
        <w:rPr>
          <w:rFonts w:hint="eastAsia" w:ascii="方正仿宋_GBK" w:hAnsi="方正仿宋_GBK" w:eastAsia="方正仿宋_GBK" w:cs="方正仿宋_GBK"/>
          <w:sz w:val="32"/>
          <w:szCs w:val="40"/>
          <w:highlight w:val="none"/>
        </w:rPr>
      </w:pPr>
      <w:r>
        <w:rPr>
          <w:rFonts w:hint="eastAsia" w:ascii="方正仿宋_GBK" w:hAnsi="方正仿宋_GBK" w:eastAsia="方正仿宋_GBK" w:cs="方正仿宋_GBK"/>
          <w:b/>
          <w:bCs/>
          <w:sz w:val="32"/>
          <w:szCs w:val="40"/>
          <w:highlight w:val="none"/>
          <w:lang w:val="en-US" w:eastAsia="zh-CN"/>
        </w:rPr>
        <w:t>1.</w:t>
      </w:r>
      <w:r>
        <w:rPr>
          <w:rFonts w:hint="eastAsia" w:ascii="方正仿宋_GBK" w:hAnsi="方正仿宋_GBK" w:eastAsia="方正仿宋_GBK" w:cs="方正仿宋_GBK"/>
          <w:b/>
          <w:bCs/>
          <w:sz w:val="32"/>
          <w:szCs w:val="40"/>
          <w:highlight w:val="none"/>
        </w:rPr>
        <w:t>政策规定</w:t>
      </w:r>
      <w:r>
        <w:rPr>
          <w:rFonts w:hint="eastAsia" w:ascii="方正仿宋_GBK" w:hAnsi="方正仿宋_GBK" w:eastAsia="方正仿宋_GBK" w:cs="方正仿宋_GBK"/>
          <w:b/>
          <w:bCs/>
          <w:sz w:val="32"/>
          <w:szCs w:val="40"/>
          <w:highlight w:val="none"/>
          <w:lang w:eastAsia="zh-CN"/>
        </w:rPr>
        <w:t>。</w:t>
      </w:r>
      <w:r>
        <w:rPr>
          <w:rFonts w:hint="eastAsia" w:ascii="方正仿宋_GBK" w:hAnsi="方正仿宋_GBK" w:eastAsia="方正仿宋_GBK" w:cs="方正仿宋_GBK"/>
          <w:sz w:val="32"/>
          <w:szCs w:val="40"/>
          <w:highlight w:val="none"/>
        </w:rPr>
        <w:t>执行工商业（或大工业、一般工商业）用电价格的用户（以下简称工商业用户），用电容量在100千伏安及以下的，执行单一制电价；</w:t>
      </w:r>
      <w:bookmarkStart w:id="2" w:name="_Hlk133311393"/>
      <w:r>
        <w:rPr>
          <w:rFonts w:hint="eastAsia" w:ascii="方正仿宋_GBK" w:hAnsi="方正仿宋_GBK" w:eastAsia="方正仿宋_GBK" w:cs="方正仿宋_GBK"/>
          <w:sz w:val="32"/>
          <w:szCs w:val="40"/>
          <w:highlight w:val="none"/>
        </w:rPr>
        <w:t>100千伏安-315千伏安之间的，可选择执行单一制或两部制电价；</w:t>
      </w:r>
      <w:bookmarkEnd w:id="2"/>
      <w:r>
        <w:rPr>
          <w:rFonts w:hint="eastAsia" w:ascii="方正仿宋_GBK" w:hAnsi="方正仿宋_GBK" w:eastAsia="方正仿宋_GBK" w:cs="方正仿宋_GBK"/>
          <w:sz w:val="32"/>
          <w:szCs w:val="40"/>
          <w:highlight w:val="none"/>
        </w:rPr>
        <w:t>315千伏安及以上的，执行两部制电价，现执行单一制电价的用户，可选择执行两部制电价</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lang w:val="en-US" w:eastAsia="zh-CN"/>
        </w:rPr>
        <w:t>选择执行两部制电价后不可再变更</w:t>
      </w:r>
      <w:r>
        <w:rPr>
          <w:rFonts w:hint="eastAsia" w:ascii="方正仿宋_GBK" w:hAnsi="方正仿宋_GBK" w:eastAsia="方正仿宋_GBK" w:cs="方正仿宋_GBK"/>
          <w:sz w:val="32"/>
          <w:szCs w:val="40"/>
          <w:highlight w:val="none"/>
        </w:rPr>
        <w:t>。</w:t>
      </w:r>
    </w:p>
    <w:p>
      <w:pPr>
        <w:spacing w:line="580" w:lineRule="exact"/>
        <w:ind w:firstLine="643" w:firstLineChars="200"/>
        <w:rPr>
          <w:rFonts w:hint="eastAsia" w:ascii="方正仿宋_GBK" w:hAnsi="方正仿宋_GBK" w:eastAsia="方正仿宋_GBK" w:cs="方正仿宋_GBK"/>
          <w:b/>
          <w:bCs/>
          <w:sz w:val="32"/>
          <w:szCs w:val="40"/>
          <w:highlight w:val="none"/>
        </w:rPr>
      </w:pPr>
      <w:r>
        <w:rPr>
          <w:rFonts w:hint="eastAsia" w:ascii="方正仿宋_GBK" w:hAnsi="方正仿宋_GBK" w:eastAsia="方正仿宋_GBK" w:cs="方正仿宋_GBK"/>
          <w:b/>
          <w:bCs/>
          <w:sz w:val="32"/>
          <w:szCs w:val="40"/>
          <w:highlight w:val="none"/>
          <w:lang w:val="en-US" w:eastAsia="zh-CN"/>
        </w:rPr>
        <w:t>2.</w:t>
      </w:r>
      <w:r>
        <w:rPr>
          <w:rFonts w:hint="eastAsia" w:ascii="方正仿宋_GBK" w:hAnsi="方正仿宋_GBK" w:eastAsia="方正仿宋_GBK" w:cs="方正仿宋_GBK"/>
          <w:b/>
          <w:bCs/>
          <w:sz w:val="32"/>
          <w:szCs w:val="40"/>
          <w:highlight w:val="none"/>
        </w:rPr>
        <w:t>要点及明确事项</w:t>
      </w:r>
      <w:r>
        <w:rPr>
          <w:rFonts w:hint="eastAsia" w:ascii="方正仿宋_GBK" w:hAnsi="方正仿宋_GBK" w:eastAsia="方正仿宋_GBK" w:cs="方正仿宋_GBK"/>
          <w:b/>
          <w:bCs/>
          <w:sz w:val="32"/>
          <w:szCs w:val="40"/>
          <w:highlight w:val="none"/>
          <w:lang w:eastAsia="zh-CN"/>
        </w:rPr>
        <w:t>。</w:t>
      </w:r>
    </w:p>
    <w:p>
      <w:pPr>
        <w:spacing w:line="580" w:lineRule="exact"/>
        <w:ind w:firstLine="640" w:firstLineChars="200"/>
        <w:rPr>
          <w:rFonts w:hint="eastAsia" w:ascii="方正仿宋_GBK" w:hAnsi="方正仿宋_GBK" w:eastAsia="方正仿宋_GBK" w:cs="方正仿宋_GBK"/>
          <w:sz w:val="32"/>
          <w:szCs w:val="40"/>
          <w:highlight w:val="none"/>
        </w:rPr>
      </w:pPr>
      <w:r>
        <w:rPr>
          <w:rFonts w:hint="eastAsia" w:ascii="方正仿宋_GBK" w:hAnsi="方正仿宋_GBK" w:eastAsia="方正仿宋_GBK" w:cs="方正仿宋_GBK"/>
          <w:sz w:val="32"/>
          <w:szCs w:val="40"/>
          <w:highlight w:val="none"/>
        </w:rPr>
        <w:t>（1）两部制电价执行范围示意</w:t>
      </w:r>
      <w:r>
        <w:rPr>
          <w:rFonts w:hint="eastAsia" w:ascii="方正仿宋_GBK" w:hAnsi="方正仿宋_GBK" w:eastAsia="方正仿宋_GBK" w:cs="方正仿宋_GBK"/>
          <w:sz w:val="32"/>
          <w:szCs w:val="40"/>
          <w:highlight w:val="none"/>
          <w:lang w:val="en-US" w:eastAsia="zh-CN"/>
        </w:rPr>
        <w:t>表</w:t>
      </w:r>
      <w:r>
        <w:rPr>
          <w:rFonts w:hint="eastAsia" w:ascii="方正仿宋_GBK" w:hAnsi="方正仿宋_GBK" w:eastAsia="方正仿宋_GBK" w:cs="方正仿宋_GBK"/>
          <w:sz w:val="32"/>
          <w:szCs w:val="40"/>
          <w:highlight w:val="none"/>
        </w:rPr>
        <w:t>如下：</w:t>
      </w:r>
    </w:p>
    <w:tbl>
      <w:tblPr>
        <w:tblStyle w:val="11"/>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166"/>
        <w:gridCol w:w="3172"/>
        <w:gridCol w:w="140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99" w:type="dxa"/>
            <w:gridSpan w:val="3"/>
            <w:vAlign w:val="center"/>
          </w:tcPr>
          <w:p>
            <w:pPr>
              <w:spacing w:line="400" w:lineRule="exact"/>
              <w:jc w:val="center"/>
              <w:rPr>
                <w:rFonts w:hint="eastAsia" w:ascii="方正仿宋_GBK" w:hAnsi="方正仿宋_GBK" w:eastAsia="方正仿宋_GBK" w:cs="方正仿宋_GBK"/>
                <w:b/>
                <w:bCs/>
                <w:sz w:val="24"/>
                <w:szCs w:val="32"/>
                <w:highlight w:val="none"/>
              </w:rPr>
            </w:pPr>
            <w:r>
              <w:rPr>
                <w:rFonts w:hint="eastAsia" w:ascii="方正仿宋_GBK" w:hAnsi="方正仿宋_GBK" w:eastAsia="方正仿宋_GBK" w:cs="方正仿宋_GBK"/>
                <w:b/>
                <w:bCs/>
                <w:sz w:val="24"/>
                <w:szCs w:val="32"/>
                <w:highlight w:val="none"/>
              </w:rPr>
              <w:t>分类</w:t>
            </w:r>
          </w:p>
        </w:tc>
        <w:tc>
          <w:tcPr>
            <w:tcW w:w="1406" w:type="dxa"/>
            <w:vAlign w:val="center"/>
          </w:tcPr>
          <w:p>
            <w:pPr>
              <w:spacing w:line="400" w:lineRule="exact"/>
              <w:jc w:val="center"/>
              <w:rPr>
                <w:rFonts w:hint="eastAsia" w:ascii="方正仿宋_GBK" w:hAnsi="方正仿宋_GBK" w:eastAsia="方正仿宋_GBK" w:cs="方正仿宋_GBK"/>
                <w:b/>
                <w:bCs/>
                <w:sz w:val="24"/>
                <w:szCs w:val="32"/>
                <w:highlight w:val="none"/>
              </w:rPr>
            </w:pPr>
            <w:r>
              <w:rPr>
                <w:rFonts w:hint="eastAsia" w:ascii="方正仿宋_GBK" w:hAnsi="方正仿宋_GBK" w:eastAsia="方正仿宋_GBK" w:cs="方正仿宋_GBK"/>
                <w:b/>
                <w:bCs/>
                <w:sz w:val="24"/>
                <w:szCs w:val="32"/>
                <w:highlight w:val="none"/>
              </w:rPr>
              <w:t>单一制</w:t>
            </w:r>
          </w:p>
        </w:tc>
        <w:tc>
          <w:tcPr>
            <w:tcW w:w="1416" w:type="dxa"/>
            <w:vAlign w:val="center"/>
          </w:tcPr>
          <w:p>
            <w:pPr>
              <w:spacing w:line="400" w:lineRule="exact"/>
              <w:jc w:val="center"/>
              <w:rPr>
                <w:rFonts w:hint="eastAsia" w:ascii="方正仿宋_GBK" w:hAnsi="方正仿宋_GBK" w:eastAsia="方正仿宋_GBK" w:cs="方正仿宋_GBK"/>
                <w:b/>
                <w:bCs/>
                <w:sz w:val="24"/>
                <w:szCs w:val="32"/>
                <w:highlight w:val="none"/>
              </w:rPr>
            </w:pPr>
            <w:r>
              <w:rPr>
                <w:rFonts w:hint="eastAsia" w:ascii="方正仿宋_GBK" w:hAnsi="方正仿宋_GBK" w:eastAsia="方正仿宋_GBK" w:cs="方正仿宋_GBK"/>
                <w:b/>
                <w:bCs/>
                <w:sz w:val="24"/>
                <w:szCs w:val="32"/>
                <w:highlight w:val="none"/>
              </w:rPr>
              <w:t>两部制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99" w:type="dxa"/>
            <w:gridSpan w:val="3"/>
            <w:vAlign w:val="center"/>
          </w:tcPr>
          <w:p>
            <w:pPr>
              <w:spacing w:line="400" w:lineRule="exact"/>
              <w:jc w:val="center"/>
              <w:rPr>
                <w:rFonts w:hint="default" w:ascii="方正仿宋_GBK" w:hAnsi="方正仿宋_GBK" w:eastAsia="方正仿宋_GBK" w:cs="方正仿宋_GBK"/>
                <w:sz w:val="24"/>
                <w:szCs w:val="32"/>
                <w:highlight w:val="none"/>
                <w:lang w:val="en-US" w:eastAsia="zh-CN"/>
              </w:rPr>
            </w:pPr>
            <w:r>
              <w:rPr>
                <w:rFonts w:hint="eastAsia" w:ascii="方正仿宋_GBK" w:hAnsi="方正仿宋_GBK" w:eastAsia="方正仿宋_GBK" w:cs="方正仿宋_GBK"/>
                <w:sz w:val="24"/>
                <w:szCs w:val="32"/>
                <w:highlight w:val="none"/>
                <w:lang w:val="en-US" w:eastAsia="zh-CN"/>
              </w:rPr>
              <w:t>低压供电</w:t>
            </w:r>
          </w:p>
        </w:tc>
        <w:tc>
          <w:tcPr>
            <w:tcW w:w="1406" w:type="dxa"/>
            <w:vAlign w:val="center"/>
          </w:tcPr>
          <w:p>
            <w:pPr>
              <w:spacing w:line="400" w:lineRule="exact"/>
              <w:jc w:val="center"/>
              <w:rPr>
                <w:rFonts w:hint="eastAsia" w:ascii="方正仿宋_GBK" w:hAnsi="方正仿宋_GBK" w:eastAsia="方正仿宋_GBK" w:cs="方正仿宋_GBK"/>
                <w:sz w:val="24"/>
                <w:szCs w:val="32"/>
                <w:highlight w:val="none"/>
              </w:rPr>
            </w:pPr>
            <w:r>
              <w:rPr>
                <w:rFonts w:hint="eastAsia" w:ascii="方正仿宋_GBK" w:hAnsi="方正仿宋_GBK" w:eastAsia="方正仿宋_GBK" w:cs="方正仿宋_GBK"/>
                <w:sz w:val="24"/>
                <w:szCs w:val="32"/>
                <w:highlight w:val="none"/>
              </w:rPr>
              <w:t>全部</w:t>
            </w:r>
          </w:p>
        </w:tc>
        <w:tc>
          <w:tcPr>
            <w:tcW w:w="1416" w:type="dxa"/>
            <w:vAlign w:val="center"/>
          </w:tcPr>
          <w:p>
            <w:pPr>
              <w:spacing w:line="400" w:lineRule="exact"/>
              <w:jc w:val="center"/>
              <w:rPr>
                <w:rFonts w:hint="eastAsia" w:ascii="方正仿宋_GBK" w:hAnsi="方正仿宋_GBK" w:eastAsia="方正仿宋_GBK" w:cs="方正仿宋_GBK"/>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99" w:type="dxa"/>
            <w:gridSpan w:val="3"/>
            <w:vAlign w:val="center"/>
          </w:tcPr>
          <w:p>
            <w:pPr>
              <w:spacing w:line="400" w:lineRule="exact"/>
              <w:jc w:val="center"/>
              <w:rPr>
                <w:rFonts w:hint="eastAsia" w:ascii="方正仿宋_GBK" w:hAnsi="方正仿宋_GBK" w:eastAsia="方正仿宋_GBK" w:cs="方正仿宋_GBK"/>
                <w:kern w:val="2"/>
                <w:sz w:val="24"/>
                <w:szCs w:val="32"/>
                <w:highlight w:val="none"/>
                <w:lang w:val="en-US" w:eastAsia="zh-CN" w:bidi="ar-SA"/>
              </w:rPr>
            </w:pPr>
            <w:r>
              <w:rPr>
                <w:rFonts w:hint="eastAsia" w:ascii="方正仿宋_GBK" w:hAnsi="方正仿宋_GBK" w:eastAsia="方正仿宋_GBK" w:cs="方正仿宋_GBK"/>
                <w:sz w:val="24"/>
                <w:szCs w:val="32"/>
                <w:highlight w:val="none"/>
              </w:rPr>
              <w:t>100千伏安及以下</w:t>
            </w:r>
            <w:r>
              <w:rPr>
                <w:rFonts w:hint="eastAsia" w:ascii="方正仿宋_GBK" w:hAnsi="方正仿宋_GBK" w:eastAsia="方正仿宋_GBK" w:cs="方正仿宋_GBK"/>
                <w:sz w:val="24"/>
                <w:szCs w:val="32"/>
                <w:highlight w:val="none"/>
                <w:lang w:eastAsia="zh-CN"/>
              </w:rPr>
              <w:t>（</w:t>
            </w:r>
            <w:r>
              <w:rPr>
                <w:rFonts w:hint="eastAsia" w:ascii="方正仿宋_GBK" w:hAnsi="方正仿宋_GBK" w:eastAsia="方正仿宋_GBK" w:cs="方正仿宋_GBK"/>
                <w:sz w:val="24"/>
                <w:szCs w:val="32"/>
                <w:highlight w:val="none"/>
                <w:lang w:val="en-US" w:eastAsia="zh-CN"/>
              </w:rPr>
              <w:t>高压供电，下同</w:t>
            </w:r>
            <w:r>
              <w:rPr>
                <w:rFonts w:hint="eastAsia" w:ascii="方正仿宋_GBK" w:hAnsi="方正仿宋_GBK" w:eastAsia="方正仿宋_GBK" w:cs="方正仿宋_GBK"/>
                <w:sz w:val="24"/>
                <w:szCs w:val="32"/>
                <w:highlight w:val="none"/>
                <w:lang w:eastAsia="zh-CN"/>
              </w:rPr>
              <w:t>）</w:t>
            </w:r>
          </w:p>
        </w:tc>
        <w:tc>
          <w:tcPr>
            <w:tcW w:w="1406" w:type="dxa"/>
            <w:vAlign w:val="center"/>
          </w:tcPr>
          <w:p>
            <w:pPr>
              <w:spacing w:line="400" w:lineRule="exact"/>
              <w:jc w:val="center"/>
              <w:rPr>
                <w:rFonts w:hint="eastAsia" w:ascii="方正仿宋_GBK" w:hAnsi="方正仿宋_GBK" w:eastAsia="方正仿宋_GBK" w:cs="方正仿宋_GBK"/>
                <w:kern w:val="2"/>
                <w:sz w:val="24"/>
                <w:szCs w:val="32"/>
                <w:highlight w:val="none"/>
                <w:lang w:val="en-US" w:eastAsia="zh-CN" w:bidi="ar-SA"/>
              </w:rPr>
            </w:pPr>
            <w:r>
              <w:rPr>
                <w:rFonts w:hint="eastAsia" w:ascii="方正仿宋_GBK" w:hAnsi="方正仿宋_GBK" w:eastAsia="方正仿宋_GBK" w:cs="方正仿宋_GBK"/>
                <w:sz w:val="24"/>
                <w:szCs w:val="32"/>
                <w:highlight w:val="none"/>
              </w:rPr>
              <w:t>全部</w:t>
            </w:r>
          </w:p>
        </w:tc>
        <w:tc>
          <w:tcPr>
            <w:tcW w:w="1416" w:type="dxa"/>
            <w:vAlign w:val="center"/>
          </w:tcPr>
          <w:p>
            <w:pPr>
              <w:spacing w:line="400" w:lineRule="exact"/>
              <w:jc w:val="center"/>
              <w:rPr>
                <w:rFonts w:hint="eastAsia" w:ascii="方正仿宋_GBK" w:hAnsi="方正仿宋_GBK" w:eastAsia="方正仿宋_GBK" w:cs="方正仿宋_GBK"/>
                <w:kern w:val="2"/>
                <w:sz w:val="24"/>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99" w:type="dxa"/>
            <w:gridSpan w:val="3"/>
            <w:vAlign w:val="center"/>
          </w:tcPr>
          <w:p>
            <w:pPr>
              <w:spacing w:line="400" w:lineRule="exact"/>
              <w:jc w:val="center"/>
              <w:rPr>
                <w:rFonts w:hint="eastAsia" w:ascii="方正仿宋_GBK" w:hAnsi="方正仿宋_GBK" w:eastAsia="方正仿宋_GBK" w:cs="方正仿宋_GBK"/>
                <w:sz w:val="24"/>
                <w:szCs w:val="32"/>
                <w:highlight w:val="none"/>
              </w:rPr>
            </w:pPr>
            <w:r>
              <w:rPr>
                <w:rFonts w:hint="eastAsia" w:ascii="方正仿宋_GBK" w:hAnsi="方正仿宋_GBK" w:eastAsia="方正仿宋_GBK" w:cs="方正仿宋_GBK"/>
                <w:sz w:val="24"/>
                <w:szCs w:val="32"/>
                <w:highlight w:val="none"/>
              </w:rPr>
              <w:t>100千伏安-315千伏安之间</w:t>
            </w:r>
          </w:p>
        </w:tc>
        <w:tc>
          <w:tcPr>
            <w:tcW w:w="1406" w:type="dxa"/>
            <w:vAlign w:val="center"/>
          </w:tcPr>
          <w:p>
            <w:pPr>
              <w:spacing w:line="400" w:lineRule="exact"/>
              <w:jc w:val="center"/>
              <w:rPr>
                <w:rFonts w:hint="eastAsia" w:ascii="方正仿宋_GBK" w:hAnsi="方正仿宋_GBK" w:eastAsia="方正仿宋_GBK" w:cs="方正仿宋_GBK"/>
                <w:sz w:val="24"/>
                <w:szCs w:val="32"/>
                <w:highlight w:val="none"/>
              </w:rPr>
            </w:pPr>
            <w:r>
              <w:rPr>
                <w:rFonts w:hint="eastAsia" w:ascii="方正仿宋_GBK" w:hAnsi="方正仿宋_GBK" w:eastAsia="方正仿宋_GBK" w:cs="方正仿宋_GBK"/>
                <w:sz w:val="24"/>
                <w:szCs w:val="32"/>
                <w:highlight w:val="none"/>
              </w:rPr>
              <w:t>可选</w:t>
            </w:r>
          </w:p>
        </w:tc>
        <w:tc>
          <w:tcPr>
            <w:tcW w:w="1416" w:type="dxa"/>
            <w:vAlign w:val="center"/>
          </w:tcPr>
          <w:p>
            <w:pPr>
              <w:spacing w:line="400" w:lineRule="exact"/>
              <w:jc w:val="center"/>
              <w:rPr>
                <w:rFonts w:hint="eastAsia" w:ascii="方正仿宋_GBK" w:hAnsi="方正仿宋_GBK" w:eastAsia="方正仿宋_GBK" w:cs="方正仿宋_GBK"/>
                <w:sz w:val="24"/>
                <w:szCs w:val="32"/>
                <w:highlight w:val="none"/>
                <w:lang w:eastAsia="zh-CN"/>
              </w:rPr>
            </w:pPr>
            <w:r>
              <w:rPr>
                <w:rFonts w:hint="eastAsia" w:ascii="方正仿宋_GBK" w:hAnsi="方正仿宋_GBK" w:eastAsia="方正仿宋_GBK" w:cs="方正仿宋_GBK"/>
                <w:sz w:val="24"/>
                <w:szCs w:val="32"/>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restart"/>
            <w:vAlign w:val="center"/>
          </w:tcPr>
          <w:p>
            <w:pPr>
              <w:spacing w:line="400" w:lineRule="exact"/>
              <w:jc w:val="center"/>
              <w:rPr>
                <w:rFonts w:hint="eastAsia" w:ascii="方正仿宋_GBK" w:hAnsi="方正仿宋_GBK" w:eastAsia="方正仿宋_GBK" w:cs="方正仿宋_GBK"/>
                <w:sz w:val="24"/>
                <w:szCs w:val="32"/>
                <w:highlight w:val="none"/>
              </w:rPr>
            </w:pPr>
            <w:r>
              <w:rPr>
                <w:rFonts w:hint="eastAsia" w:ascii="方正仿宋_GBK" w:hAnsi="方正仿宋_GBK" w:eastAsia="方正仿宋_GBK" w:cs="方正仿宋_GBK"/>
                <w:sz w:val="24"/>
                <w:szCs w:val="32"/>
                <w:highlight w:val="none"/>
              </w:rPr>
              <w:t>315千伏安及以上</w:t>
            </w:r>
          </w:p>
        </w:tc>
        <w:tc>
          <w:tcPr>
            <w:tcW w:w="1166" w:type="dxa"/>
            <w:vMerge w:val="restart"/>
            <w:vAlign w:val="center"/>
          </w:tcPr>
          <w:p>
            <w:pPr>
              <w:spacing w:line="400" w:lineRule="exact"/>
              <w:jc w:val="center"/>
              <w:rPr>
                <w:rFonts w:hint="eastAsia" w:ascii="方正仿宋_GBK" w:hAnsi="方正仿宋_GBK" w:eastAsia="方正仿宋_GBK" w:cs="方正仿宋_GBK"/>
                <w:sz w:val="24"/>
                <w:szCs w:val="32"/>
                <w:highlight w:val="none"/>
              </w:rPr>
            </w:pPr>
            <w:r>
              <w:rPr>
                <w:rFonts w:hint="eastAsia" w:ascii="方正仿宋_GBK" w:hAnsi="方正仿宋_GBK" w:eastAsia="方正仿宋_GBK" w:cs="方正仿宋_GBK"/>
                <w:sz w:val="24"/>
                <w:szCs w:val="32"/>
                <w:highlight w:val="none"/>
              </w:rPr>
              <w:t>存量</w:t>
            </w:r>
          </w:p>
        </w:tc>
        <w:tc>
          <w:tcPr>
            <w:tcW w:w="3172" w:type="dxa"/>
            <w:vAlign w:val="center"/>
          </w:tcPr>
          <w:p>
            <w:pPr>
              <w:spacing w:line="400" w:lineRule="exact"/>
              <w:jc w:val="center"/>
              <w:rPr>
                <w:rFonts w:hint="eastAsia" w:ascii="方正仿宋_GBK" w:hAnsi="方正仿宋_GBK" w:eastAsia="方正仿宋_GBK" w:cs="方正仿宋_GBK"/>
                <w:sz w:val="24"/>
                <w:szCs w:val="32"/>
                <w:highlight w:val="none"/>
              </w:rPr>
            </w:pPr>
            <w:r>
              <w:rPr>
                <w:rFonts w:hint="eastAsia" w:ascii="方正仿宋_GBK" w:hAnsi="方正仿宋_GBK" w:eastAsia="方正仿宋_GBK" w:cs="方正仿宋_GBK"/>
                <w:sz w:val="24"/>
                <w:szCs w:val="32"/>
                <w:highlight w:val="none"/>
              </w:rPr>
              <w:t>大工业用电</w:t>
            </w:r>
          </w:p>
        </w:tc>
        <w:tc>
          <w:tcPr>
            <w:tcW w:w="1406" w:type="dxa"/>
            <w:vAlign w:val="center"/>
          </w:tcPr>
          <w:p>
            <w:pPr>
              <w:spacing w:line="400" w:lineRule="exact"/>
              <w:jc w:val="center"/>
              <w:rPr>
                <w:rFonts w:hint="eastAsia" w:ascii="方正仿宋_GBK" w:hAnsi="方正仿宋_GBK" w:eastAsia="方正仿宋_GBK" w:cs="方正仿宋_GBK"/>
                <w:sz w:val="24"/>
                <w:szCs w:val="32"/>
                <w:highlight w:val="none"/>
              </w:rPr>
            </w:pPr>
          </w:p>
        </w:tc>
        <w:tc>
          <w:tcPr>
            <w:tcW w:w="1416" w:type="dxa"/>
            <w:vAlign w:val="center"/>
          </w:tcPr>
          <w:p>
            <w:pPr>
              <w:spacing w:line="400" w:lineRule="exact"/>
              <w:jc w:val="center"/>
              <w:rPr>
                <w:rFonts w:hint="eastAsia" w:ascii="方正仿宋_GBK" w:hAnsi="方正仿宋_GBK" w:eastAsia="方正仿宋_GBK" w:cs="方正仿宋_GBK"/>
                <w:sz w:val="24"/>
                <w:szCs w:val="32"/>
                <w:highlight w:val="none"/>
              </w:rPr>
            </w:pPr>
            <w:r>
              <w:rPr>
                <w:rFonts w:hint="eastAsia" w:ascii="方正仿宋_GBK" w:hAnsi="方正仿宋_GBK" w:eastAsia="方正仿宋_GBK" w:cs="方正仿宋_GBK"/>
                <w:sz w:val="24"/>
                <w:szCs w:val="32"/>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vAlign w:val="center"/>
          </w:tcPr>
          <w:p>
            <w:pPr>
              <w:spacing w:line="400" w:lineRule="exact"/>
              <w:jc w:val="center"/>
              <w:rPr>
                <w:rFonts w:hint="eastAsia" w:ascii="方正仿宋_GBK" w:hAnsi="方正仿宋_GBK" w:eastAsia="方正仿宋_GBK" w:cs="方正仿宋_GBK"/>
                <w:sz w:val="24"/>
                <w:szCs w:val="32"/>
                <w:highlight w:val="none"/>
              </w:rPr>
            </w:pPr>
          </w:p>
        </w:tc>
        <w:tc>
          <w:tcPr>
            <w:tcW w:w="1166" w:type="dxa"/>
            <w:vMerge w:val="continue"/>
            <w:vAlign w:val="center"/>
          </w:tcPr>
          <w:p>
            <w:pPr>
              <w:spacing w:line="400" w:lineRule="exact"/>
              <w:jc w:val="center"/>
              <w:rPr>
                <w:rFonts w:hint="eastAsia" w:ascii="方正仿宋_GBK" w:hAnsi="方正仿宋_GBK" w:eastAsia="方正仿宋_GBK" w:cs="方正仿宋_GBK"/>
                <w:sz w:val="24"/>
                <w:szCs w:val="32"/>
                <w:highlight w:val="none"/>
              </w:rPr>
            </w:pPr>
          </w:p>
        </w:tc>
        <w:tc>
          <w:tcPr>
            <w:tcW w:w="3172" w:type="dxa"/>
            <w:vAlign w:val="center"/>
          </w:tcPr>
          <w:p>
            <w:pPr>
              <w:spacing w:line="400" w:lineRule="exact"/>
              <w:jc w:val="center"/>
              <w:rPr>
                <w:rFonts w:hint="eastAsia" w:ascii="方正仿宋_GBK" w:hAnsi="方正仿宋_GBK" w:eastAsia="方正仿宋_GBK" w:cs="方正仿宋_GBK"/>
                <w:sz w:val="24"/>
                <w:szCs w:val="32"/>
                <w:highlight w:val="none"/>
              </w:rPr>
            </w:pPr>
            <w:r>
              <w:rPr>
                <w:rFonts w:hint="eastAsia" w:ascii="方正仿宋_GBK" w:hAnsi="方正仿宋_GBK" w:eastAsia="方正仿宋_GBK" w:cs="方正仿宋_GBK"/>
                <w:sz w:val="24"/>
                <w:szCs w:val="32"/>
                <w:highlight w:val="none"/>
              </w:rPr>
              <w:t>单一制一般工商业用电</w:t>
            </w:r>
          </w:p>
        </w:tc>
        <w:tc>
          <w:tcPr>
            <w:tcW w:w="1406" w:type="dxa"/>
            <w:vAlign w:val="center"/>
          </w:tcPr>
          <w:p>
            <w:pPr>
              <w:spacing w:line="400" w:lineRule="exact"/>
              <w:jc w:val="center"/>
              <w:rPr>
                <w:rFonts w:hint="eastAsia" w:ascii="方正仿宋_GBK" w:hAnsi="方正仿宋_GBK" w:eastAsia="方正仿宋_GBK" w:cs="方正仿宋_GBK"/>
                <w:sz w:val="24"/>
                <w:szCs w:val="32"/>
                <w:highlight w:val="none"/>
              </w:rPr>
            </w:pPr>
          </w:p>
        </w:tc>
        <w:tc>
          <w:tcPr>
            <w:tcW w:w="1416" w:type="dxa"/>
            <w:vAlign w:val="center"/>
          </w:tcPr>
          <w:p>
            <w:pPr>
              <w:spacing w:line="400" w:lineRule="exact"/>
              <w:jc w:val="center"/>
              <w:rPr>
                <w:rFonts w:hint="eastAsia" w:ascii="方正仿宋_GBK" w:hAnsi="方正仿宋_GBK" w:eastAsia="方正仿宋_GBK" w:cs="方正仿宋_GBK"/>
                <w:sz w:val="24"/>
                <w:szCs w:val="32"/>
                <w:highlight w:val="none"/>
              </w:rPr>
            </w:pPr>
            <w:r>
              <w:rPr>
                <w:rFonts w:hint="eastAsia" w:ascii="方正仿宋_GBK" w:hAnsi="方正仿宋_GBK" w:eastAsia="方正仿宋_GBK" w:cs="方正仿宋_GBK"/>
                <w:sz w:val="24"/>
                <w:szCs w:val="32"/>
                <w:highlight w:val="none"/>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vAlign w:val="center"/>
          </w:tcPr>
          <w:p>
            <w:pPr>
              <w:spacing w:line="400" w:lineRule="exact"/>
              <w:jc w:val="center"/>
              <w:rPr>
                <w:rFonts w:hint="eastAsia" w:ascii="方正仿宋_GBK" w:hAnsi="方正仿宋_GBK" w:eastAsia="方正仿宋_GBK" w:cs="方正仿宋_GBK"/>
                <w:sz w:val="24"/>
                <w:szCs w:val="32"/>
                <w:highlight w:val="none"/>
              </w:rPr>
            </w:pPr>
          </w:p>
        </w:tc>
        <w:tc>
          <w:tcPr>
            <w:tcW w:w="1166" w:type="dxa"/>
            <w:vMerge w:val="continue"/>
            <w:vAlign w:val="center"/>
          </w:tcPr>
          <w:p>
            <w:pPr>
              <w:spacing w:line="400" w:lineRule="exact"/>
              <w:jc w:val="center"/>
              <w:rPr>
                <w:rFonts w:hint="eastAsia" w:ascii="方正仿宋_GBK" w:hAnsi="方正仿宋_GBK" w:eastAsia="方正仿宋_GBK" w:cs="方正仿宋_GBK"/>
                <w:sz w:val="24"/>
                <w:szCs w:val="32"/>
                <w:highlight w:val="none"/>
              </w:rPr>
            </w:pPr>
          </w:p>
        </w:tc>
        <w:tc>
          <w:tcPr>
            <w:tcW w:w="3172" w:type="dxa"/>
            <w:vAlign w:val="center"/>
          </w:tcPr>
          <w:p>
            <w:pPr>
              <w:spacing w:line="400" w:lineRule="exact"/>
              <w:jc w:val="center"/>
              <w:rPr>
                <w:rFonts w:hint="eastAsia" w:ascii="方正仿宋_GBK" w:hAnsi="方正仿宋_GBK" w:eastAsia="方正仿宋_GBK" w:cs="方正仿宋_GBK"/>
                <w:sz w:val="24"/>
                <w:szCs w:val="32"/>
                <w:highlight w:val="none"/>
              </w:rPr>
            </w:pPr>
            <w:r>
              <w:rPr>
                <w:rFonts w:hint="eastAsia" w:ascii="方正仿宋_GBK" w:hAnsi="方正仿宋_GBK" w:eastAsia="方正仿宋_GBK" w:cs="方正仿宋_GBK"/>
                <w:sz w:val="24"/>
                <w:szCs w:val="32"/>
                <w:highlight w:val="none"/>
              </w:rPr>
              <w:t>两部制一般工商业用电</w:t>
            </w:r>
          </w:p>
        </w:tc>
        <w:tc>
          <w:tcPr>
            <w:tcW w:w="1406" w:type="dxa"/>
            <w:vAlign w:val="center"/>
          </w:tcPr>
          <w:p>
            <w:pPr>
              <w:spacing w:line="400" w:lineRule="exact"/>
              <w:jc w:val="center"/>
              <w:rPr>
                <w:rFonts w:hint="eastAsia" w:ascii="方正仿宋_GBK" w:hAnsi="方正仿宋_GBK" w:eastAsia="方正仿宋_GBK" w:cs="方正仿宋_GBK"/>
                <w:sz w:val="24"/>
                <w:szCs w:val="32"/>
                <w:highlight w:val="none"/>
              </w:rPr>
            </w:pPr>
          </w:p>
        </w:tc>
        <w:tc>
          <w:tcPr>
            <w:tcW w:w="1416" w:type="dxa"/>
            <w:vAlign w:val="center"/>
          </w:tcPr>
          <w:p>
            <w:pPr>
              <w:spacing w:line="400" w:lineRule="exact"/>
              <w:jc w:val="center"/>
              <w:rPr>
                <w:rFonts w:hint="eastAsia" w:ascii="方正仿宋_GBK" w:hAnsi="方正仿宋_GBK" w:eastAsia="方正仿宋_GBK" w:cs="方正仿宋_GBK"/>
                <w:sz w:val="24"/>
                <w:szCs w:val="32"/>
                <w:highlight w:val="none"/>
              </w:rPr>
            </w:pPr>
            <w:r>
              <w:rPr>
                <w:rFonts w:hint="eastAsia" w:ascii="方正仿宋_GBK" w:hAnsi="方正仿宋_GBK" w:eastAsia="方正仿宋_GBK" w:cs="方正仿宋_GBK"/>
                <w:sz w:val="24"/>
                <w:szCs w:val="32"/>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vAlign w:val="center"/>
          </w:tcPr>
          <w:p>
            <w:pPr>
              <w:spacing w:line="400" w:lineRule="exact"/>
              <w:jc w:val="center"/>
              <w:rPr>
                <w:rFonts w:hint="eastAsia" w:ascii="方正仿宋_GBK" w:hAnsi="方正仿宋_GBK" w:eastAsia="方正仿宋_GBK" w:cs="方正仿宋_GBK"/>
                <w:sz w:val="24"/>
                <w:szCs w:val="32"/>
                <w:highlight w:val="none"/>
              </w:rPr>
            </w:pPr>
          </w:p>
        </w:tc>
        <w:tc>
          <w:tcPr>
            <w:tcW w:w="1166" w:type="dxa"/>
            <w:vMerge w:val="restart"/>
            <w:vAlign w:val="center"/>
          </w:tcPr>
          <w:p>
            <w:pPr>
              <w:spacing w:line="400" w:lineRule="exact"/>
              <w:jc w:val="center"/>
              <w:rPr>
                <w:rFonts w:hint="eastAsia" w:ascii="方正仿宋_GBK" w:hAnsi="方正仿宋_GBK" w:eastAsia="方正仿宋_GBK" w:cs="方正仿宋_GBK"/>
                <w:sz w:val="24"/>
                <w:szCs w:val="32"/>
                <w:highlight w:val="none"/>
              </w:rPr>
            </w:pPr>
            <w:r>
              <w:rPr>
                <w:rFonts w:hint="eastAsia" w:ascii="方正仿宋_GBK" w:hAnsi="方正仿宋_GBK" w:eastAsia="方正仿宋_GBK" w:cs="方正仿宋_GBK"/>
                <w:sz w:val="24"/>
                <w:szCs w:val="32"/>
                <w:highlight w:val="none"/>
              </w:rPr>
              <w:t>增量</w:t>
            </w:r>
          </w:p>
        </w:tc>
        <w:tc>
          <w:tcPr>
            <w:tcW w:w="3172" w:type="dxa"/>
            <w:vAlign w:val="center"/>
          </w:tcPr>
          <w:p>
            <w:pPr>
              <w:spacing w:line="400" w:lineRule="exact"/>
              <w:jc w:val="center"/>
              <w:rPr>
                <w:rFonts w:hint="eastAsia" w:ascii="方正仿宋_GBK" w:hAnsi="方正仿宋_GBK" w:eastAsia="方正仿宋_GBK" w:cs="方正仿宋_GBK"/>
                <w:sz w:val="24"/>
                <w:szCs w:val="32"/>
                <w:highlight w:val="none"/>
              </w:rPr>
            </w:pPr>
            <w:r>
              <w:rPr>
                <w:rFonts w:hint="eastAsia" w:ascii="方正仿宋_GBK" w:hAnsi="方正仿宋_GBK" w:eastAsia="方正仿宋_GBK" w:cs="方正仿宋_GBK"/>
                <w:sz w:val="24"/>
                <w:szCs w:val="32"/>
                <w:highlight w:val="none"/>
              </w:rPr>
              <w:t>大工业用电</w:t>
            </w:r>
          </w:p>
        </w:tc>
        <w:tc>
          <w:tcPr>
            <w:tcW w:w="1406" w:type="dxa"/>
            <w:vAlign w:val="center"/>
          </w:tcPr>
          <w:p>
            <w:pPr>
              <w:spacing w:line="400" w:lineRule="exact"/>
              <w:jc w:val="center"/>
              <w:rPr>
                <w:rFonts w:hint="eastAsia" w:ascii="方正仿宋_GBK" w:hAnsi="方正仿宋_GBK" w:eastAsia="方正仿宋_GBK" w:cs="方正仿宋_GBK"/>
                <w:sz w:val="24"/>
                <w:szCs w:val="32"/>
                <w:highlight w:val="none"/>
              </w:rPr>
            </w:pPr>
          </w:p>
        </w:tc>
        <w:tc>
          <w:tcPr>
            <w:tcW w:w="1416" w:type="dxa"/>
            <w:vAlign w:val="center"/>
          </w:tcPr>
          <w:p>
            <w:pPr>
              <w:spacing w:line="400" w:lineRule="exact"/>
              <w:jc w:val="center"/>
              <w:rPr>
                <w:rFonts w:hint="eastAsia" w:ascii="方正仿宋_GBK" w:hAnsi="方正仿宋_GBK" w:eastAsia="方正仿宋_GBK" w:cs="方正仿宋_GBK"/>
                <w:sz w:val="24"/>
                <w:szCs w:val="32"/>
                <w:highlight w:val="none"/>
              </w:rPr>
            </w:pPr>
            <w:r>
              <w:rPr>
                <w:rFonts w:hint="eastAsia" w:ascii="方正仿宋_GBK" w:hAnsi="方正仿宋_GBK" w:eastAsia="方正仿宋_GBK" w:cs="方正仿宋_GBK"/>
                <w:sz w:val="24"/>
                <w:szCs w:val="32"/>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1" w:type="dxa"/>
            <w:vMerge w:val="continue"/>
            <w:vAlign w:val="center"/>
          </w:tcPr>
          <w:p>
            <w:pPr>
              <w:spacing w:line="400" w:lineRule="exact"/>
              <w:jc w:val="center"/>
              <w:rPr>
                <w:rFonts w:hint="eastAsia" w:ascii="方正仿宋_GBK" w:hAnsi="方正仿宋_GBK" w:eastAsia="方正仿宋_GBK" w:cs="方正仿宋_GBK"/>
                <w:sz w:val="24"/>
                <w:szCs w:val="32"/>
                <w:highlight w:val="none"/>
              </w:rPr>
            </w:pPr>
          </w:p>
        </w:tc>
        <w:tc>
          <w:tcPr>
            <w:tcW w:w="1166" w:type="dxa"/>
            <w:vMerge w:val="continue"/>
            <w:vAlign w:val="center"/>
          </w:tcPr>
          <w:p>
            <w:pPr>
              <w:spacing w:line="400" w:lineRule="exact"/>
              <w:jc w:val="center"/>
              <w:rPr>
                <w:rFonts w:hint="eastAsia" w:ascii="方正仿宋_GBK" w:hAnsi="方正仿宋_GBK" w:eastAsia="方正仿宋_GBK" w:cs="方正仿宋_GBK"/>
                <w:sz w:val="24"/>
                <w:szCs w:val="32"/>
                <w:highlight w:val="none"/>
              </w:rPr>
            </w:pPr>
          </w:p>
        </w:tc>
        <w:tc>
          <w:tcPr>
            <w:tcW w:w="3172" w:type="dxa"/>
            <w:vAlign w:val="center"/>
          </w:tcPr>
          <w:p>
            <w:pPr>
              <w:spacing w:line="400" w:lineRule="exact"/>
              <w:jc w:val="center"/>
              <w:rPr>
                <w:rFonts w:hint="eastAsia" w:ascii="方正仿宋_GBK" w:hAnsi="方正仿宋_GBK" w:eastAsia="方正仿宋_GBK" w:cs="方正仿宋_GBK"/>
                <w:sz w:val="24"/>
                <w:szCs w:val="32"/>
                <w:highlight w:val="none"/>
              </w:rPr>
            </w:pPr>
            <w:r>
              <w:rPr>
                <w:rFonts w:hint="eastAsia" w:ascii="方正仿宋_GBK" w:hAnsi="方正仿宋_GBK" w:eastAsia="方正仿宋_GBK" w:cs="方正仿宋_GBK"/>
                <w:sz w:val="24"/>
                <w:szCs w:val="32"/>
                <w:highlight w:val="none"/>
              </w:rPr>
              <w:t>一般工商业用电</w:t>
            </w:r>
          </w:p>
        </w:tc>
        <w:tc>
          <w:tcPr>
            <w:tcW w:w="1406" w:type="dxa"/>
            <w:vAlign w:val="center"/>
          </w:tcPr>
          <w:p>
            <w:pPr>
              <w:spacing w:line="400" w:lineRule="exact"/>
              <w:jc w:val="center"/>
              <w:rPr>
                <w:rFonts w:hint="eastAsia" w:ascii="方正仿宋_GBK" w:hAnsi="方正仿宋_GBK" w:eastAsia="方正仿宋_GBK" w:cs="方正仿宋_GBK"/>
                <w:sz w:val="24"/>
                <w:szCs w:val="32"/>
                <w:highlight w:val="none"/>
              </w:rPr>
            </w:pPr>
          </w:p>
        </w:tc>
        <w:tc>
          <w:tcPr>
            <w:tcW w:w="1416" w:type="dxa"/>
            <w:vAlign w:val="center"/>
          </w:tcPr>
          <w:p>
            <w:pPr>
              <w:spacing w:line="400" w:lineRule="exact"/>
              <w:jc w:val="center"/>
              <w:rPr>
                <w:rFonts w:hint="eastAsia" w:ascii="方正仿宋_GBK" w:hAnsi="方正仿宋_GBK" w:eastAsia="方正仿宋_GBK" w:cs="方正仿宋_GBK"/>
                <w:sz w:val="24"/>
                <w:szCs w:val="32"/>
                <w:highlight w:val="none"/>
              </w:rPr>
            </w:pPr>
            <w:r>
              <w:rPr>
                <w:rFonts w:hint="eastAsia" w:ascii="方正仿宋_GBK" w:hAnsi="方正仿宋_GBK" w:eastAsia="方正仿宋_GBK" w:cs="方正仿宋_GBK"/>
                <w:sz w:val="24"/>
                <w:szCs w:val="32"/>
                <w:highlight w:val="none"/>
              </w:rPr>
              <w:t>全部</w:t>
            </w:r>
          </w:p>
        </w:tc>
      </w:tr>
    </w:tbl>
    <w:p>
      <w:pPr>
        <w:spacing w:line="580" w:lineRule="exact"/>
        <w:ind w:firstLine="640" w:firstLineChars="200"/>
        <w:rPr>
          <w:rFonts w:hint="eastAsia" w:ascii="方正仿宋_GBK" w:hAnsi="方正仿宋_GBK" w:eastAsia="方正仿宋_GBK" w:cs="方正仿宋_GBK"/>
          <w:sz w:val="32"/>
          <w:szCs w:val="40"/>
          <w:highlight w:val="none"/>
        </w:rPr>
      </w:pPr>
      <w:r>
        <w:rPr>
          <w:rFonts w:hint="eastAsia" w:ascii="方正仿宋_GBK" w:hAnsi="方正仿宋_GBK" w:eastAsia="方正仿宋_GBK" w:cs="方正仿宋_GBK"/>
          <w:sz w:val="32"/>
          <w:szCs w:val="40"/>
          <w:highlight w:val="none"/>
        </w:rPr>
        <w:t>（</w:t>
      </w:r>
      <w:r>
        <w:rPr>
          <w:rFonts w:hint="eastAsia" w:ascii="方正仿宋_GBK" w:hAnsi="方正仿宋_GBK" w:eastAsia="方正仿宋_GBK" w:cs="方正仿宋_GBK"/>
          <w:sz w:val="32"/>
          <w:szCs w:val="40"/>
          <w:highlight w:val="none"/>
          <w:lang w:val="en-US" w:eastAsia="zh-CN"/>
        </w:rPr>
        <w:t>2</w:t>
      </w:r>
      <w:r>
        <w:rPr>
          <w:rFonts w:hint="eastAsia" w:ascii="方正仿宋_GBK" w:hAnsi="方正仿宋_GBK" w:eastAsia="方正仿宋_GBK" w:cs="方正仿宋_GBK"/>
          <w:sz w:val="32"/>
          <w:szCs w:val="40"/>
          <w:highlight w:val="none"/>
        </w:rPr>
        <w:t>）用电容量在315千伏安及以上的，</w:t>
      </w:r>
      <w:r>
        <w:rPr>
          <w:rFonts w:hint="eastAsia" w:ascii="方正仿宋_GBK" w:hAnsi="方正仿宋_GBK" w:eastAsia="方正仿宋_GBK" w:cs="方正仿宋_GBK"/>
          <w:sz w:val="32"/>
          <w:szCs w:val="40"/>
          <w:highlight w:val="none"/>
          <w:lang w:val="en-US" w:eastAsia="zh-CN"/>
        </w:rPr>
        <w:t>现</w:t>
      </w:r>
      <w:r>
        <w:rPr>
          <w:rFonts w:hint="eastAsia" w:ascii="方正仿宋_GBK" w:hAnsi="方正仿宋_GBK" w:eastAsia="方正仿宋_GBK" w:cs="方正仿宋_GBK"/>
          <w:sz w:val="32"/>
          <w:szCs w:val="40"/>
          <w:highlight w:val="none"/>
        </w:rPr>
        <w:t>执行单一制电价的用户是指：在2023年6月1日之前正式提交用电申请</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lang w:val="en-US" w:eastAsia="zh-CN"/>
        </w:rPr>
        <w:t>经确认为</w:t>
      </w:r>
      <w:r>
        <w:rPr>
          <w:rFonts w:hint="eastAsia" w:ascii="方正仿宋_GBK" w:hAnsi="方正仿宋_GBK" w:eastAsia="方正仿宋_GBK" w:cs="方正仿宋_GBK"/>
          <w:sz w:val="32"/>
          <w:szCs w:val="40"/>
          <w:highlight w:val="none"/>
        </w:rPr>
        <w:t>一般工商业</w:t>
      </w:r>
      <w:r>
        <w:rPr>
          <w:rFonts w:hint="eastAsia" w:ascii="方正仿宋_GBK" w:hAnsi="方正仿宋_GBK" w:eastAsia="方正仿宋_GBK" w:cs="方正仿宋_GBK"/>
          <w:sz w:val="32"/>
          <w:szCs w:val="40"/>
          <w:highlight w:val="none"/>
          <w:lang w:val="en-US" w:eastAsia="zh-CN"/>
        </w:rPr>
        <w:t>用电的</w:t>
      </w:r>
      <w:r>
        <w:rPr>
          <w:rFonts w:hint="eastAsia" w:ascii="方正仿宋_GBK" w:hAnsi="方正仿宋_GBK" w:eastAsia="方正仿宋_GBK" w:cs="方正仿宋_GBK"/>
          <w:sz w:val="32"/>
          <w:szCs w:val="40"/>
          <w:highlight w:val="none"/>
        </w:rPr>
        <w:t>用户（已选择执行两部制电价的除外）。</w:t>
      </w:r>
    </w:p>
    <w:p>
      <w:pPr>
        <w:pStyle w:val="4"/>
        <w:spacing w:line="580" w:lineRule="exact"/>
        <w:rPr>
          <w:rFonts w:hint="default" w:eastAsia="方正仿宋_GBK"/>
          <w:lang w:val="en-US" w:eastAsia="zh-CN"/>
        </w:rPr>
      </w:pP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lang w:val="en-US" w:eastAsia="zh-CN"/>
        </w:rPr>
        <w:t>3</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lang w:val="en-US" w:eastAsia="zh-CN"/>
        </w:rPr>
        <w:t>工商业</w:t>
      </w:r>
      <w:r>
        <w:rPr>
          <w:rFonts w:hint="eastAsia" w:ascii="方正仿宋_GBK" w:hAnsi="方正仿宋_GBK" w:eastAsia="方正仿宋_GBK" w:cs="方正仿宋_GBK"/>
          <w:sz w:val="32"/>
          <w:szCs w:val="40"/>
          <w:highlight w:val="none"/>
          <w:lang w:eastAsia="zh-CN"/>
        </w:rPr>
        <w:t>用户</w:t>
      </w:r>
      <w:r>
        <w:rPr>
          <w:rFonts w:hint="eastAsia" w:ascii="方正仿宋_GBK" w:hAnsi="方正仿宋_GBK" w:eastAsia="方正仿宋_GBK" w:cs="方正仿宋_GBK"/>
          <w:sz w:val="32"/>
          <w:szCs w:val="40"/>
          <w:highlight w:val="none"/>
          <w:lang w:val="en-US" w:eastAsia="zh-CN"/>
        </w:rPr>
        <w:t>6月1日及以后</w:t>
      </w:r>
      <w:r>
        <w:rPr>
          <w:rFonts w:hint="eastAsia" w:ascii="方正仿宋_GBK" w:hAnsi="方正仿宋_GBK" w:eastAsia="方正仿宋_GBK" w:cs="方正仿宋_GBK"/>
          <w:sz w:val="32"/>
          <w:szCs w:val="40"/>
          <w:highlight w:val="none"/>
          <w:lang w:eastAsia="zh-CN"/>
        </w:rPr>
        <w:t>提交</w:t>
      </w:r>
      <w:r>
        <w:rPr>
          <w:rFonts w:hint="eastAsia" w:ascii="方正仿宋_GBK" w:hAnsi="方正仿宋_GBK" w:eastAsia="方正仿宋_GBK" w:cs="方正仿宋_GBK"/>
          <w:sz w:val="32"/>
          <w:szCs w:val="40"/>
          <w:highlight w:val="none"/>
          <w:lang w:val="en-US" w:eastAsia="zh-CN"/>
        </w:rPr>
        <w:t>新装</w:t>
      </w:r>
      <w:r>
        <w:rPr>
          <w:rFonts w:hint="eastAsia" w:ascii="方正仿宋_GBK" w:hAnsi="方正仿宋_GBK" w:eastAsia="方正仿宋_GBK" w:cs="方正仿宋_GBK"/>
          <w:sz w:val="32"/>
          <w:szCs w:val="40"/>
          <w:highlight w:val="none"/>
          <w:lang w:eastAsia="zh-CN"/>
        </w:rPr>
        <w:t>、增容与变更用电</w:t>
      </w:r>
      <w:r>
        <w:rPr>
          <w:rFonts w:hint="eastAsia" w:ascii="方正仿宋_GBK" w:hAnsi="方正仿宋_GBK" w:eastAsia="方正仿宋_GBK" w:cs="方正仿宋_GBK"/>
          <w:sz w:val="32"/>
          <w:szCs w:val="40"/>
          <w:highlight w:val="none"/>
          <w:lang w:val="en-US" w:eastAsia="zh-CN"/>
        </w:rPr>
        <w:t>正式</w:t>
      </w:r>
      <w:r>
        <w:rPr>
          <w:rFonts w:hint="eastAsia" w:ascii="方正仿宋_GBK" w:hAnsi="方正仿宋_GBK" w:eastAsia="方正仿宋_GBK" w:cs="方正仿宋_GBK"/>
          <w:sz w:val="32"/>
          <w:szCs w:val="40"/>
          <w:highlight w:val="none"/>
          <w:lang w:eastAsia="zh-CN"/>
        </w:rPr>
        <w:t>申请，</w:t>
      </w:r>
      <w:r>
        <w:rPr>
          <w:rFonts w:hint="eastAsia" w:ascii="方正仿宋_GBK" w:hAnsi="方正仿宋_GBK" w:eastAsia="方正仿宋_GBK" w:cs="方正仿宋_GBK"/>
          <w:sz w:val="32"/>
          <w:szCs w:val="40"/>
          <w:highlight w:val="none"/>
          <w:lang w:val="en-US" w:eastAsia="zh-CN"/>
        </w:rPr>
        <w:t>用电容量达到315千伏安及以上的，执行两部制电价。其中变更业务为涉及到主体变更、合同容量变更的各类业务，包含</w:t>
      </w:r>
      <w:r>
        <w:rPr>
          <w:rFonts w:hint="eastAsia" w:ascii="方正仿宋_GBK" w:hAnsi="方正仿宋_GBK" w:eastAsia="方正仿宋_GBK" w:cs="方正仿宋_GBK"/>
          <w:sz w:val="32"/>
          <w:szCs w:val="32"/>
          <w:lang w:val="en-US" w:eastAsia="zh-CN"/>
        </w:rPr>
        <w:t>过户、并户、分户、由居民农业变更至工商业的改类等。</w:t>
      </w:r>
    </w:p>
    <w:p>
      <w:pPr>
        <w:widowControl/>
        <w:numPr>
          <w:ilvl w:val="0"/>
          <w:numId w:val="0"/>
        </w:numPr>
        <w:spacing w:line="580" w:lineRule="exact"/>
        <w:ind w:firstLine="0" w:firstLineChars="0"/>
        <w:rPr>
          <w:rFonts w:hint="eastAsia" w:ascii="方正楷体_GBK" w:hAnsi="方正楷体_GBK" w:eastAsia="方正楷体_GBK" w:cs="方正楷体_GBK"/>
          <w:color w:val="auto"/>
          <w:sz w:val="28"/>
          <w:szCs w:val="36"/>
          <w:highlight w:val="none"/>
          <w:shd w:val="clear" w:color="FFFFFF" w:fill="D9D9D9"/>
        </w:rPr>
      </w:pPr>
      <w:r>
        <w:rPr>
          <w:rFonts w:hint="eastAsia" w:ascii="方正仿宋_GBK" w:hAnsi="方正仿宋_GBK" w:eastAsia="方正仿宋_GBK" w:cs="方正仿宋_GBK"/>
          <w:sz w:val="32"/>
          <w:szCs w:val="40"/>
          <w:highlight w:val="none"/>
        </w:rPr>
        <w:t>（</w:t>
      </w:r>
      <w:r>
        <w:rPr>
          <w:rFonts w:hint="eastAsia" w:ascii="方正仿宋_GBK" w:hAnsi="方正仿宋_GBK" w:eastAsia="方正仿宋_GBK" w:cs="方正仿宋_GBK"/>
          <w:sz w:val="32"/>
          <w:szCs w:val="40"/>
          <w:highlight w:val="none"/>
          <w:lang w:val="en-US" w:eastAsia="zh-CN"/>
        </w:rPr>
        <w:t>4</w:t>
      </w:r>
      <w:r>
        <w:rPr>
          <w:rFonts w:hint="eastAsia" w:ascii="方正仿宋_GBK" w:hAnsi="方正仿宋_GBK" w:eastAsia="方正仿宋_GBK" w:cs="方正仿宋_GBK"/>
          <w:sz w:val="32"/>
          <w:szCs w:val="40"/>
          <w:highlight w:val="none"/>
        </w:rPr>
        <w:t>）</w:t>
      </w:r>
      <w:r>
        <w:rPr>
          <w:rFonts w:hint="eastAsia" w:ascii="方正仿宋_GBK" w:hAnsi="方正仿宋_GBK" w:eastAsia="方正仿宋_GBK" w:cs="方正仿宋_GBK"/>
          <w:sz w:val="32"/>
          <w:szCs w:val="40"/>
          <w:highlight w:val="none"/>
          <w:lang w:val="en-US" w:eastAsia="zh-CN"/>
        </w:rPr>
        <w:t>2023年6月1日及以后</w:t>
      </w:r>
      <w:r>
        <w:rPr>
          <w:rFonts w:hint="eastAsia" w:ascii="方正仿宋_GBK" w:hAnsi="方正仿宋_GBK" w:eastAsia="方正仿宋_GBK" w:cs="方正仿宋_GBK"/>
          <w:sz w:val="32"/>
          <w:szCs w:val="40"/>
          <w:highlight w:val="none"/>
          <w:lang w:eastAsia="zh-CN"/>
        </w:rPr>
        <w:t>提交</w:t>
      </w:r>
      <w:r>
        <w:rPr>
          <w:rFonts w:hint="eastAsia" w:ascii="方正仿宋_GBK" w:hAnsi="方正仿宋_GBK" w:eastAsia="方正仿宋_GBK" w:cs="方正仿宋_GBK"/>
          <w:sz w:val="32"/>
          <w:szCs w:val="40"/>
          <w:highlight w:val="none"/>
          <w:lang w:val="en-US" w:eastAsia="zh-CN"/>
        </w:rPr>
        <w:t>新装</w:t>
      </w:r>
      <w:r>
        <w:rPr>
          <w:rFonts w:hint="eastAsia" w:ascii="方正仿宋_GBK" w:hAnsi="方正仿宋_GBK" w:eastAsia="方正仿宋_GBK" w:cs="方正仿宋_GBK"/>
          <w:sz w:val="32"/>
          <w:szCs w:val="40"/>
          <w:highlight w:val="none"/>
          <w:lang w:eastAsia="zh-CN"/>
        </w:rPr>
        <w:t>、增容与变更用电</w:t>
      </w:r>
      <w:r>
        <w:rPr>
          <w:rFonts w:hint="eastAsia" w:ascii="方正仿宋_GBK" w:hAnsi="方正仿宋_GBK" w:eastAsia="方正仿宋_GBK" w:cs="方正仿宋_GBK"/>
          <w:sz w:val="32"/>
          <w:szCs w:val="40"/>
          <w:highlight w:val="none"/>
          <w:lang w:val="en-US" w:eastAsia="zh-CN"/>
        </w:rPr>
        <w:t>正式</w:t>
      </w:r>
      <w:r>
        <w:rPr>
          <w:rFonts w:hint="eastAsia" w:ascii="方正仿宋_GBK" w:hAnsi="方正仿宋_GBK" w:eastAsia="方正仿宋_GBK" w:cs="方正仿宋_GBK"/>
          <w:sz w:val="32"/>
          <w:szCs w:val="40"/>
          <w:highlight w:val="none"/>
          <w:lang w:eastAsia="zh-CN"/>
        </w:rPr>
        <w:t>申请</w:t>
      </w:r>
      <w:r>
        <w:rPr>
          <w:rFonts w:hint="eastAsia" w:ascii="方正仿宋_GBK" w:hAnsi="方正仿宋_GBK" w:eastAsia="方正仿宋_GBK" w:cs="方正仿宋_GBK"/>
          <w:sz w:val="32"/>
          <w:szCs w:val="40"/>
          <w:highlight w:val="none"/>
          <w:lang w:val="en-US" w:eastAsia="zh-CN"/>
        </w:rPr>
        <w:t>的，</w:t>
      </w:r>
      <w:r>
        <w:rPr>
          <w:rFonts w:hint="eastAsia" w:ascii="方正仿宋_GBK" w:hAnsi="方正仿宋_GBK" w:eastAsia="方正仿宋_GBK" w:cs="方正仿宋_GBK"/>
          <w:color w:val="auto"/>
          <w:sz w:val="32"/>
          <w:szCs w:val="40"/>
          <w:highlight w:val="none"/>
        </w:rPr>
        <w:t>海水淡化、</w:t>
      </w:r>
      <w:r>
        <w:rPr>
          <w:rFonts w:hint="eastAsia" w:ascii="方正仿宋_GBK" w:hAnsi="方正仿宋_GBK" w:eastAsia="方正仿宋_GBK" w:cs="方正仿宋_GBK"/>
          <w:color w:val="auto"/>
          <w:sz w:val="32"/>
          <w:szCs w:val="40"/>
          <w:highlight w:val="none"/>
          <w:lang w:val="en-US" w:eastAsia="zh-CN"/>
        </w:rPr>
        <w:t>经营性</w:t>
      </w:r>
      <w:r>
        <w:rPr>
          <w:rFonts w:hint="eastAsia" w:ascii="方正仿宋_GBK" w:hAnsi="方正仿宋_GBK" w:eastAsia="方正仿宋_GBK" w:cs="方正仿宋_GBK"/>
          <w:color w:val="auto"/>
          <w:sz w:val="32"/>
          <w:szCs w:val="40"/>
          <w:highlight w:val="none"/>
        </w:rPr>
        <w:t>电动汽车充换电设施</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lang w:val="en-US" w:eastAsia="zh-CN"/>
        </w:rPr>
        <w:t>污水处理、港口岸电</w:t>
      </w:r>
      <w:r>
        <w:rPr>
          <w:rFonts w:hint="eastAsia" w:ascii="方正仿宋_GBK" w:hAnsi="方正仿宋_GBK" w:eastAsia="方正仿宋_GBK" w:cs="方正仿宋_GBK"/>
          <w:color w:val="auto"/>
          <w:sz w:val="32"/>
          <w:szCs w:val="40"/>
          <w:highlight w:val="none"/>
        </w:rPr>
        <w:t>等</w:t>
      </w:r>
      <w:r>
        <w:rPr>
          <w:rFonts w:hint="eastAsia" w:ascii="方正仿宋_GBK" w:hAnsi="方正仿宋_GBK" w:eastAsia="方正仿宋_GBK" w:cs="方正仿宋_GBK"/>
          <w:color w:val="auto"/>
          <w:sz w:val="32"/>
          <w:szCs w:val="40"/>
          <w:highlight w:val="none"/>
          <w:lang w:val="en-US" w:eastAsia="zh-CN"/>
        </w:rPr>
        <w:t>执行两部制电价时，</w:t>
      </w:r>
      <w:r>
        <w:rPr>
          <w:rFonts w:hint="eastAsia" w:ascii="方正仿宋_GBK" w:hAnsi="方正仿宋_GBK" w:eastAsia="方正仿宋_GBK" w:cs="方正仿宋_GBK"/>
          <w:color w:val="auto"/>
          <w:sz w:val="32"/>
          <w:szCs w:val="40"/>
          <w:highlight w:val="none"/>
        </w:rPr>
        <w:t>具备</w:t>
      </w:r>
      <w:r>
        <w:rPr>
          <w:rFonts w:hint="eastAsia" w:ascii="方正仿宋_GBK" w:hAnsi="方正仿宋_GBK" w:eastAsia="方正仿宋_GBK" w:cs="方正仿宋_GBK"/>
          <w:color w:val="auto"/>
          <w:sz w:val="32"/>
          <w:szCs w:val="40"/>
          <w:highlight w:val="none"/>
          <w:lang w:val="en-US" w:eastAsia="zh-CN"/>
        </w:rPr>
        <w:t>单独变压器及</w:t>
      </w:r>
      <w:r>
        <w:rPr>
          <w:rFonts w:hint="eastAsia" w:ascii="方正仿宋_GBK" w:hAnsi="方正仿宋_GBK" w:eastAsia="方正仿宋_GBK" w:cs="方正仿宋_GBK"/>
          <w:color w:val="auto"/>
          <w:sz w:val="32"/>
          <w:szCs w:val="40"/>
          <w:highlight w:val="none"/>
        </w:rPr>
        <w:t>计量</w:t>
      </w:r>
      <w:r>
        <w:rPr>
          <w:rFonts w:hint="eastAsia" w:ascii="方正仿宋_GBK" w:hAnsi="方正仿宋_GBK" w:eastAsia="方正仿宋_GBK" w:cs="方正仿宋_GBK"/>
          <w:color w:val="auto"/>
          <w:sz w:val="32"/>
          <w:szCs w:val="40"/>
          <w:highlight w:val="none"/>
          <w:lang w:val="en-US" w:eastAsia="zh-CN"/>
        </w:rPr>
        <w:t>装置</w:t>
      </w:r>
      <w:r>
        <w:rPr>
          <w:rFonts w:hint="eastAsia" w:ascii="方正仿宋_GBK" w:hAnsi="方正仿宋_GBK" w:eastAsia="方正仿宋_GBK" w:cs="方正仿宋_GBK"/>
          <w:color w:val="auto"/>
          <w:sz w:val="32"/>
          <w:szCs w:val="40"/>
          <w:highlight w:val="none"/>
        </w:rPr>
        <w:t>的</w:t>
      </w:r>
      <w:r>
        <w:rPr>
          <w:rFonts w:hint="eastAsia" w:ascii="方正仿宋_GBK" w:hAnsi="方正仿宋_GBK" w:eastAsia="方正仿宋_GBK" w:cs="方正仿宋_GBK"/>
          <w:color w:val="auto"/>
          <w:sz w:val="32"/>
          <w:szCs w:val="40"/>
          <w:highlight w:val="none"/>
          <w:lang w:val="en-US" w:eastAsia="zh-CN"/>
        </w:rPr>
        <w:t>免收容（需）量电费</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lang w:val="en-US" w:eastAsia="zh-CN"/>
        </w:rPr>
        <w:t>不</w:t>
      </w:r>
      <w:r>
        <w:rPr>
          <w:rFonts w:hint="eastAsia" w:ascii="方正仿宋_GBK" w:hAnsi="方正仿宋_GBK" w:eastAsia="方正仿宋_GBK" w:cs="方正仿宋_GBK"/>
          <w:color w:val="auto"/>
          <w:sz w:val="32"/>
          <w:szCs w:val="40"/>
          <w:highlight w:val="none"/>
        </w:rPr>
        <w:t>具备的</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b w:val="0"/>
          <w:bCs w:val="0"/>
          <w:strike w:val="0"/>
          <w:color w:val="auto"/>
          <w:sz w:val="32"/>
          <w:szCs w:val="40"/>
          <w:highlight w:val="none"/>
          <w:lang w:val="en-US" w:eastAsia="zh-CN"/>
        </w:rPr>
        <w:t>按全容需量计收</w:t>
      </w:r>
      <w:r>
        <w:rPr>
          <w:rFonts w:hint="eastAsia" w:ascii="方正仿宋_GBK" w:hAnsi="方正仿宋_GBK" w:eastAsia="方正仿宋_GBK" w:cs="方正仿宋_GBK"/>
          <w:sz w:val="32"/>
          <w:szCs w:val="40"/>
          <w:highlight w:val="none"/>
          <w:lang w:val="en-US" w:eastAsia="zh-CN"/>
        </w:rPr>
        <w:t>容（需）量</w:t>
      </w:r>
      <w:r>
        <w:rPr>
          <w:rFonts w:hint="eastAsia" w:ascii="方正仿宋_GBK" w:hAnsi="方正仿宋_GBK" w:eastAsia="方正仿宋_GBK" w:cs="方正仿宋_GBK"/>
          <w:b w:val="0"/>
          <w:bCs w:val="0"/>
          <w:strike w:val="0"/>
          <w:color w:val="auto"/>
          <w:sz w:val="32"/>
          <w:szCs w:val="40"/>
          <w:highlight w:val="none"/>
          <w:lang w:val="en-US" w:eastAsia="zh-CN"/>
        </w:rPr>
        <w:t>电费。</w:t>
      </w:r>
      <w:r>
        <w:rPr>
          <w:rFonts w:hint="eastAsia" w:ascii="方正楷体_GBK" w:hAnsi="方正楷体_GBK" w:eastAsia="方正楷体_GBK" w:cs="方正楷体_GBK"/>
          <w:b w:val="0"/>
          <w:bCs w:val="0"/>
          <w:strike w:val="0"/>
          <w:color w:val="auto"/>
          <w:sz w:val="28"/>
          <w:szCs w:val="36"/>
          <w:highlight w:val="none"/>
          <w:shd w:val="clear" w:color="FFFFFF" w:fill="D9D9D9"/>
          <w:lang w:val="en-US" w:eastAsia="zh-CN"/>
        </w:rPr>
        <w:t>（目前山东省对上述四个绿色环保产业用户，实施</w:t>
      </w:r>
      <w:r>
        <w:rPr>
          <w:rFonts w:hint="eastAsia" w:ascii="方正楷体_GBK" w:hAnsi="方正楷体_GBK" w:eastAsia="方正楷体_GBK" w:cs="方正楷体_GBK"/>
          <w:i w:val="0"/>
          <w:iCs w:val="0"/>
          <w:caps w:val="0"/>
          <w:color w:val="auto"/>
          <w:spacing w:val="0"/>
          <w:sz w:val="28"/>
          <w:szCs w:val="36"/>
          <w:highlight w:val="none"/>
          <w:shd w:val="clear" w:color="FFFFFF" w:fill="D9D9D9"/>
        </w:rPr>
        <w:t>免收需量（容量）费</w:t>
      </w:r>
      <w:r>
        <w:rPr>
          <w:rFonts w:hint="eastAsia" w:ascii="方正楷体_GBK" w:hAnsi="方正楷体_GBK" w:eastAsia="方正楷体_GBK" w:cs="方正楷体_GBK"/>
          <w:i w:val="0"/>
          <w:iCs w:val="0"/>
          <w:caps w:val="0"/>
          <w:color w:val="auto"/>
          <w:spacing w:val="0"/>
          <w:sz w:val="28"/>
          <w:szCs w:val="36"/>
          <w:highlight w:val="none"/>
          <w:shd w:val="clear" w:color="FFFFFF" w:fill="D9D9D9"/>
          <w:lang w:val="en-US" w:eastAsia="zh-CN"/>
        </w:rPr>
        <w:t>的支持性政策）</w:t>
      </w:r>
    </w:p>
    <w:p>
      <w:pPr>
        <w:widowControl/>
        <w:numPr>
          <w:ilvl w:val="-1"/>
          <w:numId w:val="0"/>
        </w:numPr>
        <w:spacing w:line="580" w:lineRule="exact"/>
        <w:ind w:firstLine="640" w:firstLineChars="200"/>
        <w:rPr>
          <w:rFonts w:hint="eastAsia" w:ascii="方正楷体_GBK" w:hAnsi="方正楷体_GBK" w:eastAsia="方正楷体_GBK" w:cs="方正楷体_GBK"/>
          <w:i w:val="0"/>
          <w:iCs w:val="0"/>
          <w:color w:val="auto"/>
          <w:sz w:val="28"/>
          <w:szCs w:val="36"/>
          <w:highlight w:val="none"/>
          <w:shd w:val="clear" w:color="FFFFFF" w:fill="D9D9D9"/>
          <w:lang w:val="en-US" w:eastAsia="zh-CN"/>
        </w:rPr>
      </w:pPr>
      <w:r>
        <w:rPr>
          <w:rFonts w:hint="eastAsia" w:ascii="方正仿宋_GBK" w:hAnsi="方正仿宋_GBK" w:eastAsia="方正仿宋_GBK" w:cs="方正仿宋_GBK"/>
          <w:sz w:val="32"/>
          <w:szCs w:val="40"/>
          <w:highlight w:val="none"/>
        </w:rPr>
        <w:t>（</w:t>
      </w:r>
      <w:r>
        <w:rPr>
          <w:rFonts w:hint="eastAsia" w:ascii="方正仿宋_GBK" w:hAnsi="方正仿宋_GBK" w:eastAsia="方正仿宋_GBK" w:cs="方正仿宋_GBK"/>
          <w:sz w:val="32"/>
          <w:szCs w:val="40"/>
          <w:highlight w:val="none"/>
          <w:lang w:val="en-US" w:eastAsia="zh-CN"/>
        </w:rPr>
        <w:t>5</w:t>
      </w:r>
      <w:r>
        <w:rPr>
          <w:rFonts w:hint="eastAsia" w:ascii="方正仿宋_GBK" w:hAnsi="方正仿宋_GBK" w:eastAsia="方正仿宋_GBK" w:cs="方正仿宋_GBK"/>
          <w:sz w:val="32"/>
          <w:szCs w:val="40"/>
          <w:highlight w:val="none"/>
        </w:rPr>
        <w:t>）用户选择单一制、两部制电价</w:t>
      </w:r>
      <w:r>
        <w:rPr>
          <w:rFonts w:hint="eastAsia" w:ascii="方正仿宋_GBK" w:hAnsi="方正仿宋_GBK" w:eastAsia="方正仿宋_GBK" w:cs="方正仿宋_GBK"/>
          <w:sz w:val="32"/>
          <w:szCs w:val="40"/>
          <w:highlight w:val="none"/>
          <w:lang w:val="en-US" w:eastAsia="zh-CN"/>
        </w:rPr>
        <w:t>时</w:t>
      </w:r>
      <w:r>
        <w:rPr>
          <w:rFonts w:hint="eastAsia" w:ascii="方正仿宋_GBK" w:hAnsi="方正仿宋_GBK" w:eastAsia="方正仿宋_GBK" w:cs="方正仿宋_GBK"/>
          <w:sz w:val="32"/>
          <w:szCs w:val="40"/>
          <w:highlight w:val="none"/>
        </w:rPr>
        <w:t>，</w:t>
      </w:r>
      <w:r>
        <w:rPr>
          <w:rFonts w:hint="eastAsia" w:ascii="方正仿宋_GBK" w:hAnsi="方正仿宋_GBK" w:eastAsia="方正仿宋_GBK" w:cs="方正仿宋_GBK"/>
          <w:sz w:val="32"/>
          <w:szCs w:val="40"/>
          <w:highlight w:val="none"/>
          <w:lang w:val="en-US" w:eastAsia="zh-CN"/>
        </w:rPr>
        <w:t>应</w:t>
      </w:r>
      <w:r>
        <w:rPr>
          <w:rFonts w:hint="eastAsia" w:ascii="方正仿宋_GBK" w:hAnsi="方正仿宋_GBK" w:eastAsia="方正仿宋_GBK" w:cs="方正仿宋_GBK"/>
          <w:sz w:val="32"/>
          <w:szCs w:val="40"/>
          <w:highlight w:val="none"/>
        </w:rPr>
        <w:t>提前15个工作日向电网企业申请</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rPr>
        <w:t>变更周期不少于12个月</w:t>
      </w:r>
      <w:r>
        <w:rPr>
          <w:rFonts w:hint="eastAsia" w:ascii="方正仿宋_GBK" w:hAnsi="方正仿宋_GBK" w:eastAsia="方正仿宋_GBK" w:cs="方正仿宋_GBK"/>
          <w:sz w:val="32"/>
          <w:szCs w:val="40"/>
          <w:highlight w:val="none"/>
          <w:lang w:val="en-US" w:eastAsia="zh-CN"/>
        </w:rPr>
        <w:t>。</w:t>
      </w:r>
      <w:r>
        <w:rPr>
          <w:rFonts w:hint="eastAsia" w:ascii="方正仿宋_GBK" w:hAnsi="方正仿宋_GBK" w:eastAsia="方正仿宋_GBK" w:cs="方正仿宋_GBK"/>
          <w:sz w:val="32"/>
          <w:szCs w:val="40"/>
          <w:highlight w:val="none"/>
        </w:rPr>
        <w:t>分时电价、功率因数调整电费等继续按现行标准执行</w:t>
      </w:r>
      <w:r>
        <w:rPr>
          <w:rFonts w:hint="eastAsia" w:ascii="方正仿宋_GBK" w:hAnsi="方正仿宋_GBK" w:eastAsia="方正仿宋_GBK" w:cs="方正仿宋_GBK"/>
          <w:sz w:val="32"/>
          <w:szCs w:val="40"/>
          <w:highlight w:val="none"/>
          <w:lang w:val="en-US" w:eastAsia="zh-CN"/>
        </w:rPr>
        <w:t>。</w:t>
      </w:r>
      <w:r>
        <w:rPr>
          <w:rFonts w:hint="eastAsia" w:ascii="方正楷体_GBK" w:hAnsi="方正楷体_GBK" w:eastAsia="方正楷体_GBK" w:cs="方正楷体_GBK"/>
          <w:i w:val="0"/>
          <w:iCs w:val="0"/>
          <w:color w:val="auto"/>
          <w:sz w:val="28"/>
          <w:szCs w:val="36"/>
          <w:highlight w:val="none"/>
          <w:shd w:val="clear" w:color="FFFFFF" w:fill="D9D9D9"/>
          <w:lang w:val="en-US" w:eastAsia="zh-CN"/>
        </w:rPr>
        <w:t>（目前营销2.0系统在单一制、两部制电价变更时，是业务归档后实时生效的）</w:t>
      </w:r>
    </w:p>
    <w:p>
      <w:pPr>
        <w:spacing w:line="580" w:lineRule="exact"/>
        <w:ind w:firstLine="640" w:firstLineChars="200"/>
        <w:rPr>
          <w:rFonts w:hint="eastAsia" w:ascii="方正仿宋_GBK" w:hAnsi="方正仿宋_GBK" w:eastAsia="方正仿宋_GBK" w:cs="方正仿宋_GBK"/>
          <w:sz w:val="32"/>
          <w:szCs w:val="40"/>
          <w:highlight w:val="none"/>
          <w:lang w:val="en-US" w:eastAsia="zh-CN"/>
        </w:rPr>
      </w:pP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lang w:val="en-US" w:eastAsia="zh-CN"/>
        </w:rPr>
        <w:t>6</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lang w:val="en-US" w:eastAsia="zh-CN"/>
        </w:rPr>
        <w:t>第三监管周期输配电价调整后，两部制电价中容（需）量电价按电压等级分别核定。</w:t>
      </w:r>
    </w:p>
    <w:p>
      <w:pPr>
        <w:spacing w:line="580" w:lineRule="exact"/>
        <w:ind w:firstLine="643"/>
        <w:rPr>
          <w:rFonts w:hint="eastAsia" w:ascii="方正仿宋_GBK" w:hAnsi="方正仿宋_GBK" w:eastAsia="方正仿宋_GBK" w:cs="方正仿宋_GBK"/>
          <w:sz w:val="32"/>
          <w:szCs w:val="40"/>
          <w:highlight w:val="none"/>
          <w:lang w:val="en-US" w:eastAsia="zh-CN"/>
        </w:rPr>
      </w:pPr>
      <w:r>
        <w:rPr>
          <w:rFonts w:hint="eastAsia" w:ascii="方正仿宋_GBK" w:hAnsi="方正仿宋_GBK" w:eastAsia="方正仿宋_GBK" w:cs="方正仿宋_GBK"/>
          <w:sz w:val="32"/>
          <w:szCs w:val="40"/>
          <w:highlight w:val="none"/>
          <w:lang w:val="en-US" w:eastAsia="zh-CN"/>
        </w:rPr>
        <w:t>（7）</w:t>
      </w:r>
      <w:r>
        <w:rPr>
          <w:rFonts w:hint="eastAsia" w:ascii="方正仿宋_GBK" w:hAnsi="方正仿宋_GBK" w:eastAsia="方正仿宋_GBK" w:cs="方正仿宋_GBK"/>
          <w:b w:val="0"/>
          <w:bCs w:val="0"/>
          <w:strike w:val="0"/>
          <w:color w:val="auto"/>
          <w:sz w:val="32"/>
          <w:szCs w:val="40"/>
          <w:highlight w:val="none"/>
          <w:lang w:val="en-US" w:eastAsia="zh-CN"/>
        </w:rPr>
        <w:t>独立储能输配电价继续执行工商业用电单一制。</w:t>
      </w:r>
    </w:p>
    <w:p>
      <w:pPr>
        <w:spacing w:line="580" w:lineRule="exact"/>
        <w:ind w:firstLine="640" w:firstLineChars="200"/>
        <w:outlineLvl w:val="1"/>
        <w:rPr>
          <w:rFonts w:hint="eastAsia" w:ascii="方正楷体_GBK" w:hAnsi="方正楷体_GBK" w:eastAsia="方正楷体_GBK" w:cs="方正楷体_GBK"/>
          <w:sz w:val="32"/>
          <w:szCs w:val="40"/>
          <w:highlight w:val="none"/>
        </w:rPr>
      </w:pPr>
      <w:r>
        <w:rPr>
          <w:rFonts w:hint="eastAsia" w:ascii="方正楷体_GBK" w:hAnsi="方正楷体_GBK" w:eastAsia="方正楷体_GBK" w:cs="方正楷体_GBK"/>
          <w:sz w:val="32"/>
          <w:szCs w:val="40"/>
          <w:highlight w:val="none"/>
        </w:rPr>
        <w:t>（三）需量电价机制与负荷率挂钩</w:t>
      </w:r>
    </w:p>
    <w:p>
      <w:pPr>
        <w:spacing w:line="580" w:lineRule="exact"/>
        <w:ind w:firstLine="643" w:firstLineChars="200"/>
        <w:rPr>
          <w:rFonts w:hint="eastAsia" w:ascii="方正仿宋_GBK" w:hAnsi="方正仿宋_GBK" w:eastAsia="方正仿宋_GBK" w:cs="方正仿宋_GBK"/>
          <w:sz w:val="32"/>
          <w:szCs w:val="40"/>
          <w:highlight w:val="none"/>
        </w:rPr>
      </w:pPr>
      <w:r>
        <w:rPr>
          <w:rFonts w:hint="eastAsia" w:ascii="方正仿宋_GBK" w:hAnsi="方正仿宋_GBK" w:eastAsia="方正仿宋_GBK" w:cs="方正仿宋_GBK"/>
          <w:b/>
          <w:bCs/>
          <w:sz w:val="32"/>
          <w:szCs w:val="40"/>
          <w:highlight w:val="none"/>
          <w:lang w:val="en-US" w:eastAsia="zh-CN"/>
        </w:rPr>
        <w:t>1.</w:t>
      </w:r>
      <w:r>
        <w:rPr>
          <w:rFonts w:hint="eastAsia" w:ascii="方正仿宋_GBK" w:hAnsi="方正仿宋_GBK" w:eastAsia="方正仿宋_GBK" w:cs="方正仿宋_GBK"/>
          <w:b/>
          <w:bCs/>
          <w:sz w:val="32"/>
          <w:szCs w:val="40"/>
          <w:highlight w:val="none"/>
        </w:rPr>
        <w:t>政策规定</w:t>
      </w:r>
      <w:r>
        <w:rPr>
          <w:rFonts w:hint="eastAsia" w:ascii="方正仿宋_GBK" w:hAnsi="方正仿宋_GBK" w:eastAsia="方正仿宋_GBK" w:cs="方正仿宋_GBK"/>
          <w:b/>
          <w:bCs/>
          <w:sz w:val="32"/>
          <w:szCs w:val="40"/>
          <w:highlight w:val="none"/>
          <w:lang w:eastAsia="zh-CN"/>
        </w:rPr>
        <w:t>。</w:t>
      </w:r>
      <w:r>
        <w:rPr>
          <w:rFonts w:hint="eastAsia" w:ascii="方正仿宋_GBK" w:hAnsi="方正仿宋_GBK" w:eastAsia="方正仿宋_GBK" w:cs="方正仿宋_GBK"/>
          <w:sz w:val="32"/>
          <w:szCs w:val="40"/>
          <w:highlight w:val="none"/>
        </w:rPr>
        <w:t>选择执行需量电价计费方式的两部制用户，每月每千伏安用电量达到260千瓦时及以上的，当月需量电价按核定标准的90%执行。每月每千伏安用电量为用户所属全部计量点当月总用电量除以用户合同变压器容量。</w:t>
      </w:r>
    </w:p>
    <w:p>
      <w:pPr>
        <w:spacing w:line="580" w:lineRule="exact"/>
        <w:ind w:firstLine="643" w:firstLineChars="200"/>
        <w:rPr>
          <w:rFonts w:hint="eastAsia" w:ascii="方正仿宋_GBK" w:hAnsi="方正仿宋_GBK" w:eastAsia="方正仿宋_GBK" w:cs="方正仿宋_GBK"/>
          <w:b/>
          <w:bCs/>
          <w:sz w:val="32"/>
          <w:szCs w:val="40"/>
          <w:highlight w:val="none"/>
          <w:lang w:eastAsia="zh-CN"/>
        </w:rPr>
      </w:pPr>
      <w:r>
        <w:rPr>
          <w:rFonts w:hint="eastAsia" w:ascii="方正仿宋_GBK" w:hAnsi="方正仿宋_GBK" w:eastAsia="方正仿宋_GBK" w:cs="方正仿宋_GBK"/>
          <w:b/>
          <w:bCs/>
          <w:sz w:val="32"/>
          <w:szCs w:val="40"/>
          <w:highlight w:val="none"/>
          <w:lang w:val="en-US" w:eastAsia="zh-CN"/>
        </w:rPr>
        <w:t>2.</w:t>
      </w:r>
      <w:r>
        <w:rPr>
          <w:rFonts w:hint="eastAsia" w:ascii="方正仿宋_GBK" w:hAnsi="方正仿宋_GBK" w:eastAsia="方正仿宋_GBK" w:cs="方正仿宋_GBK"/>
          <w:b/>
          <w:bCs/>
          <w:sz w:val="32"/>
          <w:szCs w:val="40"/>
          <w:highlight w:val="none"/>
        </w:rPr>
        <w:t>要点及明确事项</w:t>
      </w:r>
      <w:r>
        <w:rPr>
          <w:rFonts w:hint="eastAsia" w:ascii="方正仿宋_GBK" w:hAnsi="方正仿宋_GBK" w:eastAsia="方正仿宋_GBK" w:cs="方正仿宋_GBK"/>
          <w:b/>
          <w:bCs/>
          <w:sz w:val="32"/>
          <w:szCs w:val="40"/>
          <w:highlight w:val="none"/>
          <w:lang w:eastAsia="zh-CN"/>
        </w:rPr>
        <w:t>。</w:t>
      </w:r>
    </w:p>
    <w:p>
      <w:pPr>
        <w:spacing w:line="580" w:lineRule="exact"/>
        <w:ind w:firstLine="640" w:firstLineChars="200"/>
        <w:rPr>
          <w:rFonts w:hint="eastAsia" w:ascii="方正仿宋_GBK" w:hAnsi="方正仿宋_GBK" w:eastAsia="方正仿宋_GBK" w:cs="方正仿宋_GBK"/>
          <w:sz w:val="32"/>
          <w:szCs w:val="40"/>
          <w:highlight w:val="none"/>
        </w:rPr>
      </w:pPr>
      <w:r>
        <w:rPr>
          <w:rFonts w:hint="eastAsia" w:ascii="方正仿宋_GBK" w:hAnsi="方正仿宋_GBK" w:eastAsia="方正仿宋_GBK" w:cs="方正仿宋_GBK"/>
          <w:sz w:val="32"/>
          <w:szCs w:val="40"/>
          <w:highlight w:val="none"/>
        </w:rPr>
        <w:t>（1）上述与负荷率挂钩的需量电价机制，仅用于确定用户当月的需量电价标准，不改变现行需量电价计费方式。</w:t>
      </w:r>
    </w:p>
    <w:p>
      <w:pPr>
        <w:spacing w:line="580" w:lineRule="exact"/>
        <w:ind w:firstLine="640" w:firstLineChars="200"/>
        <w:rPr>
          <w:rFonts w:hint="eastAsia" w:ascii="方正仿宋_GBK" w:hAnsi="方正仿宋_GBK" w:eastAsia="方正仿宋_GBK" w:cs="方正仿宋_GBK"/>
          <w:b w:val="0"/>
          <w:bCs w:val="0"/>
          <w:sz w:val="32"/>
          <w:szCs w:val="40"/>
          <w:highlight w:val="none"/>
        </w:rPr>
      </w:pPr>
      <w:r>
        <w:rPr>
          <w:rFonts w:hint="eastAsia" w:ascii="方正仿宋_GBK" w:hAnsi="方正仿宋_GBK" w:eastAsia="方正仿宋_GBK" w:cs="方正仿宋_GBK"/>
          <w:sz w:val="32"/>
          <w:szCs w:val="40"/>
          <w:highlight w:val="none"/>
        </w:rPr>
        <w:t>（2）计算“每月每千伏安用电量”时，对于存在执行居民、农业电价以及不执行需量电价的具备独立受电点计量条件的，其结算的电量和对应的容量应予以扣除，受电点容量应由供用电</w:t>
      </w:r>
      <w:r>
        <w:rPr>
          <w:rFonts w:hint="eastAsia" w:ascii="方正仿宋_GBK" w:hAnsi="方正仿宋_GBK" w:eastAsia="方正仿宋_GBK" w:cs="方正仿宋_GBK"/>
          <w:b w:val="0"/>
          <w:bCs w:val="0"/>
          <w:sz w:val="32"/>
          <w:szCs w:val="40"/>
          <w:highlight w:val="none"/>
        </w:rPr>
        <w:t>双方在供用电合同或有关协议中明确。</w:t>
      </w:r>
      <w:r>
        <w:rPr>
          <w:rFonts w:hint="eastAsia" w:ascii="方正楷体_GBK" w:hAnsi="方正楷体_GBK" w:eastAsia="方正楷体_GBK" w:cs="方正楷体_GBK"/>
          <w:b w:val="0"/>
          <w:bCs w:val="0"/>
          <w:color w:val="auto"/>
          <w:sz w:val="28"/>
          <w:szCs w:val="36"/>
          <w:highlight w:val="none"/>
          <w:shd w:val="clear" w:color="FFFFFF" w:fill="D9D9D9"/>
          <w:lang w:eastAsia="zh-CN"/>
        </w:rPr>
        <w:t>（</w:t>
      </w:r>
      <w:r>
        <w:rPr>
          <w:rFonts w:hint="eastAsia" w:ascii="方正楷体_GBK" w:hAnsi="方正楷体_GBK" w:eastAsia="方正楷体_GBK" w:cs="方正楷体_GBK"/>
          <w:b w:val="0"/>
          <w:bCs w:val="0"/>
          <w:color w:val="auto"/>
          <w:sz w:val="28"/>
          <w:szCs w:val="36"/>
          <w:highlight w:val="none"/>
          <w:shd w:val="clear" w:color="FFFFFF" w:fill="D9D9D9"/>
          <w:lang w:val="en-US" w:eastAsia="zh-CN"/>
        </w:rPr>
        <w:t>不执行需量电价的，主要是指</w:t>
      </w:r>
      <w:r>
        <w:rPr>
          <w:rFonts w:hint="eastAsia" w:ascii="方正楷体_GBK" w:hAnsi="方正楷体_GBK" w:eastAsia="方正楷体_GBK" w:cs="方正楷体_GBK"/>
          <w:color w:val="auto"/>
          <w:sz w:val="28"/>
          <w:szCs w:val="36"/>
          <w:highlight w:val="none"/>
          <w:shd w:val="clear" w:color="FFFFFF" w:fill="D9D9D9"/>
        </w:rPr>
        <w:t>海水淡化、</w:t>
      </w:r>
      <w:r>
        <w:rPr>
          <w:rFonts w:hint="eastAsia" w:ascii="方正楷体_GBK" w:hAnsi="方正楷体_GBK" w:eastAsia="方正楷体_GBK" w:cs="方正楷体_GBK"/>
          <w:color w:val="auto"/>
          <w:sz w:val="28"/>
          <w:szCs w:val="36"/>
          <w:highlight w:val="none"/>
          <w:shd w:val="clear" w:color="FFFFFF" w:fill="D9D9D9"/>
          <w:lang w:val="en-US" w:eastAsia="zh-CN"/>
        </w:rPr>
        <w:t>污水处理等四个环保绿色行业</w:t>
      </w:r>
      <w:r>
        <w:rPr>
          <w:rFonts w:hint="eastAsia" w:ascii="方正楷体_GBK" w:hAnsi="方正楷体_GBK" w:eastAsia="方正楷体_GBK" w:cs="方正楷体_GBK"/>
          <w:i w:val="0"/>
          <w:iCs w:val="0"/>
          <w:caps w:val="0"/>
          <w:color w:val="auto"/>
          <w:spacing w:val="0"/>
          <w:sz w:val="28"/>
          <w:szCs w:val="36"/>
          <w:highlight w:val="none"/>
          <w:shd w:val="clear" w:color="FFFFFF" w:fill="D9D9D9"/>
        </w:rPr>
        <w:t>免收需量（容量）费</w:t>
      </w:r>
      <w:r>
        <w:rPr>
          <w:rFonts w:hint="eastAsia" w:ascii="方正楷体_GBK" w:hAnsi="方正楷体_GBK" w:eastAsia="方正楷体_GBK" w:cs="方正楷体_GBK"/>
          <w:i w:val="0"/>
          <w:iCs w:val="0"/>
          <w:caps w:val="0"/>
          <w:color w:val="auto"/>
          <w:spacing w:val="0"/>
          <w:sz w:val="28"/>
          <w:szCs w:val="36"/>
          <w:highlight w:val="none"/>
          <w:shd w:val="clear" w:color="FFFFFF" w:fill="D9D9D9"/>
          <w:lang w:val="en-US" w:eastAsia="zh-CN"/>
        </w:rPr>
        <w:t>的情况）</w:t>
      </w:r>
    </w:p>
    <w:p>
      <w:pPr>
        <w:spacing w:line="580" w:lineRule="exact"/>
        <w:ind w:firstLine="640" w:firstLineChars="200"/>
        <w:rPr>
          <w:rFonts w:hint="eastAsia" w:ascii="方正仿宋_GBK" w:hAnsi="方正仿宋_GBK" w:eastAsia="方正仿宋_GBK" w:cs="方正仿宋_GBK"/>
          <w:sz w:val="32"/>
          <w:szCs w:val="40"/>
          <w:highlight w:val="none"/>
        </w:rPr>
      </w:pPr>
      <w:r>
        <w:rPr>
          <w:rFonts w:hint="eastAsia" w:ascii="方正仿宋_GBK" w:hAnsi="方正仿宋_GBK" w:eastAsia="方正仿宋_GBK" w:cs="方正仿宋_GBK"/>
          <w:b w:val="0"/>
          <w:bCs w:val="0"/>
          <w:sz w:val="32"/>
          <w:szCs w:val="40"/>
          <w:highlight w:val="none"/>
        </w:rPr>
        <w:t>用户合同容量</w:t>
      </w:r>
      <w:r>
        <w:rPr>
          <w:rFonts w:hint="eastAsia" w:ascii="方正仿宋_GBK" w:hAnsi="方正仿宋_GBK" w:eastAsia="方正仿宋_GBK" w:cs="方正仿宋_GBK"/>
          <w:b w:val="0"/>
          <w:bCs w:val="0"/>
          <w:sz w:val="32"/>
          <w:szCs w:val="40"/>
          <w:highlight w:val="none"/>
          <w:lang w:val="en-US" w:eastAsia="zh-CN"/>
        </w:rPr>
        <w:t>是指供电企业与电力用户在供用电合同中约定的客户受电设备的总容量。</w:t>
      </w:r>
      <w:r>
        <w:rPr>
          <w:rFonts w:hint="eastAsia" w:ascii="方正仿宋_GBK" w:hAnsi="方正仿宋_GBK" w:eastAsia="方正仿宋_GBK" w:cs="方正仿宋_GBK"/>
          <w:b w:val="0"/>
          <w:bCs w:val="0"/>
          <w:sz w:val="32"/>
          <w:szCs w:val="40"/>
          <w:highlight w:val="none"/>
        </w:rPr>
        <w:t>其中，在受电装置一次侧装有连锁装置互为备用的变压器（含高压电动机），</w:t>
      </w:r>
      <w:r>
        <w:rPr>
          <w:rFonts w:hint="eastAsia" w:ascii="方正仿宋_GBK" w:hAnsi="方正仿宋_GBK" w:eastAsia="方正仿宋_GBK" w:cs="方正仿宋_GBK"/>
          <w:b w:val="0"/>
          <w:bCs w:val="0"/>
          <w:sz w:val="32"/>
          <w:szCs w:val="40"/>
          <w:highlight w:val="none"/>
          <w:lang w:val="en-US" w:eastAsia="zh-CN"/>
        </w:rPr>
        <w:t>应</w:t>
      </w:r>
      <w:r>
        <w:rPr>
          <w:rFonts w:hint="eastAsia" w:ascii="方正仿宋_GBK" w:hAnsi="方正仿宋_GBK" w:eastAsia="方正仿宋_GBK" w:cs="方正仿宋_GBK"/>
          <w:b w:val="0"/>
          <w:bCs w:val="0"/>
          <w:sz w:val="32"/>
          <w:szCs w:val="40"/>
          <w:highlight w:val="none"/>
        </w:rPr>
        <w:t>按可能同时使用的变压器（含高压电动机）容量之和。用户合同</w:t>
      </w:r>
      <w:r>
        <w:rPr>
          <w:rFonts w:hint="eastAsia" w:ascii="方正仿宋_GBK" w:hAnsi="方正仿宋_GBK" w:eastAsia="方正仿宋_GBK" w:cs="方正仿宋_GBK"/>
          <w:sz w:val="32"/>
          <w:szCs w:val="40"/>
          <w:highlight w:val="none"/>
        </w:rPr>
        <w:t>容量在新装、增容、永久减容、分户、并户业务中设定或增减，不得</w:t>
      </w:r>
      <w:r>
        <w:rPr>
          <w:rFonts w:hint="eastAsia" w:ascii="方正仿宋_GBK" w:hAnsi="方正仿宋_GBK" w:eastAsia="方正仿宋_GBK" w:cs="方正仿宋_GBK"/>
          <w:sz w:val="32"/>
          <w:szCs w:val="40"/>
          <w:highlight w:val="none"/>
          <w:lang w:val="en-US" w:eastAsia="zh-CN"/>
        </w:rPr>
        <w:t>通过</w:t>
      </w:r>
      <w:r>
        <w:rPr>
          <w:rFonts w:hint="eastAsia" w:ascii="方正仿宋_GBK" w:hAnsi="方正仿宋_GBK" w:eastAsia="方正仿宋_GBK" w:cs="方正仿宋_GBK"/>
          <w:sz w:val="32"/>
          <w:szCs w:val="40"/>
          <w:highlight w:val="none"/>
        </w:rPr>
        <w:t>其他业务调整。</w:t>
      </w:r>
    </w:p>
    <w:p>
      <w:pPr>
        <w:spacing w:line="580" w:lineRule="exact"/>
        <w:ind w:firstLine="640" w:firstLineChars="200"/>
        <w:rPr>
          <w:rFonts w:hint="eastAsia" w:ascii="方正仿宋_GBK" w:hAnsi="方正仿宋_GBK" w:eastAsia="方正仿宋_GBK" w:cs="方正仿宋_GBK"/>
          <w:sz w:val="32"/>
          <w:szCs w:val="40"/>
          <w:highlight w:val="none"/>
        </w:rPr>
      </w:pPr>
      <w:r>
        <w:rPr>
          <w:rFonts w:hint="eastAsia" w:ascii="方正仿宋_GBK" w:hAnsi="方正仿宋_GBK" w:eastAsia="方正仿宋_GBK" w:cs="方正仿宋_GBK"/>
          <w:sz w:val="32"/>
          <w:szCs w:val="40"/>
          <w:highlight w:val="none"/>
        </w:rPr>
        <w:t>用户受电点是指用户受电装置所处的位置</w:t>
      </w:r>
      <w:r>
        <w:rPr>
          <w:rFonts w:hint="eastAsia" w:ascii="方正仿宋_GBK" w:hAnsi="方正仿宋_GBK" w:eastAsia="方正仿宋_GBK" w:cs="方正仿宋_GBK"/>
          <w:sz w:val="32"/>
          <w:szCs w:val="40"/>
          <w:highlight w:val="none"/>
          <w:lang w:eastAsia="zh-CN"/>
        </w:rPr>
        <w:t>，</w:t>
      </w:r>
      <w:r>
        <w:rPr>
          <w:rFonts w:hint="eastAsia" w:ascii="方正仿宋_GBK" w:hAnsi="方正仿宋_GBK" w:eastAsia="方正仿宋_GBK" w:cs="方正仿宋_GBK"/>
          <w:sz w:val="32"/>
          <w:szCs w:val="40"/>
          <w:highlight w:val="none"/>
        </w:rPr>
        <w:t>为接受供电网供给的电力，并能对电力进行有效变换、分配和控制的电气设备，如高压用户的一次变电站（所）或变压器台、开关站、低压用户配电室、配电屏等。</w:t>
      </w:r>
      <w:r>
        <w:rPr>
          <w:rFonts w:hint="eastAsia" w:ascii="方正仿宋_GBK" w:hAnsi="方正仿宋_GBK" w:eastAsia="方正仿宋_GBK" w:cs="方正仿宋_GBK"/>
          <w:sz w:val="32"/>
          <w:szCs w:val="40"/>
          <w:highlight w:val="none"/>
          <w:lang w:val="en-US" w:eastAsia="zh-CN"/>
        </w:rPr>
        <w:t>目前，营销系统中暂无统一的“</w:t>
      </w:r>
      <w:r>
        <w:rPr>
          <w:rFonts w:hint="eastAsia" w:ascii="方正仿宋_GBK" w:hAnsi="方正仿宋_GBK" w:eastAsia="方正仿宋_GBK" w:cs="方正仿宋_GBK"/>
          <w:sz w:val="32"/>
          <w:szCs w:val="40"/>
          <w:highlight w:val="none"/>
        </w:rPr>
        <w:t>受电点容量”字段，在</w:t>
      </w:r>
      <w:r>
        <w:rPr>
          <w:rFonts w:hint="eastAsia" w:ascii="方正仿宋_GBK" w:hAnsi="方正仿宋_GBK" w:eastAsia="方正仿宋_GBK" w:cs="方正仿宋_GBK"/>
          <w:sz w:val="32"/>
          <w:szCs w:val="40"/>
          <w:highlight w:val="none"/>
          <w:lang w:val="en-US" w:eastAsia="zh-CN"/>
        </w:rPr>
        <w:t>计算</w:t>
      </w:r>
      <w:r>
        <w:rPr>
          <w:rFonts w:hint="eastAsia" w:ascii="方正仿宋_GBK" w:hAnsi="方正仿宋_GBK" w:eastAsia="方正仿宋_GBK" w:cs="方正仿宋_GBK"/>
          <w:sz w:val="32"/>
          <w:szCs w:val="40"/>
          <w:highlight w:val="none"/>
        </w:rPr>
        <w:t>“月每千伏安用电量”时，按合同容量原则取值。</w:t>
      </w:r>
    </w:p>
    <w:p>
      <w:pPr>
        <w:spacing w:line="580" w:lineRule="exact"/>
        <w:ind w:firstLine="640" w:firstLineChars="200"/>
        <w:outlineLvl w:val="1"/>
        <w:rPr>
          <w:rFonts w:hint="eastAsia" w:ascii="方正楷体_GBK" w:hAnsi="方正楷体_GBK" w:eastAsia="方正楷体_GBK" w:cs="方正楷体_GBK"/>
          <w:sz w:val="32"/>
          <w:szCs w:val="40"/>
          <w:highlight w:val="none"/>
        </w:rPr>
      </w:pPr>
      <w:r>
        <w:rPr>
          <w:rFonts w:hint="eastAsia" w:ascii="方正楷体_GBK" w:hAnsi="方正楷体_GBK" w:eastAsia="方正楷体_GBK" w:cs="方正楷体_GBK"/>
          <w:sz w:val="32"/>
          <w:szCs w:val="40"/>
          <w:highlight w:val="none"/>
        </w:rPr>
        <w:t>（四）工商业电价构成</w:t>
      </w:r>
    </w:p>
    <w:p>
      <w:pPr>
        <w:numPr>
          <w:ilvl w:val="0"/>
          <w:numId w:val="0"/>
        </w:numPr>
        <w:spacing w:line="580" w:lineRule="exact"/>
        <w:ind w:firstLine="643" w:firstLineChars="200"/>
        <w:jc w:val="left"/>
        <w:outlineLvl w:val="9"/>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b/>
          <w:bCs/>
          <w:color w:val="auto"/>
          <w:sz w:val="32"/>
          <w:szCs w:val="40"/>
          <w:highlight w:val="none"/>
          <w:lang w:val="en-US" w:eastAsia="zh-CN"/>
        </w:rPr>
        <w:t>1.</w:t>
      </w:r>
      <w:r>
        <w:rPr>
          <w:rFonts w:hint="eastAsia" w:ascii="方正仿宋_GBK" w:hAnsi="方正仿宋_GBK" w:eastAsia="方正仿宋_GBK" w:cs="方正仿宋_GBK"/>
          <w:b/>
          <w:bCs/>
          <w:color w:val="auto"/>
          <w:sz w:val="32"/>
          <w:szCs w:val="40"/>
          <w:highlight w:val="none"/>
        </w:rPr>
        <w:t>政策规定</w:t>
      </w:r>
      <w:r>
        <w:rPr>
          <w:rFonts w:hint="eastAsia" w:ascii="方正仿宋_GBK" w:hAnsi="方正仿宋_GBK" w:eastAsia="方正仿宋_GBK" w:cs="方正仿宋_GBK"/>
          <w:b/>
          <w:bCs/>
          <w:color w:val="auto"/>
          <w:sz w:val="32"/>
          <w:szCs w:val="40"/>
          <w:highlight w:val="none"/>
          <w:lang w:eastAsia="zh-CN"/>
        </w:rPr>
        <w:t>。</w:t>
      </w:r>
      <w:r>
        <w:rPr>
          <w:rFonts w:hint="eastAsia" w:ascii="方正仿宋_GBK" w:hAnsi="方正仿宋_GBK" w:eastAsia="方正仿宋_GBK" w:cs="方正仿宋_GBK"/>
          <w:color w:val="auto"/>
          <w:sz w:val="32"/>
          <w:szCs w:val="40"/>
          <w:highlight w:val="none"/>
        </w:rPr>
        <w:t>工商业用户用电（除执行居民生活和农业生产用电价格以外的用电）价格，由上网电价（含容量补偿电价，下同）、上网环节线损费用、输配电价、系统运行费用、政府性基金及附加组成。其中，系统运行费用包括辅助服务费用、抽水蓄能容量电费、各类损益分摊等。</w:t>
      </w:r>
    </w:p>
    <w:p>
      <w:pPr>
        <w:numPr>
          <w:ilvl w:val="0"/>
          <w:numId w:val="0"/>
        </w:numPr>
        <w:spacing w:line="580" w:lineRule="exact"/>
        <w:ind w:firstLine="640" w:firstLineChars="200"/>
        <w:jc w:val="left"/>
        <w:outlineLvl w:val="9"/>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lang w:val="en-US" w:eastAsia="zh-CN"/>
        </w:rPr>
        <w:t>1</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rPr>
        <w:t>上述价格（费用），除容量补偿电价、代理购电用户代理购电价格外（不含电气化铁路牵引用电），均不执行分时电价政策。</w:t>
      </w:r>
    </w:p>
    <w:p>
      <w:pPr>
        <w:numPr>
          <w:ilvl w:val="0"/>
          <w:numId w:val="0"/>
        </w:numPr>
        <w:spacing w:line="580" w:lineRule="exact"/>
        <w:ind w:firstLine="640" w:firstLineChars="200"/>
        <w:jc w:val="left"/>
        <w:outlineLvl w:val="9"/>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lang w:val="en-US" w:eastAsia="zh-CN"/>
        </w:rPr>
        <w:t>2</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rPr>
        <w:t>上网环节线损费用、系统运行费用、政府性基金及附加等不参与功率因数调整电费计算。</w:t>
      </w:r>
    </w:p>
    <w:p>
      <w:pPr>
        <w:numPr>
          <w:ilvl w:val="0"/>
          <w:numId w:val="0"/>
        </w:numPr>
        <w:spacing w:line="580" w:lineRule="exact"/>
        <w:ind w:firstLine="640" w:firstLineChars="200"/>
        <w:jc w:val="left"/>
        <w:outlineLvl w:val="9"/>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lang w:val="en-US" w:eastAsia="zh-CN"/>
        </w:rPr>
        <w:t>3）原包含在输配电价内的上网环节线损费用在输配电价外单列。</w:t>
      </w:r>
      <w:r>
        <w:rPr>
          <w:rFonts w:hint="eastAsia" w:ascii="方正仿宋_GBK" w:hAnsi="方正仿宋_GBK" w:eastAsia="方正仿宋_GBK" w:cs="方正仿宋_GBK"/>
          <w:b w:val="0"/>
          <w:bCs w:val="0"/>
          <w:color w:val="auto"/>
          <w:sz w:val="32"/>
          <w:szCs w:val="40"/>
          <w:highlight w:val="none"/>
          <w:lang w:val="en-US" w:eastAsia="zh-CN"/>
        </w:rPr>
        <w:t>上网环节综合线损费用暂按第三周期保障性电量基准电价、综合线损率3.31%计算。</w:t>
      </w:r>
      <w:r>
        <w:rPr>
          <w:rFonts w:hint="eastAsia" w:ascii="方正仿宋_GBK" w:hAnsi="方正仿宋_GBK" w:eastAsia="方正仿宋_GBK" w:cs="方正仿宋_GBK"/>
          <w:color w:val="auto"/>
          <w:sz w:val="32"/>
          <w:szCs w:val="40"/>
          <w:highlight w:val="none"/>
          <w:lang w:val="en-US" w:eastAsia="zh-CN"/>
        </w:rPr>
        <w:t>现阶段，暂</w:t>
      </w:r>
      <w:r>
        <w:rPr>
          <w:rFonts w:hint="eastAsia" w:ascii="方正仿宋_GBK" w:hAnsi="方正仿宋_GBK" w:eastAsia="方正仿宋_GBK" w:cs="方正仿宋_GBK"/>
          <w:b w:val="0"/>
          <w:bCs w:val="0"/>
          <w:color w:val="auto"/>
          <w:sz w:val="32"/>
          <w:szCs w:val="40"/>
          <w:highlight w:val="none"/>
          <w:lang w:val="en-US" w:eastAsia="zh-CN"/>
        </w:rPr>
        <w:t>继续由国网山东电力代理采购线损电量（纳入保障性电量），代理采购损益逐月清算，由此产生的损益由全体工商业用户分摊或分享。</w:t>
      </w:r>
    </w:p>
    <w:p>
      <w:pPr>
        <w:spacing w:line="580" w:lineRule="exact"/>
        <w:ind w:firstLine="643" w:firstLineChars="200"/>
        <w:rPr>
          <w:rFonts w:hint="eastAsia" w:ascii="方正仿宋_GBK" w:hAnsi="方正仿宋_GBK" w:eastAsia="方正仿宋_GBK" w:cs="方正仿宋_GBK"/>
          <w:b/>
          <w:bCs/>
          <w:color w:val="auto"/>
          <w:sz w:val="32"/>
          <w:szCs w:val="40"/>
          <w:highlight w:val="none"/>
          <w:lang w:eastAsia="zh-CN"/>
        </w:rPr>
      </w:pPr>
      <w:r>
        <w:rPr>
          <w:rFonts w:hint="eastAsia" w:ascii="方正仿宋_GBK" w:hAnsi="方正仿宋_GBK" w:eastAsia="方正仿宋_GBK" w:cs="方正仿宋_GBK"/>
          <w:b/>
          <w:bCs/>
          <w:color w:val="auto"/>
          <w:sz w:val="32"/>
          <w:szCs w:val="40"/>
          <w:highlight w:val="none"/>
          <w:lang w:val="en-US" w:eastAsia="zh-CN"/>
        </w:rPr>
        <w:t>2.</w:t>
      </w:r>
      <w:r>
        <w:rPr>
          <w:rFonts w:hint="eastAsia" w:ascii="方正仿宋_GBK" w:hAnsi="方正仿宋_GBK" w:eastAsia="方正仿宋_GBK" w:cs="方正仿宋_GBK"/>
          <w:b/>
          <w:bCs/>
          <w:color w:val="auto"/>
          <w:sz w:val="32"/>
          <w:szCs w:val="40"/>
          <w:highlight w:val="none"/>
        </w:rPr>
        <w:t>要点及明确事项</w:t>
      </w:r>
      <w:r>
        <w:rPr>
          <w:rFonts w:hint="eastAsia" w:ascii="方正仿宋_GBK" w:hAnsi="方正仿宋_GBK" w:eastAsia="方正仿宋_GBK" w:cs="方正仿宋_GBK"/>
          <w:b/>
          <w:bCs/>
          <w:color w:val="auto"/>
          <w:sz w:val="32"/>
          <w:szCs w:val="40"/>
          <w:highlight w:val="none"/>
          <w:lang w:eastAsia="zh-CN"/>
        </w:rPr>
        <w:t>。</w:t>
      </w:r>
    </w:p>
    <w:p>
      <w:pPr>
        <w:spacing w:line="580" w:lineRule="exact"/>
        <w:ind w:firstLine="640" w:firstLineChars="200"/>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color w:val="auto"/>
          <w:sz w:val="32"/>
          <w:szCs w:val="40"/>
          <w:highlight w:val="none"/>
        </w:rPr>
        <w:t>（1）为便于用户理解，在公示代理购电价格、提供电费账单时，工商业用户用电价格构成中的“上网电价”，直接交易用户“上网电价”</w:t>
      </w:r>
      <w:r>
        <w:rPr>
          <w:rFonts w:hint="eastAsia" w:ascii="方正仿宋_GBK" w:hAnsi="方正仿宋_GBK" w:eastAsia="方正仿宋_GBK" w:cs="方正仿宋_GBK"/>
          <w:color w:val="auto"/>
          <w:sz w:val="32"/>
          <w:szCs w:val="40"/>
          <w:highlight w:val="none"/>
          <w:lang w:val="en-US" w:eastAsia="zh-CN"/>
        </w:rPr>
        <w:t>包含</w:t>
      </w:r>
      <w:r>
        <w:rPr>
          <w:rFonts w:hint="eastAsia" w:ascii="方正仿宋_GBK" w:hAnsi="方正仿宋_GBK" w:eastAsia="方正仿宋_GBK" w:cs="方正仿宋_GBK"/>
          <w:color w:val="auto"/>
          <w:sz w:val="32"/>
          <w:szCs w:val="40"/>
          <w:highlight w:val="none"/>
        </w:rPr>
        <w:t>现行“市场交易电价”</w:t>
      </w:r>
      <w:r>
        <w:rPr>
          <w:rFonts w:hint="eastAsia" w:ascii="方正仿宋_GBK" w:hAnsi="方正仿宋_GBK" w:eastAsia="方正仿宋_GBK" w:cs="方正仿宋_GBK"/>
          <w:color w:val="auto"/>
          <w:sz w:val="32"/>
          <w:szCs w:val="40"/>
          <w:highlight w:val="none"/>
          <w:lang w:val="en-US" w:eastAsia="zh-CN"/>
        </w:rPr>
        <w:t>和</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lang w:val="en-US" w:eastAsia="zh-CN"/>
        </w:rPr>
        <w:t>容量补偿电价</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rPr>
        <w:t>，代理购电用户“上网电价”</w:t>
      </w:r>
      <w:r>
        <w:rPr>
          <w:rFonts w:hint="eastAsia" w:ascii="方正仿宋_GBK" w:hAnsi="方正仿宋_GBK" w:eastAsia="方正仿宋_GBK" w:cs="方正仿宋_GBK"/>
          <w:color w:val="auto"/>
          <w:sz w:val="32"/>
          <w:szCs w:val="40"/>
          <w:highlight w:val="none"/>
          <w:lang w:val="en-US" w:eastAsia="zh-CN"/>
        </w:rPr>
        <w:t>包含现行</w:t>
      </w:r>
      <w:r>
        <w:rPr>
          <w:rFonts w:hint="eastAsia" w:ascii="方正仿宋_GBK" w:hAnsi="方正仿宋_GBK" w:eastAsia="方正仿宋_GBK" w:cs="方正仿宋_GBK"/>
          <w:color w:val="auto"/>
          <w:sz w:val="32"/>
          <w:szCs w:val="40"/>
          <w:highlight w:val="none"/>
        </w:rPr>
        <w:t>“代理购电</w:t>
      </w:r>
      <w:r>
        <w:rPr>
          <w:rFonts w:hint="eastAsia" w:ascii="方正仿宋_GBK" w:hAnsi="方正仿宋_GBK" w:eastAsia="方正仿宋_GBK" w:cs="方正仿宋_GBK"/>
          <w:color w:val="auto"/>
          <w:sz w:val="32"/>
          <w:szCs w:val="40"/>
          <w:highlight w:val="none"/>
          <w:lang w:val="en-US" w:eastAsia="zh-CN"/>
        </w:rPr>
        <w:t>价格</w:t>
      </w:r>
      <w:r>
        <w:rPr>
          <w:rFonts w:hint="eastAsia" w:ascii="方正仿宋_GBK" w:hAnsi="方正仿宋_GBK" w:eastAsia="方正仿宋_GBK" w:cs="方正仿宋_GBK"/>
          <w:color w:val="auto"/>
          <w:sz w:val="32"/>
          <w:szCs w:val="40"/>
          <w:highlight w:val="none"/>
        </w:rPr>
        <w:t>”</w:t>
      </w:r>
      <w:r>
        <w:rPr>
          <w:rFonts w:hint="eastAsia" w:ascii="方正仿宋_GBK" w:hAnsi="方正仿宋_GBK" w:eastAsia="方正仿宋_GBK" w:cs="方正仿宋_GBK"/>
          <w:color w:val="auto"/>
          <w:sz w:val="32"/>
          <w:szCs w:val="40"/>
          <w:highlight w:val="none"/>
          <w:lang w:val="en-US" w:eastAsia="zh-CN"/>
        </w:rPr>
        <w:t>和</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lang w:val="en-US" w:eastAsia="zh-CN"/>
        </w:rPr>
        <w:t>容量补偿电价</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rPr>
        <w:t>。</w:t>
      </w:r>
    </w:p>
    <w:p>
      <w:pPr>
        <w:pStyle w:val="10"/>
        <w:bidi w:val="0"/>
        <w:spacing w:line="580" w:lineRule="exact"/>
        <w:ind w:firstLine="640" w:firstLineChars="200"/>
        <w:rPr>
          <w:rFonts w:hint="default" w:ascii="方正仿宋_GBK" w:hAnsi="方正仿宋_GBK" w:eastAsia="方正仿宋_GBK" w:cs="方正仿宋_GBK"/>
          <w:color w:val="auto"/>
          <w:sz w:val="32"/>
          <w:szCs w:val="40"/>
          <w:highlight w:val="none"/>
          <w:lang w:val="en-US" w:eastAsia="zh-CN"/>
        </w:rPr>
      </w:pPr>
      <w:r>
        <w:rPr>
          <w:rFonts w:hint="eastAsia" w:ascii="方正仿宋_GBK" w:hAnsi="方正仿宋_GBK" w:eastAsia="方正仿宋_GBK" w:cs="方正仿宋_GBK"/>
          <w:color w:val="auto"/>
          <w:sz w:val="32"/>
          <w:szCs w:val="40"/>
          <w:highlight w:val="none"/>
        </w:rPr>
        <w:t>（2）系统运行费</w:t>
      </w:r>
      <w:r>
        <w:rPr>
          <w:rFonts w:hint="eastAsia" w:ascii="方正仿宋_GBK" w:hAnsi="方正仿宋_GBK" w:eastAsia="方正仿宋_GBK" w:cs="方正仿宋_GBK"/>
          <w:color w:val="auto"/>
          <w:sz w:val="32"/>
          <w:szCs w:val="40"/>
          <w:highlight w:val="none"/>
          <w:lang w:val="en-US" w:eastAsia="zh-CN"/>
        </w:rPr>
        <w:t>暂列：</w:t>
      </w:r>
      <w:r>
        <w:rPr>
          <w:rFonts w:hint="eastAsia" w:ascii="方正仿宋_GBK" w:hAnsi="方正仿宋_GBK" w:eastAsia="方正仿宋_GBK" w:cs="方正仿宋_GBK"/>
          <w:color w:val="auto"/>
          <w:sz w:val="32"/>
          <w:szCs w:val="40"/>
          <w:highlight w:val="none"/>
        </w:rPr>
        <w:t>①</w:t>
      </w:r>
      <w:r>
        <w:rPr>
          <w:rFonts w:hint="eastAsia" w:ascii="方正仿宋_GBK" w:hAnsi="方正仿宋_GBK" w:eastAsia="方正仿宋_GBK" w:cs="方正仿宋_GBK"/>
          <w:color w:val="auto"/>
          <w:szCs w:val="40"/>
          <w:highlight w:val="none"/>
        </w:rPr>
        <w:t>抽水蓄能容量电费分摊标准</w:t>
      </w:r>
      <w:r>
        <w:rPr>
          <w:rFonts w:hint="eastAsia" w:ascii="方正仿宋_GBK" w:hAnsi="方正仿宋_GBK" w:eastAsia="方正仿宋_GBK" w:cs="方正仿宋_GBK"/>
          <w:color w:val="auto"/>
          <w:sz w:val="32"/>
          <w:szCs w:val="40"/>
          <w:highlight w:val="none"/>
          <w:lang w:val="en-US" w:eastAsia="zh-CN"/>
        </w:rPr>
        <w:t>、②上网环节线损代理采购损益分摊标准、③</w:t>
      </w:r>
      <w:r>
        <w:rPr>
          <w:rFonts w:hint="eastAsia" w:ascii="方正仿宋_GBK" w:hAnsi="方正仿宋_GBK" w:eastAsia="方正仿宋_GBK" w:cs="方正仿宋_GBK"/>
          <w:color w:val="auto"/>
          <w:szCs w:val="40"/>
          <w:highlight w:val="none"/>
        </w:rPr>
        <w:t>电价交叉补贴新增损益分摊标准</w:t>
      </w:r>
      <w:r>
        <w:rPr>
          <w:rFonts w:hint="eastAsia" w:ascii="方正仿宋_GBK" w:hAnsi="方正仿宋_GBK" w:eastAsia="方正仿宋_GBK" w:cs="方正仿宋_GBK"/>
          <w:color w:val="auto"/>
          <w:sz w:val="32"/>
          <w:szCs w:val="40"/>
          <w:highlight w:val="none"/>
          <w:lang w:val="en-US" w:eastAsia="zh-CN"/>
        </w:rPr>
        <w:t>、④容量补偿电价峰谷损益分摊标准、⑤代理购电损益分摊标准</w:t>
      </w:r>
      <w:r>
        <w:rPr>
          <w:rFonts w:hint="eastAsia" w:ascii="方正仿宋_GBK" w:hAnsi="方正仿宋_GBK" w:eastAsia="方正仿宋_GBK" w:cs="方正仿宋_GBK"/>
          <w:color w:val="auto"/>
          <w:sz w:val="32"/>
          <w:szCs w:val="40"/>
          <w:highlight w:val="none"/>
        </w:rPr>
        <w:t>，</w:t>
      </w:r>
      <w:r>
        <w:rPr>
          <w:rFonts w:hint="eastAsia" w:ascii="方正仿宋_GBK" w:hAnsi="方正仿宋_GBK" w:eastAsia="方正仿宋_GBK" w:cs="方正仿宋_GBK"/>
          <w:color w:val="auto"/>
          <w:sz w:val="32"/>
          <w:szCs w:val="40"/>
          <w:highlight w:val="none"/>
          <w:lang w:val="en-US" w:eastAsia="zh-CN"/>
        </w:rPr>
        <w:t>其中代理购电损益分摊标准由代理购电用户分摊或分享，其它4项由全体工商业用户分摊或分享，各科目</w:t>
      </w:r>
      <w:r>
        <w:rPr>
          <w:rFonts w:hint="eastAsia" w:ascii="方正仿宋_GBK" w:hAnsi="方正仿宋_GBK" w:eastAsia="方正仿宋_GBK" w:cs="方正仿宋_GBK"/>
          <w:color w:val="auto"/>
          <w:sz w:val="32"/>
          <w:szCs w:val="40"/>
          <w:highlight w:val="none"/>
        </w:rPr>
        <w:t>在电费结算各环节</w:t>
      </w:r>
      <w:r>
        <w:rPr>
          <w:rFonts w:hint="eastAsia" w:ascii="方正仿宋_GBK" w:hAnsi="方正仿宋_GBK" w:eastAsia="方正仿宋_GBK" w:cs="方正仿宋_GBK"/>
          <w:color w:val="auto"/>
          <w:sz w:val="32"/>
          <w:szCs w:val="40"/>
          <w:highlight w:val="none"/>
          <w:lang w:val="en-US" w:eastAsia="zh-CN"/>
        </w:rPr>
        <w:t>分别单独计算</w:t>
      </w:r>
      <w:r>
        <w:rPr>
          <w:rFonts w:hint="eastAsia" w:ascii="方正仿宋_GBK" w:hAnsi="方正仿宋_GBK" w:eastAsia="方正仿宋_GBK" w:cs="方正仿宋_GBK"/>
          <w:color w:val="auto"/>
          <w:sz w:val="32"/>
          <w:szCs w:val="40"/>
          <w:highlight w:val="none"/>
        </w:rPr>
        <w:t>，在报表统计时，</w:t>
      </w:r>
      <w:r>
        <w:rPr>
          <w:rFonts w:hint="eastAsia" w:ascii="方正仿宋_GBK" w:hAnsi="方正仿宋_GBK" w:eastAsia="方正仿宋_GBK" w:cs="方正仿宋_GBK"/>
          <w:color w:val="auto"/>
          <w:sz w:val="32"/>
          <w:szCs w:val="40"/>
          <w:highlight w:val="none"/>
          <w:lang w:val="en-US" w:eastAsia="zh-CN"/>
        </w:rPr>
        <w:t>上述费用类别均在</w:t>
      </w:r>
      <w:r>
        <w:rPr>
          <w:rFonts w:hint="eastAsia" w:ascii="方正仿宋_GBK" w:hAnsi="方正仿宋_GBK" w:eastAsia="方正仿宋_GBK" w:cs="方正仿宋_GBK"/>
          <w:color w:val="auto"/>
          <w:sz w:val="32"/>
          <w:szCs w:val="40"/>
          <w:highlight w:val="none"/>
        </w:rPr>
        <w:t>系统运行费用单独列示。</w:t>
      </w:r>
      <w:r>
        <w:rPr>
          <w:rFonts w:hint="eastAsia" w:ascii="方正仿宋_GBK" w:hAnsi="方正仿宋_GBK" w:eastAsia="方正仿宋_GBK" w:cs="方正仿宋_GBK"/>
          <w:color w:val="auto"/>
          <w:sz w:val="32"/>
          <w:szCs w:val="40"/>
          <w:highlight w:val="none"/>
          <w:lang w:val="en-US" w:eastAsia="zh-CN"/>
        </w:rPr>
        <w:t>电费账单中单独列示系统运行费用及有关明细项目，其中，在代理购电价格公示表中列明的系统运行费用明细项目，在电费账单中列示明细；未在代理购电价格公示表中列明的明细项目，在账单中归并为其他列示。</w:t>
      </w:r>
    </w:p>
    <w:p>
      <w:pPr>
        <w:spacing w:line="580" w:lineRule="exact"/>
        <w:ind w:firstLine="640" w:firstLineChars="200"/>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color w:val="auto"/>
          <w:sz w:val="32"/>
          <w:szCs w:val="40"/>
          <w:highlight w:val="none"/>
        </w:rPr>
        <w:t>（3）代理购电用户价格表</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lang w:val="en-US" w:eastAsia="zh-CN"/>
        </w:rPr>
        <w:t>包括代理购电价格、输配电价、上网环节线损费用、系统运行费用、政府性基金等完整价格信息</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rPr>
        <w:t>由财务部门提供；</w:t>
      </w:r>
      <w:r>
        <w:rPr>
          <w:rFonts w:hint="eastAsia" w:ascii="方正仿宋_GBK" w:hAnsi="方正仿宋_GBK" w:eastAsia="方正仿宋_GBK" w:cs="方正仿宋_GBK"/>
          <w:color w:val="auto"/>
          <w:sz w:val="32"/>
          <w:szCs w:val="40"/>
          <w:highlight w:val="none"/>
          <w:lang w:val="en-US" w:eastAsia="zh-CN"/>
        </w:rPr>
        <w:t>直接交易用户的上网环节线损费用、</w:t>
      </w:r>
      <w:r>
        <w:rPr>
          <w:rFonts w:hint="eastAsia" w:ascii="方正仿宋_GBK" w:hAnsi="方正仿宋_GBK" w:eastAsia="方正仿宋_GBK" w:cs="方正仿宋_GBK"/>
          <w:color w:val="auto"/>
          <w:sz w:val="32"/>
          <w:szCs w:val="40"/>
          <w:highlight w:val="none"/>
        </w:rPr>
        <w:t>系统运行费用</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lang w:val="en-US" w:eastAsia="zh-CN"/>
        </w:rPr>
        <w:t>剔除代理购电损益分摊标准</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lang w:val="en-US" w:eastAsia="zh-CN"/>
        </w:rPr>
        <w:t>与代理购电用户价格表保持一致</w:t>
      </w:r>
      <w:r>
        <w:rPr>
          <w:rFonts w:hint="eastAsia" w:ascii="方正仿宋_GBK" w:hAnsi="方正仿宋_GBK" w:eastAsia="方正仿宋_GBK" w:cs="方正仿宋_GBK"/>
          <w:color w:val="auto"/>
          <w:sz w:val="32"/>
          <w:szCs w:val="40"/>
          <w:highlight w:val="none"/>
        </w:rPr>
        <w:t>。</w:t>
      </w:r>
    </w:p>
    <w:p>
      <w:pPr>
        <w:spacing w:line="580" w:lineRule="exact"/>
        <w:ind w:firstLine="640" w:firstLineChars="200"/>
        <w:outlineLvl w:val="1"/>
        <w:rPr>
          <w:rFonts w:ascii="方正楷体_GBK" w:hAnsi="方正楷体_GBK" w:eastAsia="方正楷体_GBK" w:cs="方正楷体_GBK"/>
          <w:color w:val="auto"/>
          <w:sz w:val="32"/>
          <w:szCs w:val="40"/>
          <w:highlight w:val="none"/>
        </w:rPr>
      </w:pPr>
      <w:r>
        <w:rPr>
          <w:rFonts w:hint="eastAsia" w:ascii="方正楷体_GBK" w:hAnsi="方正楷体_GBK" w:eastAsia="方正楷体_GBK" w:cs="方正楷体_GBK"/>
          <w:color w:val="auto"/>
          <w:sz w:val="32"/>
          <w:szCs w:val="40"/>
          <w:highlight w:val="none"/>
        </w:rPr>
        <w:t>（五）居民、农业电价</w:t>
      </w:r>
    </w:p>
    <w:p>
      <w:pPr>
        <w:spacing w:line="580" w:lineRule="exact"/>
        <w:ind w:firstLine="640" w:firstLineChars="200"/>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color w:val="auto"/>
          <w:sz w:val="32"/>
          <w:szCs w:val="40"/>
          <w:highlight w:val="none"/>
        </w:rPr>
        <w:t>居民生活、农业生产用电继续执行现行目录销售电价政策。</w:t>
      </w:r>
    </w:p>
    <w:p>
      <w:pPr>
        <w:numPr>
          <w:ilvl w:val="-1"/>
          <w:numId w:val="0"/>
        </w:numPr>
        <w:spacing w:line="580" w:lineRule="exact"/>
        <w:ind w:left="0" w:firstLine="640" w:firstLineChars="200"/>
        <w:outlineLvl w:val="0"/>
        <w:rPr>
          <w:rFonts w:hint="default" w:eastAsia="宋体"/>
          <w:color w:val="auto"/>
          <w:highlight w:val="none"/>
          <w:lang w:val="en-US" w:eastAsia="zh-CN"/>
        </w:rPr>
      </w:pPr>
      <w:r>
        <w:rPr>
          <w:rFonts w:hint="eastAsia" w:ascii="方正黑体_GBK" w:hAnsi="方正黑体_GBK" w:eastAsia="方正黑体_GBK" w:cs="方正黑体_GBK"/>
          <w:color w:val="auto"/>
          <w:sz w:val="32"/>
          <w:szCs w:val="40"/>
          <w:highlight w:val="none"/>
          <w:lang w:val="en-US" w:eastAsia="zh-CN"/>
        </w:rPr>
        <w:t>二、工商业用电</w:t>
      </w:r>
      <w:r>
        <w:rPr>
          <w:rFonts w:hint="eastAsia" w:ascii="方正黑体_GBK" w:hAnsi="方正黑体_GBK" w:eastAsia="方正黑体_GBK" w:cs="方正黑体_GBK"/>
          <w:color w:val="auto"/>
          <w:sz w:val="32"/>
          <w:szCs w:val="40"/>
          <w:highlight w:val="none"/>
        </w:rPr>
        <w:t>业务规则</w:t>
      </w:r>
    </w:p>
    <w:p>
      <w:pPr>
        <w:spacing w:line="580" w:lineRule="exact"/>
        <w:ind w:firstLine="640" w:firstLineChars="200"/>
        <w:outlineLvl w:val="1"/>
        <w:rPr>
          <w:color w:val="auto"/>
          <w:highlight w:val="none"/>
        </w:rPr>
      </w:pPr>
      <w:r>
        <w:rPr>
          <w:rFonts w:hint="eastAsia" w:ascii="方正楷体_GBK" w:hAnsi="方正楷体_GBK" w:eastAsia="方正楷体_GBK" w:cs="方正楷体_GBK"/>
          <w:color w:val="auto"/>
          <w:sz w:val="32"/>
          <w:szCs w:val="40"/>
          <w:highlight w:val="none"/>
        </w:rPr>
        <w:t>（一）营业业务规则</w:t>
      </w:r>
    </w:p>
    <w:p>
      <w:pPr>
        <w:spacing w:line="580" w:lineRule="exact"/>
        <w:ind w:firstLine="643" w:firstLineChars="200"/>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b/>
          <w:bCs/>
          <w:color w:val="auto"/>
          <w:sz w:val="32"/>
          <w:szCs w:val="40"/>
          <w:highlight w:val="none"/>
        </w:rPr>
        <w:t>（1）</w:t>
      </w:r>
      <w:r>
        <w:rPr>
          <w:rFonts w:hint="eastAsia" w:ascii="方正仿宋_GBK" w:hAnsi="方正仿宋_GBK" w:eastAsia="方正仿宋_GBK" w:cs="方正仿宋_GBK"/>
          <w:b/>
          <w:bCs/>
          <w:color w:val="auto"/>
          <w:sz w:val="32"/>
          <w:szCs w:val="40"/>
          <w:highlight w:val="none"/>
          <w:lang w:val="en-US" w:eastAsia="zh-CN"/>
        </w:rPr>
        <w:t>新装、增容、</w:t>
      </w:r>
      <w:r>
        <w:rPr>
          <w:rFonts w:hint="eastAsia" w:ascii="方正仿宋_GBK" w:hAnsi="方正仿宋_GBK" w:eastAsia="方正仿宋_GBK" w:cs="方正仿宋_GBK"/>
          <w:color w:val="auto"/>
          <w:sz w:val="32"/>
          <w:szCs w:val="32"/>
          <w:highlight w:val="none"/>
          <w:lang w:val="en-US" w:eastAsia="zh-CN"/>
        </w:rPr>
        <w:t>过户、并户、分户、由居民农业变更至工商业的改类等</w:t>
      </w:r>
      <w:r>
        <w:rPr>
          <w:rFonts w:hint="eastAsia" w:ascii="方正仿宋_GBK" w:hAnsi="方正仿宋_GBK" w:eastAsia="方正仿宋_GBK" w:cs="方正仿宋_GBK"/>
          <w:b/>
          <w:bCs/>
          <w:color w:val="auto"/>
          <w:sz w:val="32"/>
          <w:szCs w:val="40"/>
          <w:highlight w:val="none"/>
        </w:rPr>
        <w:t>业务</w:t>
      </w:r>
      <w:r>
        <w:rPr>
          <w:rFonts w:hint="eastAsia" w:ascii="方正楷体_GBK" w:hAnsi="方正楷体_GBK" w:eastAsia="方正楷体_GBK" w:cs="方正楷体_GBK"/>
          <w:b/>
          <w:bCs/>
          <w:color w:val="auto"/>
          <w:sz w:val="28"/>
          <w:szCs w:val="36"/>
          <w:highlight w:val="none"/>
          <w:shd w:val="clear" w:color="FFFFFF" w:fill="D9D9D9"/>
          <w:lang w:eastAsia="zh-CN"/>
        </w:rPr>
        <w:t>（</w:t>
      </w:r>
      <w:r>
        <w:rPr>
          <w:rFonts w:hint="eastAsia" w:ascii="方正楷体_GBK" w:hAnsi="方正楷体_GBK" w:eastAsia="方正楷体_GBK" w:cs="方正楷体_GBK"/>
          <w:b w:val="0"/>
          <w:bCs w:val="0"/>
          <w:color w:val="auto"/>
          <w:sz w:val="28"/>
          <w:szCs w:val="28"/>
          <w:highlight w:val="none"/>
          <w:shd w:val="clear" w:color="FFFFFF" w:fill="D9D9D9"/>
          <w:lang w:val="en-US" w:eastAsia="zh-CN"/>
        </w:rPr>
        <w:t>均</w:t>
      </w:r>
      <w:r>
        <w:rPr>
          <w:rFonts w:hint="eastAsia" w:ascii="方正楷体_GBK" w:hAnsi="方正楷体_GBK" w:eastAsia="方正楷体_GBK" w:cs="方正楷体_GBK"/>
          <w:sz w:val="28"/>
          <w:szCs w:val="36"/>
          <w:highlight w:val="none"/>
          <w:shd w:val="clear" w:color="FFFFFF" w:fill="D9D9D9"/>
          <w:lang w:val="en-US" w:eastAsia="zh-CN"/>
        </w:rPr>
        <w:t>涉及到主体变更、合同容量变更的各类业务</w:t>
      </w:r>
      <w:r>
        <w:rPr>
          <w:rFonts w:hint="eastAsia" w:ascii="方正楷体_GBK" w:hAnsi="方正楷体_GBK" w:eastAsia="方正楷体_GBK" w:cs="方正楷体_GBK"/>
          <w:b/>
          <w:bCs/>
          <w:color w:val="auto"/>
          <w:sz w:val="28"/>
          <w:szCs w:val="36"/>
          <w:highlight w:val="none"/>
          <w:shd w:val="clear" w:color="FFFFFF" w:fill="D9D9D9"/>
          <w:lang w:eastAsia="zh-CN"/>
        </w:rPr>
        <w:t>）</w:t>
      </w:r>
      <w:r>
        <w:rPr>
          <w:rFonts w:hint="eastAsia" w:ascii="方正仿宋_GBK" w:hAnsi="方正仿宋_GBK" w:eastAsia="方正仿宋_GBK" w:cs="方正仿宋_GBK"/>
          <w:b/>
          <w:bCs/>
          <w:color w:val="auto"/>
          <w:sz w:val="32"/>
          <w:szCs w:val="40"/>
          <w:highlight w:val="none"/>
        </w:rPr>
        <w:t>。</w:t>
      </w:r>
      <w:r>
        <w:rPr>
          <w:rFonts w:hint="eastAsia" w:ascii="方正仿宋_GBK" w:hAnsi="方正仿宋_GBK" w:eastAsia="方正仿宋_GBK" w:cs="方正仿宋_GBK"/>
          <w:color w:val="auto"/>
          <w:sz w:val="32"/>
          <w:szCs w:val="40"/>
          <w:highlight w:val="none"/>
        </w:rPr>
        <w:t>自2023年6月1日</w:t>
      </w:r>
      <w:r>
        <w:rPr>
          <w:rFonts w:hint="eastAsia" w:ascii="方正仿宋_GBK" w:hAnsi="方正仿宋_GBK" w:eastAsia="方正仿宋_GBK" w:cs="方正仿宋_GBK"/>
          <w:color w:val="auto"/>
          <w:sz w:val="32"/>
          <w:szCs w:val="40"/>
          <w:highlight w:val="none"/>
          <w:lang w:val="en-US" w:eastAsia="zh-CN"/>
        </w:rPr>
        <w:t>正式提交申请</w:t>
      </w:r>
      <w:r>
        <w:rPr>
          <w:rFonts w:hint="eastAsia" w:ascii="方正仿宋_GBK" w:hAnsi="方正仿宋_GBK" w:eastAsia="方正仿宋_GBK" w:cs="方正仿宋_GBK"/>
          <w:color w:val="auto"/>
          <w:sz w:val="32"/>
          <w:szCs w:val="40"/>
          <w:highlight w:val="none"/>
        </w:rPr>
        <w:t>起，用电容量在100千伏安及以下的，执行单一制电价；100千伏安-315千伏安之间的，可选择执行单一制或两部制电价；315千伏安及以上的，执行两部制电价</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rPr>
        <w:t>2023年6月1日之前正式提交申请的一般工商业用户，可选择执行单一制</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lang w:val="en-US" w:eastAsia="zh-CN"/>
        </w:rPr>
        <w:t>两部制</w:t>
      </w:r>
      <w:r>
        <w:rPr>
          <w:rFonts w:hint="eastAsia" w:ascii="方正仿宋_GBK" w:hAnsi="方正仿宋_GBK" w:eastAsia="方正仿宋_GBK" w:cs="方正仿宋_GBK"/>
          <w:color w:val="auto"/>
          <w:sz w:val="32"/>
          <w:szCs w:val="40"/>
          <w:highlight w:val="none"/>
        </w:rPr>
        <w:t>电价。</w:t>
      </w:r>
    </w:p>
    <w:p>
      <w:pPr>
        <w:spacing w:line="580" w:lineRule="exact"/>
        <w:ind w:firstLine="643" w:firstLineChars="200"/>
        <w:rPr>
          <w:rFonts w:hint="eastAsia" w:ascii="方正仿宋_GBK" w:hAnsi="方正仿宋_GBK" w:eastAsia="方正仿宋_GBK" w:cs="方正仿宋_GBK"/>
          <w:color w:val="auto"/>
          <w:sz w:val="32"/>
          <w:szCs w:val="40"/>
          <w:highlight w:val="none"/>
          <w:lang w:eastAsia="zh-CN"/>
        </w:rPr>
      </w:pPr>
      <w:r>
        <w:rPr>
          <w:rFonts w:hint="eastAsia" w:ascii="方正仿宋_GBK" w:hAnsi="方正仿宋_GBK" w:eastAsia="方正仿宋_GBK" w:cs="方正仿宋_GBK"/>
          <w:b/>
          <w:bCs/>
          <w:color w:val="auto"/>
          <w:sz w:val="32"/>
          <w:szCs w:val="40"/>
          <w:highlight w:val="none"/>
        </w:rPr>
        <w:t>（</w:t>
      </w:r>
      <w:r>
        <w:rPr>
          <w:rFonts w:hint="eastAsia" w:ascii="方正仿宋_GBK" w:hAnsi="方正仿宋_GBK" w:eastAsia="方正仿宋_GBK" w:cs="方正仿宋_GBK"/>
          <w:b/>
          <w:bCs/>
          <w:color w:val="auto"/>
          <w:sz w:val="32"/>
          <w:szCs w:val="40"/>
          <w:highlight w:val="none"/>
          <w:lang w:val="en-US" w:eastAsia="zh-CN"/>
        </w:rPr>
        <w:t>2</w:t>
      </w:r>
      <w:r>
        <w:rPr>
          <w:rFonts w:hint="eastAsia" w:ascii="方正仿宋_GBK" w:hAnsi="方正仿宋_GBK" w:eastAsia="方正仿宋_GBK" w:cs="方正仿宋_GBK"/>
          <w:b/>
          <w:bCs/>
          <w:color w:val="auto"/>
          <w:sz w:val="32"/>
          <w:szCs w:val="40"/>
          <w:highlight w:val="none"/>
        </w:rPr>
        <w:t>）</w:t>
      </w:r>
      <w:r>
        <w:rPr>
          <w:rFonts w:hint="eastAsia" w:ascii="方正仿宋_GBK" w:hAnsi="方正仿宋_GBK" w:eastAsia="方正仿宋_GBK" w:cs="方正仿宋_GBK"/>
          <w:color w:val="auto"/>
          <w:sz w:val="32"/>
          <w:szCs w:val="32"/>
          <w:highlight w:val="none"/>
          <w:lang w:val="en-US" w:eastAsia="zh-CN"/>
        </w:rPr>
        <w:t>暂停（恢复）、减容（恢复）、暂（复）换、改压、</w:t>
      </w:r>
      <w:r>
        <w:rPr>
          <w:rFonts w:hint="eastAsia" w:ascii="方正仿宋_GBK" w:hAnsi="方正仿宋_GBK" w:eastAsia="方正仿宋_GBK" w:cs="方正仿宋_GBK"/>
          <w:b/>
          <w:bCs/>
          <w:color w:val="auto"/>
          <w:sz w:val="32"/>
          <w:szCs w:val="40"/>
          <w:highlight w:val="none"/>
          <w:lang w:val="en-US" w:eastAsia="zh-CN"/>
        </w:rPr>
        <w:t>更名</w:t>
      </w:r>
      <w:r>
        <w:rPr>
          <w:rFonts w:hint="eastAsia" w:ascii="方正仿宋_GBK" w:hAnsi="方正仿宋_GBK" w:eastAsia="方正仿宋_GBK" w:cs="方正仿宋_GBK"/>
          <w:b/>
          <w:bCs/>
          <w:color w:val="auto"/>
          <w:sz w:val="32"/>
          <w:szCs w:val="40"/>
          <w:highlight w:val="none"/>
        </w:rPr>
        <w:t>、</w:t>
      </w:r>
      <w:r>
        <w:rPr>
          <w:rFonts w:hint="eastAsia" w:ascii="方正仿宋_GBK" w:hAnsi="方正仿宋_GBK" w:eastAsia="方正仿宋_GBK" w:cs="方正仿宋_GBK"/>
          <w:color w:val="auto"/>
          <w:sz w:val="32"/>
          <w:szCs w:val="32"/>
          <w:highlight w:val="none"/>
          <w:lang w:val="en-US" w:eastAsia="zh-CN"/>
        </w:rPr>
        <w:t>暂拆</w:t>
      </w:r>
      <w:r>
        <w:rPr>
          <w:rFonts w:hint="eastAsia" w:ascii="方正仿宋_GBK" w:hAnsi="方正仿宋_GBK" w:eastAsia="方正仿宋_GBK" w:cs="方正仿宋_GBK"/>
          <w:b/>
          <w:bCs/>
          <w:color w:val="auto"/>
          <w:sz w:val="32"/>
          <w:szCs w:val="40"/>
          <w:highlight w:val="none"/>
        </w:rPr>
        <w:t>等其他营业业务</w:t>
      </w:r>
      <w:r>
        <w:rPr>
          <w:rFonts w:hint="eastAsia" w:ascii="方正楷体_GBK" w:hAnsi="方正楷体_GBK" w:eastAsia="方正楷体_GBK" w:cs="方正楷体_GBK"/>
          <w:b w:val="0"/>
          <w:bCs w:val="0"/>
          <w:sz w:val="28"/>
          <w:szCs w:val="36"/>
          <w:highlight w:val="none"/>
          <w:shd w:val="clear" w:color="FFFFFF" w:fill="D9D9D9"/>
          <w:lang w:eastAsia="zh-CN"/>
        </w:rPr>
        <w:t>（</w:t>
      </w:r>
      <w:r>
        <w:rPr>
          <w:rFonts w:hint="eastAsia" w:ascii="方正楷体_GBK" w:hAnsi="方正楷体_GBK" w:eastAsia="方正楷体_GBK" w:cs="方正楷体_GBK"/>
          <w:b w:val="0"/>
          <w:bCs w:val="0"/>
          <w:sz w:val="28"/>
          <w:szCs w:val="36"/>
          <w:highlight w:val="none"/>
          <w:shd w:val="clear" w:color="FFFFFF" w:fill="D9D9D9"/>
          <w:lang w:val="en-US" w:eastAsia="zh-CN"/>
        </w:rPr>
        <w:t>均未</w:t>
      </w:r>
      <w:r>
        <w:rPr>
          <w:rFonts w:hint="eastAsia" w:ascii="方正楷体_GBK" w:hAnsi="方正楷体_GBK" w:eastAsia="方正楷体_GBK" w:cs="方正楷体_GBK"/>
          <w:sz w:val="28"/>
          <w:szCs w:val="36"/>
          <w:highlight w:val="none"/>
          <w:shd w:val="clear" w:color="FFFFFF" w:fill="D9D9D9"/>
          <w:lang w:val="en-US" w:eastAsia="zh-CN"/>
        </w:rPr>
        <w:t>涉及到主体变更、合同容量变更的各类业务</w:t>
      </w:r>
      <w:r>
        <w:rPr>
          <w:rFonts w:hint="eastAsia" w:ascii="方正楷体_GBK" w:hAnsi="方正楷体_GBK" w:eastAsia="方正楷体_GBK" w:cs="方正楷体_GBK"/>
          <w:b w:val="0"/>
          <w:bCs w:val="0"/>
          <w:sz w:val="28"/>
          <w:szCs w:val="36"/>
          <w:highlight w:val="none"/>
          <w:shd w:val="clear" w:color="FFFFFF" w:fill="D9D9D9"/>
          <w:lang w:eastAsia="zh-CN"/>
        </w:rPr>
        <w:t>）</w:t>
      </w:r>
      <w:r>
        <w:rPr>
          <w:rFonts w:hint="eastAsia" w:ascii="方正仿宋_GBK" w:hAnsi="方正仿宋_GBK" w:eastAsia="方正仿宋_GBK" w:cs="方正仿宋_GBK"/>
          <w:b/>
          <w:bCs/>
          <w:color w:val="auto"/>
          <w:sz w:val="32"/>
          <w:szCs w:val="40"/>
          <w:highlight w:val="none"/>
        </w:rPr>
        <w:t>。</w:t>
      </w:r>
      <w:r>
        <w:rPr>
          <w:rFonts w:hint="eastAsia" w:ascii="方正仿宋_GBK" w:hAnsi="方正仿宋_GBK" w:eastAsia="方正仿宋_GBK" w:cs="方正仿宋_GBK"/>
          <w:color w:val="auto"/>
          <w:sz w:val="32"/>
          <w:szCs w:val="40"/>
          <w:highlight w:val="none"/>
        </w:rPr>
        <w:t>自2023年6月1日</w:t>
      </w:r>
      <w:r>
        <w:rPr>
          <w:rFonts w:hint="eastAsia" w:ascii="方正仿宋_GBK" w:hAnsi="方正仿宋_GBK" w:eastAsia="方正仿宋_GBK" w:cs="方正仿宋_GBK"/>
          <w:color w:val="auto"/>
          <w:sz w:val="32"/>
          <w:szCs w:val="40"/>
          <w:highlight w:val="none"/>
          <w:lang w:val="en-US" w:eastAsia="zh-CN"/>
        </w:rPr>
        <w:t>正式提交申请</w:t>
      </w:r>
      <w:r>
        <w:rPr>
          <w:rFonts w:hint="eastAsia" w:ascii="方正仿宋_GBK" w:hAnsi="方正仿宋_GBK" w:eastAsia="方正仿宋_GBK" w:cs="方正仿宋_GBK"/>
          <w:color w:val="auto"/>
          <w:sz w:val="32"/>
          <w:szCs w:val="40"/>
          <w:highlight w:val="none"/>
        </w:rPr>
        <w:t>起，用电容量（指运行容量，下同）在100千伏安及以下的，执行单一制电价；100千伏安-315千伏安之间的，可选择执行单一制或两部制电价；315千伏安及以上的，执行两部制电价，</w:t>
      </w:r>
      <w:r>
        <w:rPr>
          <w:rFonts w:hint="eastAsia" w:ascii="方正仿宋_GBK" w:hAnsi="方正仿宋_GBK" w:eastAsia="方正仿宋_GBK" w:cs="方正仿宋_GBK"/>
          <w:color w:val="auto"/>
          <w:sz w:val="32"/>
          <w:szCs w:val="40"/>
          <w:highlight w:val="none"/>
          <w:lang w:val="en-US" w:eastAsia="zh-CN"/>
        </w:rPr>
        <w:t>其中，</w:t>
      </w:r>
      <w:r>
        <w:rPr>
          <w:rFonts w:hint="eastAsia" w:ascii="方正仿宋_GBK" w:hAnsi="方正仿宋_GBK" w:eastAsia="方正仿宋_GBK" w:cs="方正仿宋_GBK"/>
          <w:color w:val="auto"/>
          <w:sz w:val="32"/>
          <w:szCs w:val="40"/>
          <w:highlight w:val="none"/>
        </w:rPr>
        <w:t>原执行单一制电价的一般工商业用户，可选择执行单一制或两部制电价。原为两部制电价用户，因暂停、减容后容量达不到相应标准执行或选择执行对应用电类别单一制电价的，</w:t>
      </w:r>
      <w:r>
        <w:rPr>
          <w:rFonts w:hint="eastAsia" w:ascii="方正仿宋_GBK" w:hAnsi="方正仿宋_GBK" w:eastAsia="方正仿宋_GBK" w:cs="方正仿宋_GBK"/>
          <w:color w:val="auto"/>
          <w:sz w:val="32"/>
          <w:szCs w:val="40"/>
          <w:highlight w:val="none"/>
          <w:lang w:val="en-US" w:eastAsia="zh-CN"/>
        </w:rPr>
        <w:t>不受单一制两部制电价选择周期限制，</w:t>
      </w:r>
      <w:r>
        <w:rPr>
          <w:rFonts w:hint="eastAsia" w:ascii="方正仿宋_GBK" w:hAnsi="方正仿宋_GBK" w:eastAsia="方正仿宋_GBK" w:cs="方正仿宋_GBK"/>
          <w:color w:val="auto"/>
          <w:sz w:val="32"/>
          <w:szCs w:val="40"/>
          <w:highlight w:val="none"/>
        </w:rPr>
        <w:t>暂停（减容）恢复后，应继续执行两部制电价。</w:t>
      </w:r>
    </w:p>
    <w:p>
      <w:pPr>
        <w:spacing w:line="580" w:lineRule="exact"/>
        <w:ind w:firstLine="640" w:firstLineChars="200"/>
        <w:rPr>
          <w:rFonts w:hint="eastAsia" w:ascii="方正仿宋_GBK" w:hAnsi="方正仿宋_GBK" w:eastAsia="方正仿宋_GBK" w:cs="方正仿宋_GBK"/>
          <w:color w:val="auto"/>
          <w:sz w:val="32"/>
          <w:szCs w:val="40"/>
          <w:highlight w:val="none"/>
          <w:lang w:eastAsia="zh-CN"/>
        </w:rPr>
      </w:pPr>
      <w:r>
        <w:rPr>
          <w:rFonts w:hint="eastAsia" w:ascii="方正仿宋_GBK" w:hAnsi="方正仿宋_GBK" w:eastAsia="方正仿宋_GBK" w:cs="方正仿宋_GBK"/>
          <w:b w:val="0"/>
          <w:bCs w:val="0"/>
          <w:color w:val="auto"/>
          <w:sz w:val="32"/>
          <w:szCs w:val="40"/>
          <w:highlight w:val="none"/>
          <w:lang w:val="en-US" w:eastAsia="zh-CN"/>
        </w:rPr>
        <w:t>（3）</w:t>
      </w:r>
      <w:r>
        <w:rPr>
          <w:rFonts w:hint="eastAsia" w:ascii="方正仿宋_GBK" w:hAnsi="方正仿宋_GBK" w:eastAsia="方正仿宋_GBK" w:cs="方正仿宋_GBK"/>
          <w:color w:val="auto"/>
          <w:sz w:val="32"/>
          <w:szCs w:val="40"/>
          <w:highlight w:val="none"/>
        </w:rPr>
        <w:t>运行容量在315</w:t>
      </w:r>
      <w:r>
        <w:rPr>
          <w:rFonts w:hint="eastAsia" w:ascii="方正仿宋_GBK" w:hAnsi="方正仿宋_GBK" w:eastAsia="方正仿宋_GBK" w:cs="方正仿宋_GBK"/>
          <w:color w:val="auto"/>
          <w:sz w:val="32"/>
          <w:szCs w:val="40"/>
          <w:highlight w:val="none"/>
          <w:lang w:val="en-US" w:eastAsia="zh-CN"/>
        </w:rPr>
        <w:t>千伏安</w:t>
      </w:r>
      <w:r>
        <w:rPr>
          <w:rFonts w:hint="eastAsia" w:ascii="方正仿宋_GBK" w:hAnsi="方正仿宋_GBK" w:eastAsia="方正仿宋_GBK" w:cs="方正仿宋_GBK"/>
          <w:color w:val="auto"/>
          <w:sz w:val="32"/>
          <w:szCs w:val="40"/>
          <w:highlight w:val="none"/>
        </w:rPr>
        <w:t>及以上存量执行单一制电价的工商业用户，选择执行两部制电价后</w:t>
      </w:r>
      <w:r>
        <w:rPr>
          <w:rFonts w:hint="eastAsia" w:ascii="方正仿宋_GBK" w:hAnsi="方正仿宋_GBK" w:eastAsia="方正仿宋_GBK" w:cs="方正仿宋_GBK"/>
          <w:color w:val="auto"/>
          <w:sz w:val="32"/>
          <w:szCs w:val="40"/>
          <w:highlight w:val="none"/>
          <w:lang w:val="en-US" w:eastAsia="zh-CN"/>
        </w:rPr>
        <w:t>不可再变更</w:t>
      </w:r>
      <w:r>
        <w:rPr>
          <w:rFonts w:hint="eastAsia" w:ascii="方正仿宋_GBK" w:hAnsi="方正仿宋_GBK" w:eastAsia="方正仿宋_GBK" w:cs="方正仿宋_GBK"/>
          <w:color w:val="auto"/>
          <w:sz w:val="32"/>
          <w:szCs w:val="40"/>
          <w:highlight w:val="none"/>
        </w:rPr>
        <w:t>。</w:t>
      </w:r>
    </w:p>
    <w:p>
      <w:pPr>
        <w:widowControl/>
        <w:spacing w:line="580" w:lineRule="exact"/>
        <w:ind w:firstLine="640" w:firstLineChars="200"/>
        <w:outlineLvl w:val="1"/>
        <w:rPr>
          <w:rFonts w:hint="eastAsia" w:ascii="方正楷体_GBK" w:hAnsi="方正楷体_GBK" w:eastAsia="方正楷体_GBK" w:cs="方正楷体_GBK"/>
          <w:color w:val="auto"/>
          <w:sz w:val="32"/>
          <w:szCs w:val="40"/>
          <w:highlight w:val="none"/>
        </w:rPr>
      </w:pPr>
      <w:r>
        <w:rPr>
          <w:rFonts w:hint="eastAsia" w:ascii="方正楷体_GBK" w:hAnsi="方正楷体_GBK" w:eastAsia="方正楷体_GBK" w:cs="方正楷体_GBK"/>
          <w:color w:val="auto"/>
          <w:sz w:val="32"/>
          <w:szCs w:val="40"/>
          <w:highlight w:val="none"/>
        </w:rPr>
        <w:t>（二）需量电费计算规则</w:t>
      </w:r>
    </w:p>
    <w:p>
      <w:pPr>
        <w:spacing w:line="580" w:lineRule="exact"/>
        <w:ind w:firstLine="643" w:firstLineChars="200"/>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b/>
          <w:bCs/>
          <w:color w:val="auto"/>
          <w:sz w:val="32"/>
          <w:szCs w:val="40"/>
          <w:highlight w:val="none"/>
        </w:rPr>
        <w:t>1.计算公式。</w:t>
      </w:r>
      <w:r>
        <w:rPr>
          <w:rFonts w:hint="eastAsia" w:ascii="方正仿宋_GBK" w:hAnsi="方正仿宋_GBK" w:eastAsia="方正仿宋_GBK" w:cs="方正仿宋_GBK"/>
          <w:color w:val="auto"/>
          <w:sz w:val="32"/>
          <w:szCs w:val="40"/>
          <w:highlight w:val="none"/>
        </w:rPr>
        <w:t>月每千伏安用电量=（用户总电量-执行居民、农业电价以及不执行需量电价的</w:t>
      </w:r>
      <w:r>
        <w:rPr>
          <w:rFonts w:hint="eastAsia" w:ascii="方正仿宋_GBK" w:hAnsi="方正仿宋_GBK" w:eastAsia="方正仿宋_GBK" w:cs="方正仿宋_GBK"/>
          <w:color w:val="auto"/>
          <w:sz w:val="32"/>
          <w:szCs w:val="40"/>
          <w:highlight w:val="none"/>
          <w:lang w:val="en-US" w:eastAsia="zh-CN"/>
        </w:rPr>
        <w:t>工商用电部分</w:t>
      </w:r>
      <w:r>
        <w:rPr>
          <w:rFonts w:hint="eastAsia" w:ascii="方正仿宋_GBK" w:hAnsi="方正仿宋_GBK" w:eastAsia="方正仿宋_GBK" w:cs="方正仿宋_GBK"/>
          <w:color w:val="auto"/>
          <w:sz w:val="32"/>
          <w:szCs w:val="40"/>
          <w:highlight w:val="none"/>
        </w:rPr>
        <w:t>独立受电点电量）/（用户合同容量-执行居民、农业电价以及不执行需量电价的</w:t>
      </w:r>
      <w:r>
        <w:rPr>
          <w:rFonts w:hint="eastAsia" w:ascii="方正仿宋_GBK" w:hAnsi="方正仿宋_GBK" w:eastAsia="方正仿宋_GBK" w:cs="方正仿宋_GBK"/>
          <w:color w:val="auto"/>
          <w:sz w:val="32"/>
          <w:szCs w:val="40"/>
          <w:highlight w:val="none"/>
          <w:lang w:val="en-US" w:eastAsia="zh-CN"/>
        </w:rPr>
        <w:t>工商用电部分</w:t>
      </w:r>
      <w:r>
        <w:rPr>
          <w:rFonts w:hint="eastAsia" w:ascii="方正仿宋_GBK" w:hAnsi="方正仿宋_GBK" w:eastAsia="方正仿宋_GBK" w:cs="方正仿宋_GBK"/>
          <w:color w:val="auto"/>
          <w:sz w:val="32"/>
          <w:szCs w:val="40"/>
          <w:highlight w:val="none"/>
        </w:rPr>
        <w:t>独立受电点“受电点容量”），月每千伏安用电量舍尾取整。</w:t>
      </w:r>
    </w:p>
    <w:p>
      <w:pPr>
        <w:spacing w:line="580" w:lineRule="exact"/>
        <w:ind w:firstLine="643" w:firstLineChars="200"/>
        <w:rPr>
          <w:rFonts w:hint="eastAsia" w:ascii="方正仿宋_GBK" w:hAnsi="方正仿宋_GBK" w:eastAsia="方正仿宋_GBK" w:cs="方正仿宋_GBK"/>
          <w:b/>
          <w:bCs/>
          <w:color w:val="auto"/>
          <w:sz w:val="32"/>
          <w:szCs w:val="40"/>
          <w:highlight w:val="none"/>
        </w:rPr>
      </w:pPr>
      <w:r>
        <w:rPr>
          <w:rFonts w:hint="eastAsia" w:ascii="方正仿宋_GBK" w:hAnsi="方正仿宋_GBK" w:eastAsia="方正仿宋_GBK" w:cs="方正仿宋_GBK"/>
          <w:b/>
          <w:bCs/>
          <w:color w:val="auto"/>
          <w:sz w:val="32"/>
          <w:szCs w:val="40"/>
          <w:highlight w:val="none"/>
        </w:rPr>
        <w:t>2.相关计费规则。</w:t>
      </w:r>
    </w:p>
    <w:p>
      <w:pPr>
        <w:spacing w:line="580" w:lineRule="exact"/>
        <w:ind w:firstLine="640" w:firstLineChars="200"/>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color w:val="auto"/>
          <w:sz w:val="32"/>
          <w:szCs w:val="40"/>
          <w:highlight w:val="none"/>
        </w:rPr>
        <w:t>（1）用户办理新装、增容、暂停、变更、销户等涉及电费分段计算的用电业务，月每千伏安用电量按照</w:t>
      </w:r>
      <w:r>
        <w:rPr>
          <w:rFonts w:hint="eastAsia" w:ascii="方正仿宋_GBK" w:hAnsi="方正仿宋_GBK" w:eastAsia="方正仿宋_GBK" w:cs="方正仿宋_GBK"/>
          <w:color w:val="auto"/>
          <w:sz w:val="32"/>
          <w:szCs w:val="40"/>
          <w:highlight w:val="none"/>
          <w:lang w:eastAsia="zh-CN"/>
        </w:rPr>
        <w:t>容（需）量电费</w:t>
      </w:r>
      <w:r>
        <w:rPr>
          <w:rFonts w:hint="eastAsia" w:ascii="方正仿宋_GBK" w:hAnsi="方正仿宋_GBK" w:eastAsia="方正仿宋_GBK" w:cs="方正仿宋_GBK"/>
          <w:color w:val="auto"/>
          <w:sz w:val="32"/>
          <w:szCs w:val="40"/>
          <w:highlight w:val="none"/>
        </w:rPr>
        <w:t>分段原则进行分段计算，分别确定每段需量电价标准，不足整月的，按日均每千伏安用电量×30天折算。</w:t>
      </w:r>
    </w:p>
    <w:p>
      <w:pPr>
        <w:spacing w:line="580" w:lineRule="exact"/>
        <w:ind w:firstLine="640" w:firstLineChars="200"/>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color w:val="auto"/>
          <w:sz w:val="32"/>
          <w:szCs w:val="40"/>
          <w:highlight w:val="none"/>
        </w:rPr>
        <w:t>（2）对于高供低计或用户侧计量的专线用户，应将变损或线损电量应计入当月总用电量。</w:t>
      </w:r>
    </w:p>
    <w:p>
      <w:pPr>
        <w:spacing w:line="580" w:lineRule="exact"/>
        <w:ind w:firstLine="640" w:firstLineChars="200"/>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color w:val="auto"/>
          <w:sz w:val="32"/>
          <w:szCs w:val="40"/>
          <w:highlight w:val="none"/>
        </w:rPr>
        <w:t>（3）转供计费关系中，转供户月每千伏安用电量计算时，要扣减被转供户的电量和合同容量。</w:t>
      </w:r>
    </w:p>
    <w:p>
      <w:pPr>
        <w:spacing w:line="580" w:lineRule="exact"/>
        <w:ind w:firstLine="640" w:firstLineChars="200"/>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color w:val="auto"/>
          <w:sz w:val="32"/>
          <w:szCs w:val="40"/>
          <w:highlight w:val="none"/>
        </w:rPr>
        <w:t>（4）月每千伏安用电量计算不考虑有序用电、需求响应、检修停电、事故停电的影响。</w:t>
      </w:r>
    </w:p>
    <w:p>
      <w:pPr>
        <w:spacing w:line="580" w:lineRule="exact"/>
        <w:ind w:firstLine="640" w:firstLineChars="200"/>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color w:val="auto"/>
          <w:sz w:val="32"/>
          <w:szCs w:val="40"/>
          <w:highlight w:val="none"/>
        </w:rPr>
        <w:t>（5）违约用电、窃电追补电量不参与当月月每千伏安用电量计算、不还原以往年月月每千伏安用电量；因计量故障差错、抄表差错涉及电量退补的，退补电量不参与当月月每千伏安用电量计算，但须还原至差错月并重新计算差错月月每千伏安用电量和需量电费。</w:t>
      </w:r>
    </w:p>
    <w:p>
      <w:pPr>
        <w:spacing w:line="580" w:lineRule="exact"/>
        <w:ind w:firstLine="643" w:firstLineChars="200"/>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b/>
          <w:bCs/>
          <w:color w:val="auto"/>
          <w:sz w:val="32"/>
          <w:szCs w:val="40"/>
          <w:highlight w:val="none"/>
        </w:rPr>
        <w:t>3.其他延伸说明。</w:t>
      </w:r>
      <w:r>
        <w:rPr>
          <w:rFonts w:hint="eastAsia" w:ascii="方正仿宋_GBK" w:hAnsi="方正仿宋_GBK" w:eastAsia="方正仿宋_GBK" w:cs="方正仿宋_GBK"/>
          <w:color w:val="auto"/>
          <w:sz w:val="32"/>
          <w:szCs w:val="40"/>
          <w:highlight w:val="none"/>
        </w:rPr>
        <w:t>根据国家相关两部制政策文件，用户</w:t>
      </w:r>
      <w:r>
        <w:rPr>
          <w:rFonts w:hint="eastAsia" w:ascii="方正仿宋_GBK" w:hAnsi="方正仿宋_GBK" w:eastAsia="方正仿宋_GBK" w:cs="方正仿宋_GBK"/>
          <w:color w:val="auto"/>
          <w:sz w:val="32"/>
          <w:szCs w:val="40"/>
          <w:highlight w:val="none"/>
          <w:lang w:eastAsia="zh-CN"/>
        </w:rPr>
        <w:t>容（需）量电费</w:t>
      </w:r>
      <w:r>
        <w:rPr>
          <w:rFonts w:hint="eastAsia" w:ascii="方正仿宋_GBK" w:hAnsi="方正仿宋_GBK" w:eastAsia="方正仿宋_GBK" w:cs="方正仿宋_GBK"/>
          <w:color w:val="auto"/>
          <w:sz w:val="32"/>
          <w:szCs w:val="40"/>
          <w:highlight w:val="none"/>
        </w:rPr>
        <w:t>计费方式以“户”为单位进行选择。自2023年6月1日起，</w:t>
      </w:r>
      <w:r>
        <w:rPr>
          <w:rFonts w:hint="eastAsia" w:ascii="方正仿宋_GBK" w:hAnsi="方正仿宋_GBK" w:eastAsia="方正仿宋_GBK" w:cs="方正仿宋_GBK"/>
          <w:color w:val="auto"/>
          <w:sz w:val="32"/>
          <w:szCs w:val="40"/>
          <w:highlight w:val="none"/>
          <w:lang w:val="en-US" w:eastAsia="zh-CN"/>
        </w:rPr>
        <w:t>新增的</w:t>
      </w:r>
      <w:r>
        <w:rPr>
          <w:rFonts w:hint="eastAsia" w:ascii="方正仿宋_GBK" w:hAnsi="方正仿宋_GBK" w:eastAsia="方正仿宋_GBK" w:cs="方正仿宋_GBK"/>
          <w:color w:val="auto"/>
          <w:sz w:val="32"/>
          <w:szCs w:val="40"/>
          <w:highlight w:val="none"/>
        </w:rPr>
        <w:t>工商业用户下存在两个及以上受电点的，原则上不允许各受电点选择执行不同的</w:t>
      </w:r>
      <w:r>
        <w:rPr>
          <w:rFonts w:hint="eastAsia" w:ascii="方正仿宋_GBK" w:hAnsi="方正仿宋_GBK" w:eastAsia="方正仿宋_GBK" w:cs="方正仿宋_GBK"/>
          <w:color w:val="auto"/>
          <w:sz w:val="32"/>
          <w:szCs w:val="40"/>
          <w:highlight w:val="none"/>
          <w:lang w:eastAsia="zh-CN"/>
        </w:rPr>
        <w:t>容（需）量电费</w:t>
      </w:r>
      <w:r>
        <w:rPr>
          <w:rFonts w:hint="eastAsia" w:ascii="方正仿宋_GBK" w:hAnsi="方正仿宋_GBK" w:eastAsia="方正仿宋_GBK" w:cs="方正仿宋_GBK"/>
          <w:color w:val="auto"/>
          <w:sz w:val="32"/>
          <w:szCs w:val="40"/>
          <w:highlight w:val="none"/>
        </w:rPr>
        <w:t>计费方式，存量用户可暂按现方式执行，平稳过渡。</w:t>
      </w:r>
    </w:p>
    <w:p>
      <w:pPr>
        <w:widowControl/>
        <w:spacing w:line="580" w:lineRule="exact"/>
        <w:ind w:firstLine="640" w:firstLineChars="200"/>
        <w:outlineLvl w:val="1"/>
        <w:rPr>
          <w:rFonts w:hint="eastAsia" w:ascii="方正楷体_GBK" w:hAnsi="方正楷体_GBK" w:eastAsia="方正楷体_GBK" w:cs="方正楷体_GBK"/>
          <w:b w:val="0"/>
          <w:bCs w:val="0"/>
          <w:color w:val="auto"/>
          <w:sz w:val="32"/>
          <w:szCs w:val="40"/>
          <w:highlight w:val="none"/>
        </w:rPr>
      </w:pPr>
      <w:r>
        <w:rPr>
          <w:rFonts w:hint="eastAsia" w:ascii="方正楷体_GBK" w:hAnsi="方正楷体_GBK" w:eastAsia="方正楷体_GBK" w:cs="方正楷体_GBK"/>
          <w:color w:val="auto"/>
          <w:sz w:val="32"/>
          <w:szCs w:val="40"/>
          <w:highlight w:val="none"/>
        </w:rPr>
        <w:t>（三）</w:t>
      </w:r>
      <w:r>
        <w:rPr>
          <w:rFonts w:hint="eastAsia" w:ascii="方正楷体_GBK" w:hAnsi="方正楷体_GBK" w:eastAsia="方正楷体_GBK" w:cs="方正楷体_GBK"/>
          <w:b w:val="0"/>
          <w:bCs w:val="0"/>
          <w:color w:val="auto"/>
          <w:sz w:val="32"/>
          <w:szCs w:val="40"/>
          <w:highlight w:val="none"/>
        </w:rPr>
        <w:t>上网环节线损费用</w:t>
      </w:r>
    </w:p>
    <w:p>
      <w:pPr>
        <w:spacing w:line="580" w:lineRule="exact"/>
        <w:ind w:firstLine="640" w:firstLineChars="200"/>
        <w:outlineLvl w:val="9"/>
        <w:rPr>
          <w:rFonts w:hint="eastAsia" w:ascii="方正仿宋_GBK" w:hAnsi="方正仿宋_GBK" w:eastAsia="方正仿宋_GBK" w:cs="方正仿宋_GBK"/>
          <w:b w:val="0"/>
          <w:bCs w:val="0"/>
          <w:color w:val="auto"/>
          <w:sz w:val="32"/>
          <w:szCs w:val="40"/>
          <w:highlight w:val="none"/>
          <w:lang w:val="en-US" w:eastAsia="zh-CN"/>
        </w:rPr>
      </w:pPr>
      <w:r>
        <w:rPr>
          <w:rFonts w:hint="eastAsia" w:ascii="方正仿宋_GBK" w:hAnsi="方正仿宋_GBK" w:eastAsia="方正仿宋_GBK" w:cs="方正仿宋_GBK"/>
          <w:b w:val="0"/>
          <w:bCs w:val="0"/>
          <w:color w:val="auto"/>
          <w:sz w:val="32"/>
          <w:szCs w:val="40"/>
          <w:highlight w:val="none"/>
          <w:lang w:val="en-US" w:eastAsia="zh-CN"/>
        </w:rPr>
        <w:t>暂按第三周期保障性电量基准电价、综合线损率3.31%计算。</w:t>
      </w:r>
    </w:p>
    <w:p>
      <w:pPr>
        <w:spacing w:line="580" w:lineRule="exact"/>
        <w:ind w:firstLine="640" w:firstLineChars="200"/>
        <w:outlineLvl w:val="9"/>
        <w:rPr>
          <w:rFonts w:hint="eastAsia" w:ascii="方正仿宋_GBK" w:hAnsi="方正仿宋_GBK" w:eastAsia="方正仿宋_GBK" w:cs="方正仿宋_GBK"/>
          <w:b w:val="0"/>
          <w:bCs w:val="0"/>
          <w:color w:val="auto"/>
          <w:sz w:val="32"/>
          <w:szCs w:val="40"/>
          <w:highlight w:val="none"/>
        </w:rPr>
      </w:pPr>
      <w:r>
        <w:rPr>
          <w:rFonts w:hint="eastAsia" w:ascii="方正仿宋_GBK" w:hAnsi="方正仿宋_GBK" w:eastAsia="方正仿宋_GBK" w:cs="方正仿宋_GBK"/>
          <w:b w:val="0"/>
          <w:bCs w:val="0"/>
          <w:color w:val="auto"/>
          <w:sz w:val="32"/>
          <w:szCs w:val="40"/>
          <w:highlight w:val="none"/>
        </w:rPr>
        <w:t>用户某月上网环节线损费用</w:t>
      </w:r>
      <w:r>
        <w:rPr>
          <w:rFonts w:hint="eastAsia" w:ascii="方正仿宋_GBK" w:hAnsi="方正仿宋_GBK" w:eastAsia="方正仿宋_GBK" w:cs="方正仿宋_GBK"/>
          <w:b w:val="0"/>
          <w:bCs w:val="0"/>
          <w:color w:val="auto"/>
          <w:sz w:val="32"/>
          <w:szCs w:val="40"/>
          <w:highlight w:val="none"/>
          <w:lang w:val="en-US" w:eastAsia="zh-CN"/>
        </w:rPr>
        <w:t>电费=上网环节线损费用*</w:t>
      </w:r>
      <w:r>
        <w:rPr>
          <w:rFonts w:hint="eastAsia" w:ascii="方正仿宋_GBK" w:hAnsi="方正仿宋_GBK" w:eastAsia="方正仿宋_GBK" w:cs="方正仿宋_GBK"/>
          <w:b w:val="0"/>
          <w:bCs w:val="0"/>
          <w:color w:val="auto"/>
          <w:sz w:val="32"/>
          <w:szCs w:val="40"/>
          <w:highlight w:val="none"/>
        </w:rPr>
        <w:t>该户某月结算电量。</w:t>
      </w:r>
    </w:p>
    <w:p>
      <w:pPr>
        <w:widowControl/>
        <w:spacing w:line="580" w:lineRule="exact"/>
        <w:ind w:firstLine="640" w:firstLineChars="200"/>
        <w:outlineLvl w:val="1"/>
        <w:rPr>
          <w:rFonts w:hint="eastAsia" w:ascii="方正楷体_GBK" w:hAnsi="方正楷体_GBK" w:eastAsia="方正楷体_GBK" w:cs="方正楷体_GBK"/>
          <w:b w:val="0"/>
          <w:bCs w:val="0"/>
          <w:color w:val="auto"/>
          <w:sz w:val="32"/>
          <w:szCs w:val="40"/>
          <w:highlight w:val="none"/>
        </w:rPr>
      </w:pP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lang w:val="en-US" w:eastAsia="zh-CN"/>
        </w:rPr>
        <w:t>四</w:t>
      </w: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rPr>
        <w:t>系统运行费用</w:t>
      </w:r>
    </w:p>
    <w:p>
      <w:pPr>
        <w:spacing w:line="580" w:lineRule="exact"/>
        <w:ind w:firstLine="640" w:firstLineChars="200"/>
        <w:outlineLvl w:val="9"/>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color w:val="auto"/>
          <w:sz w:val="32"/>
          <w:szCs w:val="40"/>
          <w:highlight w:val="none"/>
        </w:rPr>
        <w:t>用户某月系统运行</w:t>
      </w:r>
      <w:r>
        <w:rPr>
          <w:rFonts w:hint="eastAsia" w:ascii="方正仿宋_GBK" w:hAnsi="方正仿宋_GBK" w:eastAsia="方正仿宋_GBK" w:cs="方正仿宋_GBK"/>
          <w:color w:val="auto"/>
          <w:sz w:val="32"/>
          <w:szCs w:val="40"/>
          <w:highlight w:val="none"/>
          <w:lang w:val="en-US" w:eastAsia="zh-CN"/>
        </w:rPr>
        <w:t>费用电费</w:t>
      </w:r>
      <w:r>
        <w:rPr>
          <w:rFonts w:hint="eastAsia" w:ascii="方正仿宋_GBK" w:hAnsi="方正仿宋_GBK" w:eastAsia="方正仿宋_GBK" w:cs="方正仿宋_GBK"/>
          <w:color w:val="auto"/>
          <w:sz w:val="32"/>
          <w:szCs w:val="40"/>
          <w:highlight w:val="none"/>
        </w:rPr>
        <w:t>=系统运行</w:t>
      </w:r>
      <w:r>
        <w:rPr>
          <w:rFonts w:hint="eastAsia" w:ascii="方正仿宋_GBK" w:hAnsi="方正仿宋_GBK" w:eastAsia="方正仿宋_GBK" w:cs="方正仿宋_GBK"/>
          <w:color w:val="auto"/>
          <w:sz w:val="32"/>
          <w:szCs w:val="40"/>
          <w:highlight w:val="none"/>
          <w:lang w:val="en-US" w:eastAsia="zh-CN"/>
        </w:rPr>
        <w:t>费用</w:t>
      </w:r>
      <w:r>
        <w:rPr>
          <w:rFonts w:hint="eastAsia" w:ascii="方正仿宋_GBK" w:hAnsi="方正仿宋_GBK" w:eastAsia="方正仿宋_GBK" w:cs="方正仿宋_GBK"/>
          <w:color w:val="auto"/>
          <w:sz w:val="32"/>
          <w:szCs w:val="40"/>
          <w:highlight w:val="none"/>
        </w:rPr>
        <w:t>*该户某月结算电量。系统运行</w:t>
      </w:r>
      <w:r>
        <w:rPr>
          <w:rFonts w:hint="eastAsia" w:ascii="方正仿宋_GBK" w:hAnsi="方正仿宋_GBK" w:eastAsia="方正仿宋_GBK" w:cs="方正仿宋_GBK"/>
          <w:color w:val="auto"/>
          <w:sz w:val="32"/>
          <w:szCs w:val="40"/>
          <w:highlight w:val="none"/>
          <w:lang w:val="en-US" w:eastAsia="zh-CN"/>
        </w:rPr>
        <w:t>费用电费按其明细项分项计算</w:t>
      </w:r>
      <w:r>
        <w:rPr>
          <w:rFonts w:hint="eastAsia" w:ascii="方正仿宋_GBK" w:hAnsi="方正仿宋_GBK" w:eastAsia="方正仿宋_GBK" w:cs="方正仿宋_GBK"/>
          <w:color w:val="auto"/>
          <w:sz w:val="32"/>
          <w:szCs w:val="40"/>
          <w:highlight w:val="none"/>
        </w:rPr>
        <w:t>。</w:t>
      </w:r>
    </w:p>
    <w:p>
      <w:pPr>
        <w:spacing w:line="580" w:lineRule="exact"/>
        <w:ind w:firstLine="640" w:firstLineChars="200"/>
        <w:outlineLvl w:val="0"/>
        <w:rPr>
          <w:rFonts w:hint="eastAsia" w:ascii="方正黑体_GBK" w:hAnsi="方正黑体_GBK" w:eastAsia="方正黑体_GBK" w:cs="方正黑体_GBK"/>
          <w:color w:val="auto"/>
          <w:sz w:val="32"/>
          <w:szCs w:val="40"/>
          <w:highlight w:val="none"/>
        </w:rPr>
      </w:pPr>
      <w:r>
        <w:rPr>
          <w:rFonts w:hint="eastAsia" w:ascii="方正黑体_GBK" w:hAnsi="方正黑体_GBK" w:eastAsia="方正黑体_GBK" w:cs="方正黑体_GBK"/>
          <w:color w:val="auto"/>
          <w:sz w:val="32"/>
          <w:szCs w:val="40"/>
          <w:highlight w:val="none"/>
        </w:rPr>
        <w:t>三、营销系统调整</w:t>
      </w:r>
    </w:p>
    <w:p>
      <w:pPr>
        <w:pStyle w:val="14"/>
        <w:adjustRightInd w:val="0"/>
        <w:snapToGrid w:val="0"/>
        <w:spacing w:line="580" w:lineRule="exact"/>
        <w:ind w:firstLine="643"/>
        <w:rPr>
          <w:rFonts w:hint="eastAsia" w:ascii="方正仿宋_GBK" w:hAnsi="方正仿宋_GBK" w:eastAsia="方正仿宋_GBK" w:cs="方正仿宋_GBK"/>
          <w:b w:val="0"/>
          <w:bCs w:val="0"/>
          <w:color w:val="auto"/>
          <w:sz w:val="32"/>
          <w:szCs w:val="40"/>
          <w:highlight w:val="none"/>
          <w:lang w:val="en-US" w:eastAsia="zh-CN"/>
        </w:rPr>
      </w:pPr>
      <w:r>
        <w:rPr>
          <w:rFonts w:hint="eastAsia" w:ascii="方正仿宋_GBK" w:hAnsi="方正仿宋_GBK" w:eastAsia="方正仿宋_GBK" w:cs="方正仿宋_GBK"/>
          <w:b w:val="0"/>
          <w:bCs w:val="0"/>
          <w:color w:val="auto"/>
          <w:sz w:val="32"/>
          <w:szCs w:val="40"/>
          <w:highlight w:val="none"/>
          <w:lang w:val="en-US" w:eastAsia="zh-CN"/>
        </w:rPr>
        <w:t>南京研发基地</w:t>
      </w:r>
      <w:r>
        <w:rPr>
          <w:rFonts w:hint="eastAsia" w:ascii="方正仿宋_GBK" w:hAnsi="方正仿宋_GBK" w:eastAsia="方正仿宋_GBK" w:cs="方正仿宋_GBK"/>
          <w:b w:val="0"/>
          <w:bCs w:val="0"/>
          <w:color w:val="auto"/>
          <w:sz w:val="32"/>
          <w:szCs w:val="40"/>
          <w:highlight w:val="none"/>
        </w:rPr>
        <w:t>对能源互联网营销服务系统（营销2.0）、网上国网等自有线上服务渠道等系统平台进行标准化设计调整和系统适配改造。</w:t>
      </w:r>
    </w:p>
    <w:p>
      <w:pPr>
        <w:pStyle w:val="14"/>
        <w:adjustRightInd w:val="0"/>
        <w:snapToGrid w:val="0"/>
        <w:spacing w:line="580" w:lineRule="exact"/>
        <w:ind w:firstLine="643"/>
        <w:rPr>
          <w:rFonts w:hint="eastAsia" w:ascii="方正仿宋_GBK" w:hAnsi="方正仿宋_GBK" w:eastAsia="方正仿宋_GBK" w:cs="方正仿宋_GBK"/>
          <w:bCs/>
          <w:color w:val="auto"/>
          <w:sz w:val="32"/>
          <w:szCs w:val="40"/>
          <w:highlight w:val="none"/>
        </w:rPr>
      </w:pPr>
      <w:r>
        <w:rPr>
          <w:rFonts w:hint="eastAsia" w:ascii="方正仿宋_GBK" w:hAnsi="方正仿宋_GBK" w:eastAsia="方正仿宋_GBK" w:cs="方正仿宋_GBK"/>
          <w:b w:val="0"/>
          <w:bCs w:val="0"/>
          <w:color w:val="auto"/>
          <w:sz w:val="32"/>
          <w:szCs w:val="40"/>
          <w:highlight w:val="none"/>
          <w:lang w:val="en-US" w:eastAsia="zh-CN"/>
        </w:rPr>
        <w:t>省公司将在6月1日前完成输配电价调整业扩部分相关功能生产环境发布，并冻结6月1日凌晨客户档案。6月15日前完成电费结算相关功能生产环境发布，最迟不晚于6月20日。</w:t>
      </w:r>
      <w:r>
        <w:rPr>
          <w:rFonts w:hint="eastAsia" w:ascii="方正仿宋_GBK" w:hAnsi="方正仿宋_GBK" w:eastAsia="方正仿宋_GBK" w:cs="方正仿宋_GBK"/>
          <w:color w:val="auto"/>
          <w:sz w:val="32"/>
          <w:szCs w:val="40"/>
          <w:highlight w:val="none"/>
        </w:rPr>
        <w:t>6月底前充分做好电费试算和业务场景验证，确保7月</w:t>
      </w:r>
      <w:r>
        <w:rPr>
          <w:rFonts w:hint="eastAsia" w:ascii="方正仿宋_GBK" w:hAnsi="方正仿宋_GBK" w:eastAsia="方正仿宋_GBK" w:cs="方正仿宋_GBK"/>
          <w:color w:val="auto"/>
          <w:sz w:val="32"/>
          <w:szCs w:val="40"/>
          <w:highlight w:val="none"/>
          <w:lang w:val="en-US" w:eastAsia="zh-CN"/>
        </w:rPr>
        <w:t>初新政策执行首个结算</w:t>
      </w:r>
      <w:r>
        <w:rPr>
          <w:rFonts w:hint="eastAsia" w:ascii="方正仿宋_GBK" w:hAnsi="方正仿宋_GBK" w:eastAsia="方正仿宋_GBK" w:cs="方正仿宋_GBK"/>
          <w:color w:val="auto"/>
          <w:sz w:val="32"/>
          <w:szCs w:val="40"/>
          <w:highlight w:val="none"/>
        </w:rPr>
        <w:t>期电费计算准确</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b w:val="0"/>
          <w:bCs w:val="0"/>
          <w:color w:val="auto"/>
          <w:sz w:val="32"/>
          <w:szCs w:val="40"/>
          <w:highlight w:val="none"/>
        </w:rPr>
        <w:t>调整</w:t>
      </w:r>
      <w:r>
        <w:rPr>
          <w:rFonts w:hint="eastAsia" w:ascii="方正仿宋_GBK" w:hAnsi="方正仿宋_GBK" w:eastAsia="方正仿宋_GBK" w:cs="方正仿宋_GBK"/>
          <w:b w:val="0"/>
          <w:bCs w:val="0"/>
          <w:color w:val="auto"/>
          <w:sz w:val="32"/>
          <w:szCs w:val="40"/>
          <w:highlight w:val="none"/>
          <w:lang w:val="en-US" w:eastAsia="zh-CN"/>
        </w:rPr>
        <w:t>营业厅、网上国网、95598网站等线上线下渠道的</w:t>
      </w:r>
      <w:r>
        <w:rPr>
          <w:rFonts w:hint="eastAsia" w:ascii="方正仿宋_GBK" w:hAnsi="方正仿宋_GBK" w:eastAsia="方正仿宋_GBK" w:cs="方正仿宋_GBK"/>
          <w:b w:val="0"/>
          <w:bCs w:val="0"/>
          <w:color w:val="auto"/>
          <w:sz w:val="32"/>
          <w:szCs w:val="40"/>
          <w:highlight w:val="none"/>
        </w:rPr>
        <w:t>纸质、电子等电费账单，</w:t>
      </w:r>
      <w:r>
        <w:rPr>
          <w:rFonts w:hint="eastAsia" w:ascii="方正仿宋_GBK" w:hAnsi="方正仿宋_GBK" w:eastAsia="方正仿宋_GBK" w:cs="方正仿宋_GBK"/>
          <w:b w:val="0"/>
          <w:bCs w:val="0"/>
          <w:color w:val="auto"/>
          <w:sz w:val="32"/>
          <w:szCs w:val="40"/>
          <w:highlight w:val="none"/>
          <w:lang w:val="en-US" w:eastAsia="zh-CN"/>
        </w:rPr>
        <w:t>统一按国网公司统一电费账单模板设计，</w:t>
      </w:r>
      <w:r>
        <w:rPr>
          <w:rFonts w:hint="eastAsia" w:ascii="方正仿宋_GBK" w:hAnsi="方正仿宋_GBK" w:eastAsia="方正仿宋_GBK" w:cs="方正仿宋_GBK"/>
          <w:b w:val="0"/>
          <w:bCs w:val="0"/>
          <w:color w:val="auto"/>
          <w:sz w:val="32"/>
          <w:szCs w:val="40"/>
          <w:highlight w:val="none"/>
        </w:rPr>
        <w:t>显示上网环节线损费用、系统运行费用，输配容（需）量电费显示月每千伏安用电量、折扣需量电费。完善电费统计报表，新增《</w:t>
      </w:r>
      <w:r>
        <w:rPr>
          <w:rFonts w:hint="eastAsia" w:ascii="方正仿宋_GBK" w:hAnsi="方正仿宋_GBK" w:eastAsia="方正仿宋_GBK" w:cs="方正仿宋_GBK"/>
          <w:b w:val="0"/>
          <w:bCs w:val="0"/>
          <w:color w:val="auto"/>
          <w:sz w:val="32"/>
          <w:szCs w:val="40"/>
          <w:highlight w:val="none"/>
          <w:lang w:val="en-US" w:eastAsia="zh-CN"/>
        </w:rPr>
        <w:t>电量电费</w:t>
      </w:r>
      <w:r>
        <w:rPr>
          <w:rFonts w:hint="eastAsia" w:ascii="方正仿宋_GBK" w:hAnsi="方正仿宋_GBK" w:eastAsia="方正仿宋_GBK" w:cs="方正仿宋_GBK"/>
          <w:b w:val="0"/>
          <w:bCs w:val="0"/>
          <w:color w:val="auto"/>
          <w:sz w:val="32"/>
          <w:szCs w:val="40"/>
          <w:highlight w:val="none"/>
        </w:rPr>
        <w:t>明细情况</w:t>
      </w:r>
      <w:r>
        <w:rPr>
          <w:rFonts w:hint="eastAsia" w:ascii="方正仿宋_GBK" w:hAnsi="方正仿宋_GBK" w:eastAsia="方正仿宋_GBK" w:cs="方正仿宋_GBK"/>
          <w:b w:val="0"/>
          <w:bCs w:val="0"/>
          <w:color w:val="auto"/>
          <w:sz w:val="32"/>
          <w:szCs w:val="40"/>
          <w:highlight w:val="none"/>
          <w:lang w:val="en-US" w:eastAsia="zh-CN"/>
        </w:rPr>
        <w:t>统计</w:t>
      </w:r>
      <w:r>
        <w:rPr>
          <w:rFonts w:hint="eastAsia" w:ascii="方正仿宋_GBK" w:hAnsi="方正仿宋_GBK" w:eastAsia="方正仿宋_GBK" w:cs="方正仿宋_GBK"/>
          <w:b w:val="0"/>
          <w:bCs w:val="0"/>
          <w:color w:val="auto"/>
          <w:sz w:val="32"/>
          <w:szCs w:val="40"/>
          <w:highlight w:val="none"/>
        </w:rPr>
        <w:t>表》</w:t>
      </w:r>
      <w:r>
        <w:rPr>
          <w:rFonts w:hint="eastAsia" w:ascii="方正仿宋_GBK" w:hAnsi="方正仿宋_GBK" w:eastAsia="方正仿宋_GBK" w:cs="方正仿宋_GBK"/>
          <w:bCs/>
          <w:color w:val="auto"/>
          <w:sz w:val="32"/>
          <w:szCs w:val="40"/>
          <w:highlight w:val="none"/>
        </w:rPr>
        <w:t>（当月/累计）</w:t>
      </w:r>
      <w:r>
        <w:rPr>
          <w:rFonts w:hint="eastAsia" w:ascii="方正仿宋_GBK" w:hAnsi="方正仿宋_GBK" w:eastAsia="方正仿宋_GBK" w:cs="方正仿宋_GBK"/>
          <w:b w:val="0"/>
          <w:bCs w:val="0"/>
          <w:color w:val="auto"/>
          <w:sz w:val="32"/>
          <w:szCs w:val="40"/>
          <w:highlight w:val="none"/>
        </w:rPr>
        <w:t>、《</w:t>
      </w:r>
      <w:r>
        <w:rPr>
          <w:rFonts w:hint="eastAsia" w:ascii="方正仿宋_GBK" w:hAnsi="方正仿宋_GBK" w:eastAsia="方正仿宋_GBK" w:cs="方正仿宋_GBK"/>
          <w:b w:val="0"/>
          <w:bCs w:val="0"/>
          <w:color w:val="auto"/>
          <w:sz w:val="32"/>
          <w:szCs w:val="40"/>
          <w:highlight w:val="none"/>
          <w:lang w:val="en-US" w:eastAsia="zh-CN"/>
        </w:rPr>
        <w:t>特殊用户</w:t>
      </w:r>
      <w:r>
        <w:rPr>
          <w:rFonts w:hint="eastAsia" w:ascii="方正仿宋_GBK" w:hAnsi="方正仿宋_GBK" w:eastAsia="方正仿宋_GBK" w:cs="方正仿宋_GBK"/>
          <w:b w:val="0"/>
          <w:bCs w:val="0"/>
          <w:color w:val="auto"/>
          <w:sz w:val="32"/>
          <w:szCs w:val="40"/>
          <w:highlight w:val="none"/>
        </w:rPr>
        <w:t>电量电费统计表》</w:t>
      </w:r>
      <w:r>
        <w:rPr>
          <w:rFonts w:hint="eastAsia" w:ascii="方正仿宋_GBK" w:hAnsi="方正仿宋_GBK" w:eastAsia="方正仿宋_GBK" w:cs="方正仿宋_GBK"/>
          <w:bCs/>
          <w:color w:val="auto"/>
          <w:sz w:val="32"/>
          <w:szCs w:val="40"/>
          <w:highlight w:val="none"/>
        </w:rPr>
        <w:t>（当月/累计）</w:t>
      </w:r>
      <w:r>
        <w:rPr>
          <w:rFonts w:hint="eastAsia" w:ascii="方正仿宋_GBK" w:hAnsi="方正仿宋_GBK" w:eastAsia="方正仿宋_GBK" w:cs="方正仿宋_GBK"/>
          <w:b w:val="0"/>
          <w:bCs w:val="0"/>
          <w:color w:val="auto"/>
          <w:sz w:val="32"/>
          <w:szCs w:val="40"/>
          <w:highlight w:val="none"/>
        </w:rPr>
        <w:t>、《绿色发展行业免收</w:t>
      </w:r>
      <w:r>
        <w:rPr>
          <w:rFonts w:hint="eastAsia" w:ascii="方正仿宋_GBK" w:hAnsi="方正仿宋_GBK" w:eastAsia="方正仿宋_GBK" w:cs="方正仿宋_GBK"/>
          <w:b w:val="0"/>
          <w:bCs w:val="0"/>
          <w:color w:val="auto"/>
          <w:sz w:val="32"/>
          <w:szCs w:val="40"/>
          <w:highlight w:val="none"/>
          <w:lang w:eastAsia="zh-CN"/>
        </w:rPr>
        <w:t>容（需）量电费</w:t>
      </w:r>
      <w:r>
        <w:rPr>
          <w:rFonts w:hint="eastAsia" w:ascii="方正仿宋_GBK" w:hAnsi="方正仿宋_GBK" w:eastAsia="方正仿宋_GBK" w:cs="方正仿宋_GBK"/>
          <w:b w:val="0"/>
          <w:bCs w:val="0"/>
          <w:color w:val="auto"/>
          <w:sz w:val="32"/>
          <w:szCs w:val="40"/>
          <w:highlight w:val="none"/>
        </w:rPr>
        <w:t>分析表》</w:t>
      </w:r>
      <w:r>
        <w:rPr>
          <w:rFonts w:hint="eastAsia" w:ascii="方正仿宋_GBK" w:hAnsi="方正仿宋_GBK" w:eastAsia="方正仿宋_GBK" w:cs="方正仿宋_GBK"/>
          <w:b w:val="0"/>
          <w:bCs w:val="0"/>
          <w:color w:val="auto"/>
          <w:sz w:val="32"/>
          <w:szCs w:val="40"/>
          <w:highlight w:val="none"/>
          <w:lang w:eastAsia="zh-CN"/>
        </w:rPr>
        <w:t>，6</w:t>
      </w:r>
      <w:r>
        <w:rPr>
          <w:rFonts w:hint="eastAsia" w:ascii="方正仿宋_GBK" w:hAnsi="方正仿宋_GBK" w:eastAsia="方正仿宋_GBK" w:cs="方正仿宋_GBK"/>
          <w:b w:val="0"/>
          <w:bCs w:val="0"/>
          <w:color w:val="auto"/>
          <w:sz w:val="32"/>
          <w:szCs w:val="40"/>
          <w:highlight w:val="none"/>
          <w:lang w:val="en-US" w:eastAsia="zh-CN"/>
        </w:rPr>
        <w:t>月底前完成</w:t>
      </w:r>
      <w:r>
        <w:rPr>
          <w:rFonts w:hint="eastAsia" w:ascii="方正仿宋_GBK" w:hAnsi="方正仿宋_GBK" w:eastAsia="方正仿宋_GBK" w:cs="方正仿宋_GBK"/>
          <w:color w:val="auto"/>
          <w:sz w:val="32"/>
          <w:szCs w:val="40"/>
          <w:highlight w:val="none"/>
          <w:lang w:val="en-US" w:eastAsia="zh-CN"/>
        </w:rPr>
        <w:t>生产环境发布</w:t>
      </w:r>
      <w:r>
        <w:rPr>
          <w:rFonts w:hint="eastAsia" w:ascii="方正仿宋_GBK" w:hAnsi="方正仿宋_GBK" w:eastAsia="方正仿宋_GBK" w:cs="方正仿宋_GBK"/>
          <w:color w:val="auto"/>
          <w:sz w:val="32"/>
          <w:szCs w:val="40"/>
          <w:highlight w:val="none"/>
        </w:rPr>
        <w:t>。</w:t>
      </w:r>
    </w:p>
    <w:p>
      <w:pPr>
        <w:spacing w:line="580" w:lineRule="exact"/>
        <w:ind w:firstLine="640" w:firstLineChars="200"/>
        <w:outlineLvl w:val="0"/>
        <w:rPr>
          <w:rFonts w:hint="default" w:ascii="方正黑体_GBK" w:hAnsi="方正黑体_GBK" w:eastAsia="方正黑体_GBK" w:cs="方正黑体_GBK"/>
          <w:color w:val="auto"/>
          <w:sz w:val="32"/>
          <w:szCs w:val="40"/>
          <w:highlight w:val="none"/>
          <w:lang w:val="en-US" w:eastAsia="zh-CN"/>
        </w:rPr>
      </w:pPr>
      <w:r>
        <w:rPr>
          <w:rFonts w:hint="eastAsia" w:ascii="方正黑体_GBK" w:hAnsi="方正黑体_GBK" w:eastAsia="方正黑体_GBK" w:cs="方正黑体_GBK"/>
          <w:color w:val="auto"/>
          <w:sz w:val="32"/>
          <w:szCs w:val="40"/>
          <w:highlight w:val="none"/>
          <w:lang w:val="en-US" w:eastAsia="zh-CN"/>
        </w:rPr>
        <w:t>四</w:t>
      </w:r>
      <w:r>
        <w:rPr>
          <w:rFonts w:hint="eastAsia" w:ascii="方正黑体_GBK" w:hAnsi="方正黑体_GBK" w:eastAsia="方正黑体_GBK" w:cs="方正黑体_GBK"/>
          <w:color w:val="auto"/>
          <w:sz w:val="32"/>
          <w:szCs w:val="40"/>
          <w:highlight w:val="none"/>
        </w:rPr>
        <w:t>、</w:t>
      </w:r>
      <w:r>
        <w:rPr>
          <w:rFonts w:hint="eastAsia" w:ascii="方正黑体_GBK" w:hAnsi="方正黑体_GBK" w:eastAsia="方正黑体_GBK" w:cs="方正黑体_GBK"/>
          <w:color w:val="auto"/>
          <w:sz w:val="32"/>
          <w:szCs w:val="40"/>
          <w:highlight w:val="none"/>
          <w:lang w:val="en-US" w:eastAsia="zh-CN"/>
        </w:rPr>
        <w:t>营业操作方案</w:t>
      </w:r>
    </w:p>
    <w:p>
      <w:pPr>
        <w:widowControl/>
        <w:spacing w:line="580" w:lineRule="exact"/>
        <w:ind w:firstLine="640" w:firstLineChars="200"/>
        <w:outlineLvl w:val="1"/>
        <w:rPr>
          <w:rFonts w:hint="default" w:ascii="方正楷体_GBK" w:hAnsi="方正楷体_GBK" w:eastAsia="方正楷体_GBK" w:cs="方正楷体_GBK"/>
          <w:color w:val="auto"/>
          <w:sz w:val="32"/>
          <w:szCs w:val="40"/>
          <w:highlight w:val="none"/>
          <w:lang w:val="en-US" w:eastAsia="zh-CN"/>
        </w:rPr>
      </w:pPr>
      <w:r>
        <w:rPr>
          <w:rFonts w:hint="eastAsia" w:ascii="方正楷体_GBK" w:hAnsi="方正楷体_GBK" w:eastAsia="方正楷体_GBK" w:cs="方正楷体_GBK"/>
          <w:color w:val="auto"/>
          <w:sz w:val="32"/>
          <w:szCs w:val="40"/>
          <w:highlight w:val="none"/>
          <w:lang w:val="en-US" w:eastAsia="zh-CN"/>
        </w:rPr>
        <w:t>（一）政策公示及客户告知</w:t>
      </w:r>
    </w:p>
    <w:p>
      <w:pPr>
        <w:spacing w:line="580" w:lineRule="exact"/>
        <w:ind w:firstLine="643" w:firstLineChars="200"/>
        <w:outlineLvl w:val="9"/>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1.公示公告</w:t>
      </w:r>
    </w:p>
    <w:p>
      <w:pPr>
        <w:spacing w:line="580" w:lineRule="exact"/>
        <w:ind w:firstLine="640" w:firstLineChars="200"/>
        <w:outlineLvl w:val="9"/>
        <w:rPr>
          <w:rFonts w:hint="eastAsia" w:ascii="方正仿宋_GBK" w:hAnsi="方正仿宋_GBK" w:eastAsia="方正仿宋_GBK" w:cs="方正仿宋_GBK"/>
          <w:color w:val="auto"/>
          <w:sz w:val="32"/>
          <w:szCs w:val="40"/>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5月26日前，在网上国网APP、全部</w:t>
      </w:r>
      <w:r>
        <w:rPr>
          <w:rFonts w:hint="eastAsia" w:ascii="方正仿宋_GBK" w:hAnsi="方正仿宋_GBK" w:eastAsia="方正仿宋_GBK" w:cs="方正仿宋_GBK"/>
          <w:color w:val="auto"/>
          <w:sz w:val="32"/>
          <w:szCs w:val="40"/>
          <w:highlight w:val="none"/>
          <w:lang w:val="en-US" w:eastAsia="zh-CN"/>
        </w:rPr>
        <w:t>营业场所</w:t>
      </w:r>
      <w:r>
        <w:rPr>
          <w:rFonts w:hint="eastAsia" w:ascii="方正仿宋_GBK" w:hAnsi="方正仿宋_GBK" w:eastAsia="方正仿宋_GBK" w:cs="方正仿宋_GBK"/>
          <w:bCs/>
          <w:color w:val="auto"/>
          <w:sz w:val="32"/>
          <w:szCs w:val="32"/>
          <w:highlight w:val="none"/>
          <w:lang w:val="en-US" w:eastAsia="zh-CN"/>
        </w:rPr>
        <w:t>公告</w:t>
      </w:r>
      <w:r>
        <w:rPr>
          <w:rFonts w:hint="eastAsia" w:ascii="方正仿宋_GBK" w:hAnsi="方正仿宋_GBK" w:eastAsia="方正仿宋_GBK" w:cs="方正仿宋_GBK"/>
          <w:color w:val="auto"/>
          <w:sz w:val="32"/>
          <w:szCs w:val="40"/>
          <w:highlight w:val="none"/>
          <w:lang w:val="en-US" w:eastAsia="zh-CN"/>
        </w:rPr>
        <w:t>公示</w:t>
      </w:r>
      <w:r>
        <w:rPr>
          <w:rFonts w:hint="eastAsia" w:ascii="方正仿宋_GBK" w:hAnsi="方正仿宋_GBK" w:eastAsia="方正仿宋_GBK" w:cs="方正仿宋_GBK"/>
          <w:bCs/>
          <w:color w:val="auto"/>
          <w:sz w:val="32"/>
          <w:szCs w:val="32"/>
          <w:highlight w:val="none"/>
          <w:lang w:val="en-US" w:eastAsia="zh-CN"/>
        </w:rPr>
        <w:t>《关于山东电网</w:t>
      </w:r>
      <w:r>
        <w:rPr>
          <w:rFonts w:hint="eastAsia" w:ascii="方正仿宋_GBK" w:hAnsi="方正仿宋_GBK" w:eastAsia="方正仿宋_GBK" w:cs="方正仿宋_GBK"/>
          <w:color w:val="auto"/>
          <w:sz w:val="32"/>
          <w:szCs w:val="40"/>
          <w:highlight w:val="none"/>
        </w:rPr>
        <w:t>第三周期输配电价</w:t>
      </w:r>
      <w:r>
        <w:rPr>
          <w:rFonts w:hint="eastAsia" w:ascii="方正仿宋_GBK" w:hAnsi="方正仿宋_GBK" w:eastAsia="方正仿宋_GBK" w:cs="方正仿宋_GBK"/>
          <w:color w:val="auto"/>
          <w:sz w:val="32"/>
          <w:szCs w:val="40"/>
          <w:highlight w:val="none"/>
          <w:lang w:val="en-US" w:eastAsia="zh-CN"/>
        </w:rPr>
        <w:t>及有关事项的通知》。</w:t>
      </w:r>
    </w:p>
    <w:p>
      <w:pPr>
        <w:numPr>
          <w:ilvl w:val="0"/>
          <w:numId w:val="0"/>
        </w:numPr>
        <w:spacing w:line="580" w:lineRule="exact"/>
        <w:ind w:firstLine="643" w:firstLineChars="200"/>
        <w:outlineLvl w:val="9"/>
        <w:rPr>
          <w:rFonts w:hint="eastAsia" w:ascii="方正仿宋_GBK" w:hAnsi="方正仿宋_GBK" w:eastAsia="方正仿宋_GBK" w:cs="方正仿宋_GBK"/>
          <w:b/>
          <w:bCs w:val="0"/>
          <w:color w:val="auto"/>
          <w:sz w:val="32"/>
          <w:szCs w:val="32"/>
          <w:highlight w:val="none"/>
          <w:lang w:val="en-US" w:eastAsia="zh-CN"/>
        </w:rPr>
      </w:pPr>
      <w:r>
        <w:rPr>
          <w:rFonts w:hint="eastAsia" w:ascii="方正仿宋_GBK" w:hAnsi="方正仿宋_GBK" w:eastAsia="方正仿宋_GBK" w:cs="方正仿宋_GBK"/>
          <w:b/>
          <w:bCs w:val="0"/>
          <w:color w:val="auto"/>
          <w:sz w:val="32"/>
          <w:szCs w:val="32"/>
          <w:highlight w:val="none"/>
          <w:lang w:val="en-US" w:eastAsia="zh-CN"/>
        </w:rPr>
        <w:t>2.客户告知</w:t>
      </w:r>
    </w:p>
    <w:p>
      <w:pPr>
        <w:numPr>
          <w:ilvl w:val="0"/>
          <w:numId w:val="0"/>
        </w:numPr>
        <w:spacing w:line="580" w:lineRule="exact"/>
        <w:ind w:firstLine="640" w:firstLineChars="200"/>
        <w:outlineLvl w:val="9"/>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对全体高压工商业客户，采取书面告知模式，5月29日前，完成书面告知工作，并留存相关回执。告知模板详见附件1《输配电价调整公告（山东模板）》。</w:t>
      </w:r>
    </w:p>
    <w:p>
      <w:pPr>
        <w:numPr>
          <w:ilvl w:val="0"/>
          <w:numId w:val="0"/>
        </w:numPr>
        <w:spacing w:line="580" w:lineRule="exact"/>
        <w:ind w:firstLine="640" w:firstLineChars="200"/>
        <w:outlineLvl w:val="9"/>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color w:val="auto"/>
          <w:sz w:val="32"/>
          <w:szCs w:val="40"/>
          <w:highlight w:val="none"/>
        </w:rPr>
        <w:t>为充分保障用户利益、保障电价</w:t>
      </w:r>
      <w:r>
        <w:rPr>
          <w:rFonts w:hint="eastAsia" w:ascii="方正仿宋_GBK" w:hAnsi="方正仿宋_GBK" w:eastAsia="方正仿宋_GBK" w:cs="方正仿宋_GBK"/>
          <w:color w:val="auto"/>
          <w:sz w:val="32"/>
          <w:szCs w:val="40"/>
          <w:highlight w:val="none"/>
          <w:lang w:val="en-US" w:eastAsia="zh-CN"/>
        </w:rPr>
        <w:t>政策</w:t>
      </w:r>
      <w:r>
        <w:rPr>
          <w:rFonts w:hint="eastAsia" w:ascii="方正仿宋_GBK" w:hAnsi="方正仿宋_GBK" w:eastAsia="方正仿宋_GBK" w:cs="方正仿宋_GBK"/>
          <w:color w:val="auto"/>
          <w:sz w:val="32"/>
          <w:szCs w:val="40"/>
          <w:highlight w:val="none"/>
        </w:rPr>
        <w:t>平稳落地，对目前选择执行两部制电价的一般工商业用户，</w:t>
      </w:r>
      <w:r>
        <w:rPr>
          <w:rFonts w:hint="eastAsia" w:ascii="方正仿宋_GBK" w:hAnsi="方正仿宋_GBK" w:eastAsia="方正仿宋_GBK" w:cs="方正仿宋_GBK"/>
          <w:color w:val="auto"/>
          <w:sz w:val="32"/>
          <w:szCs w:val="40"/>
          <w:highlight w:val="none"/>
          <w:lang w:eastAsia="zh-CN"/>
        </w:rPr>
        <w:t>可在2023年6月1日之前</w:t>
      </w:r>
      <w:r>
        <w:rPr>
          <w:rFonts w:hint="eastAsia" w:ascii="方正仿宋_GBK" w:hAnsi="方正仿宋_GBK" w:eastAsia="方正仿宋_GBK" w:cs="方正仿宋_GBK"/>
          <w:color w:val="auto"/>
          <w:sz w:val="32"/>
          <w:szCs w:val="40"/>
          <w:highlight w:val="none"/>
          <w:lang w:val="en-US" w:eastAsia="zh-CN"/>
        </w:rPr>
        <w:t>选择执行</w:t>
      </w:r>
      <w:r>
        <w:rPr>
          <w:rFonts w:hint="eastAsia" w:ascii="方正仿宋_GBK" w:hAnsi="方正仿宋_GBK" w:eastAsia="方正仿宋_GBK" w:cs="方正仿宋_GBK"/>
          <w:color w:val="auto"/>
          <w:sz w:val="32"/>
          <w:szCs w:val="40"/>
          <w:highlight w:val="none"/>
          <w:lang w:eastAsia="zh-CN"/>
        </w:rPr>
        <w:t>单一制</w:t>
      </w:r>
      <w:r>
        <w:rPr>
          <w:rFonts w:hint="eastAsia" w:ascii="方正仿宋_GBK" w:hAnsi="方正仿宋_GBK" w:eastAsia="方正仿宋_GBK" w:cs="方正仿宋_GBK"/>
          <w:color w:val="auto"/>
          <w:sz w:val="32"/>
          <w:szCs w:val="40"/>
          <w:highlight w:val="none"/>
          <w:lang w:val="en-US" w:eastAsia="zh-CN"/>
        </w:rPr>
        <w:t>或</w:t>
      </w:r>
      <w:r>
        <w:rPr>
          <w:rFonts w:hint="eastAsia" w:ascii="方正仿宋_GBK" w:hAnsi="方正仿宋_GBK" w:eastAsia="方正仿宋_GBK" w:cs="方正仿宋_GBK"/>
          <w:color w:val="auto"/>
          <w:sz w:val="32"/>
          <w:szCs w:val="40"/>
          <w:highlight w:val="none"/>
          <w:lang w:eastAsia="zh-CN"/>
        </w:rPr>
        <w:t>两部制电价（</w:t>
      </w:r>
      <w:r>
        <w:rPr>
          <w:rFonts w:hint="eastAsia" w:ascii="方正仿宋_GBK" w:hAnsi="方正仿宋_GBK" w:eastAsia="方正仿宋_GBK" w:cs="方正仿宋_GBK"/>
          <w:color w:val="auto"/>
          <w:sz w:val="32"/>
          <w:szCs w:val="40"/>
          <w:highlight w:val="none"/>
          <w:lang w:val="en-US" w:eastAsia="zh-CN"/>
        </w:rPr>
        <w:t>仅限一次</w:t>
      </w:r>
      <w:r>
        <w:rPr>
          <w:rFonts w:hint="eastAsia" w:ascii="方正仿宋_GBK" w:hAnsi="方正仿宋_GBK" w:eastAsia="方正仿宋_GBK" w:cs="方正仿宋_GBK"/>
          <w:color w:val="auto"/>
          <w:sz w:val="32"/>
          <w:szCs w:val="40"/>
          <w:highlight w:val="none"/>
          <w:lang w:eastAsia="zh-CN"/>
        </w:rPr>
        <w:t>）。</w:t>
      </w:r>
    </w:p>
    <w:p>
      <w:pPr>
        <w:spacing w:line="580" w:lineRule="exact"/>
        <w:ind w:firstLine="640" w:firstLineChars="200"/>
        <w:outlineLvl w:val="9"/>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各市县公司负责为客户做好政策解释。</w:t>
      </w:r>
    </w:p>
    <w:p>
      <w:pPr>
        <w:widowControl/>
        <w:spacing w:line="580" w:lineRule="exact"/>
        <w:ind w:firstLine="640" w:firstLineChars="200"/>
        <w:outlineLvl w:val="1"/>
        <w:rPr>
          <w:rFonts w:hint="default" w:ascii="方正楷体_GBK" w:hAnsi="方正楷体_GBK" w:eastAsia="方正楷体_GBK" w:cs="方正楷体_GBK"/>
          <w:color w:val="auto"/>
          <w:sz w:val="32"/>
          <w:szCs w:val="40"/>
          <w:highlight w:val="none"/>
          <w:lang w:val="en-US" w:eastAsia="zh-CN"/>
        </w:rPr>
      </w:pPr>
      <w:r>
        <w:rPr>
          <w:rFonts w:hint="eastAsia" w:ascii="方正楷体_GBK" w:hAnsi="方正楷体_GBK" w:eastAsia="方正楷体_GBK" w:cs="方正楷体_GBK"/>
          <w:color w:val="auto"/>
          <w:sz w:val="32"/>
          <w:szCs w:val="40"/>
          <w:highlight w:val="none"/>
          <w:lang w:val="en-US" w:eastAsia="zh-CN"/>
        </w:rPr>
        <w:t>（二）政策宣贯培训</w:t>
      </w:r>
    </w:p>
    <w:p>
      <w:pPr>
        <w:spacing w:line="580" w:lineRule="exact"/>
        <w:ind w:firstLine="640" w:firstLineChars="200"/>
        <w:outlineLvl w:val="9"/>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 w:val="0"/>
          <w:bCs w:val="0"/>
          <w:color w:val="auto"/>
          <w:sz w:val="32"/>
          <w:szCs w:val="40"/>
          <w:highlight w:val="none"/>
          <w:lang w:val="en-US" w:eastAsia="zh-CN"/>
        </w:rPr>
        <w:t>省公司在5月25日前统一对市县公司开展政策宣贯培训，确保一线业务人员对此次电价政策调整</w:t>
      </w:r>
      <w:r>
        <w:rPr>
          <w:rFonts w:hint="eastAsia" w:ascii="方正仿宋_GBK" w:hAnsi="方正仿宋_GBK" w:eastAsia="方正仿宋_GBK" w:cs="方正仿宋_GBK"/>
          <w:bCs/>
          <w:color w:val="auto"/>
          <w:sz w:val="32"/>
          <w:szCs w:val="32"/>
          <w:highlight w:val="none"/>
          <w:lang w:val="en-US" w:eastAsia="zh-CN"/>
        </w:rPr>
        <w:t>内容应知尽知。</w:t>
      </w:r>
    </w:p>
    <w:p>
      <w:pPr>
        <w:widowControl/>
        <w:spacing w:line="580" w:lineRule="exact"/>
        <w:ind w:firstLine="640" w:firstLineChars="200"/>
        <w:outlineLvl w:val="1"/>
        <w:rPr>
          <w:rFonts w:hint="default" w:ascii="方正楷体_GBK" w:hAnsi="方正楷体_GBK" w:eastAsia="方正楷体_GBK" w:cs="方正楷体_GBK"/>
          <w:color w:val="auto"/>
          <w:sz w:val="32"/>
          <w:szCs w:val="40"/>
          <w:highlight w:val="none"/>
          <w:lang w:val="en-US" w:eastAsia="zh-CN"/>
        </w:rPr>
      </w:pPr>
      <w:r>
        <w:rPr>
          <w:rFonts w:hint="eastAsia" w:ascii="方正楷体_GBK" w:hAnsi="方正楷体_GBK" w:eastAsia="方正楷体_GBK" w:cs="方正楷体_GBK"/>
          <w:color w:val="auto"/>
          <w:sz w:val="32"/>
          <w:szCs w:val="40"/>
          <w:highlight w:val="none"/>
          <w:lang w:val="en-US" w:eastAsia="zh-CN"/>
        </w:rPr>
        <w:t>（三）业务受理时间界定</w:t>
      </w:r>
    </w:p>
    <w:p>
      <w:pPr>
        <w:spacing w:line="580" w:lineRule="exact"/>
        <w:ind w:firstLine="640" w:firstLineChars="200"/>
        <w:outlineLvl w:val="9"/>
        <w:rPr>
          <w:rFonts w:hint="default" w:ascii="方正仿宋_GBK" w:hAnsi="方正仿宋_GBK" w:eastAsia="方正仿宋_GBK" w:cs="方正仿宋_GBK"/>
          <w:b w:val="0"/>
          <w:bCs w:val="0"/>
          <w:color w:val="auto"/>
          <w:sz w:val="32"/>
          <w:szCs w:val="40"/>
          <w:highlight w:val="none"/>
          <w:lang w:val="en-US" w:eastAsia="zh-CN"/>
        </w:rPr>
      </w:pPr>
      <w:r>
        <w:rPr>
          <w:rFonts w:hint="eastAsia" w:ascii="方正仿宋_GBK" w:hAnsi="方正仿宋_GBK" w:eastAsia="方正仿宋_GBK" w:cs="方正仿宋_GBK"/>
          <w:b w:val="0"/>
          <w:bCs w:val="0"/>
          <w:color w:val="auto"/>
          <w:sz w:val="32"/>
          <w:szCs w:val="40"/>
          <w:highlight w:val="none"/>
          <w:lang w:val="en-US" w:eastAsia="zh-CN"/>
        </w:rPr>
        <w:t>营业厅受理。经审核客户用电类别无误后，应于客户申请当日完成系统信息录入。受理时间以营业厅受理环节开始时间为准。</w:t>
      </w:r>
    </w:p>
    <w:p>
      <w:pPr>
        <w:spacing w:line="580" w:lineRule="exact"/>
        <w:ind w:firstLine="640" w:firstLineChars="200"/>
        <w:outlineLvl w:val="9"/>
        <w:rPr>
          <w:rFonts w:hint="eastAsia" w:ascii="方正仿宋_GBK" w:hAnsi="方正仿宋_GBK" w:eastAsia="方正仿宋_GBK" w:cs="方正仿宋_GBK"/>
          <w:b w:val="0"/>
          <w:bCs w:val="0"/>
          <w:color w:val="auto"/>
          <w:sz w:val="32"/>
          <w:szCs w:val="40"/>
          <w:highlight w:val="none"/>
          <w:lang w:val="en-US" w:eastAsia="zh-CN"/>
        </w:rPr>
      </w:pPr>
      <w:r>
        <w:rPr>
          <w:rFonts w:hint="eastAsia" w:ascii="方正仿宋_GBK" w:hAnsi="方正仿宋_GBK" w:eastAsia="方正仿宋_GBK" w:cs="方正仿宋_GBK"/>
          <w:b w:val="0"/>
          <w:bCs w:val="0"/>
          <w:color w:val="auto"/>
          <w:sz w:val="32"/>
          <w:szCs w:val="40"/>
          <w:highlight w:val="none"/>
          <w:lang w:val="en-US" w:eastAsia="zh-CN"/>
        </w:rPr>
        <w:t>网上国网受理。受理时间以客户提交预受理工单时间为准。</w:t>
      </w:r>
    </w:p>
    <w:p>
      <w:pPr>
        <w:pStyle w:val="4"/>
        <w:spacing w:line="580" w:lineRule="exac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color w:val="auto"/>
          <w:sz w:val="32"/>
          <w:szCs w:val="40"/>
          <w:highlight w:val="none"/>
          <w:lang w:val="en-US" w:eastAsia="zh-CN"/>
        </w:rPr>
        <w:t>各单位要对5月31日前线上线下受理的高压新装、增容、</w:t>
      </w:r>
      <w:r>
        <w:rPr>
          <w:rFonts w:hint="eastAsia" w:ascii="方正仿宋_GBK" w:hAnsi="方正仿宋_GBK" w:eastAsia="方正仿宋_GBK" w:cs="方正仿宋_GBK"/>
          <w:color w:val="auto"/>
          <w:sz w:val="32"/>
          <w:szCs w:val="32"/>
          <w:lang w:val="en-US" w:eastAsia="zh-CN"/>
        </w:rPr>
        <w:t>过户、并户、分户、由居民农业变更至工商业的改类业务工单进行梳理，确保当日受理、当日录入。</w:t>
      </w:r>
    </w:p>
    <w:p>
      <w:pPr>
        <w:pStyle w:val="4"/>
        <w:widowControl/>
        <w:spacing w:line="580" w:lineRule="exact"/>
        <w:ind w:firstLine="640" w:firstLineChars="200"/>
        <w:outlineLvl w:val="1"/>
        <w:rPr>
          <w:rFonts w:hint="default" w:ascii="方正楷体_GBK" w:hAnsi="方正楷体_GBK" w:eastAsia="方正楷体_GBK" w:cs="方正楷体_GBK"/>
          <w:color w:val="auto"/>
          <w:sz w:val="32"/>
          <w:szCs w:val="40"/>
          <w:highlight w:val="none"/>
          <w:lang w:val="en-US" w:eastAsia="zh-CN"/>
        </w:rPr>
      </w:pPr>
      <w:r>
        <w:rPr>
          <w:rFonts w:hint="eastAsia" w:ascii="方正楷体_GBK" w:hAnsi="方正楷体_GBK" w:eastAsia="方正楷体_GBK" w:cs="方正楷体_GBK"/>
          <w:color w:val="auto"/>
          <w:sz w:val="32"/>
          <w:szCs w:val="40"/>
          <w:highlight w:val="none"/>
          <w:lang w:val="en-US" w:eastAsia="zh-CN"/>
        </w:rPr>
        <w:t>（四）业务变更处理</w:t>
      </w:r>
    </w:p>
    <w:p>
      <w:pPr>
        <w:spacing w:line="580" w:lineRule="exact"/>
        <w:ind w:firstLine="640" w:firstLineChars="200"/>
        <w:outlineLvl w:val="9"/>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1.各营业场所正常受理用户的业务变更需求，并对6月1日至输配电价调整系统新版本上线前受理的新装增容和变更业务进行收集整理，详细记录用户编号、业务类型、工单编号、变更内容及变更时间等信息。</w:t>
      </w:r>
    </w:p>
    <w:p>
      <w:pPr>
        <w:pStyle w:val="4"/>
        <w:spacing w:line="580" w:lineRule="exact"/>
        <w:ind w:firstLine="640"/>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2.请各单位5月31日前，完成需量计费客户同一台区挂接不同受电点客户数据治理（详见附表1），确保新政策执行后客户需量计费准确。</w:t>
      </w:r>
    </w:p>
    <w:p>
      <w:pPr>
        <w:pStyle w:val="4"/>
        <w:spacing w:line="580" w:lineRule="exact"/>
        <w:ind w:firstLine="640"/>
        <w:rPr>
          <w:rFonts w:hint="eastAsia" w:ascii="方正仿宋_GBK" w:hAnsi="方正仿宋_GBK" w:eastAsia="方正仿宋_GBK" w:cs="方正仿宋_GBK"/>
          <w:bCs w:val="0"/>
          <w:color w:val="auto"/>
          <w:sz w:val="32"/>
          <w:szCs w:val="40"/>
          <w:highlight w:val="none"/>
          <w:lang w:val="en-US" w:eastAsia="zh-CN"/>
        </w:rPr>
      </w:pPr>
      <w:r>
        <w:rPr>
          <w:rFonts w:hint="eastAsia" w:ascii="方正仿宋_GBK" w:hAnsi="方正仿宋_GBK" w:eastAsia="方正仿宋_GBK" w:cs="方正仿宋_GBK"/>
          <w:bCs w:val="0"/>
          <w:color w:val="auto"/>
          <w:sz w:val="32"/>
          <w:szCs w:val="40"/>
          <w:highlight w:val="none"/>
          <w:lang w:val="en-US" w:eastAsia="zh-CN"/>
        </w:rPr>
        <w:t>3.5月31日前，根据现存系统中大工业不收基本电费客户明细（详见附表2），梳理</w:t>
      </w:r>
      <w:r>
        <w:rPr>
          <w:rFonts w:hint="eastAsia" w:ascii="方正仿宋_GBK" w:hAnsi="方正仿宋_GBK" w:eastAsia="方正仿宋_GBK" w:cs="方正仿宋_GBK"/>
          <w:color w:val="auto"/>
          <w:kern w:val="2"/>
          <w:sz w:val="32"/>
          <w:szCs w:val="40"/>
          <w:highlight w:val="none"/>
          <w:lang w:val="en-US" w:eastAsia="zh-CN" w:bidi="ar-SA"/>
        </w:rPr>
        <w:t>海水淡化、污水处理、电动汽车充换电设施、港口岸电四个行业客户，核实是否对应行业分类的标准码值：海水淡化处理、污水处理及其再生利用、充换电服务业、港口岸电，对选择错误的，完成行业分类订正。</w:t>
      </w:r>
    </w:p>
    <w:p>
      <w:pPr>
        <w:spacing w:line="580" w:lineRule="exact"/>
        <w:ind w:firstLine="640" w:firstLineChars="200"/>
        <w:rPr>
          <w:rFonts w:hint="eastAsia" w:ascii="方正仿宋_GBK" w:hAnsi="方正仿宋_GBK" w:eastAsia="方正仿宋_GBK" w:cs="方正仿宋_GBK"/>
          <w:color w:val="auto"/>
          <w:sz w:val="32"/>
          <w:szCs w:val="40"/>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4.</w:t>
      </w:r>
      <w:r>
        <w:rPr>
          <w:rFonts w:hint="eastAsia" w:ascii="方正仿宋_GBK" w:hAnsi="方正仿宋_GBK" w:eastAsia="方正仿宋_GBK" w:cs="方正仿宋_GBK"/>
          <w:color w:val="auto"/>
          <w:sz w:val="32"/>
          <w:szCs w:val="40"/>
          <w:highlight w:val="none"/>
          <w:lang w:val="en-US" w:eastAsia="zh-CN"/>
        </w:rPr>
        <w:t>开展同时存在两部制及单一制定价策略的用户核查（详见附表3），对同一受电点同时存在两部制及单一制定价策略的，6月底前，完成客户告知，建议客户将受电点定价策略统一至两部制电价，保障调价后客户利益。</w:t>
      </w:r>
    </w:p>
    <w:p>
      <w:pPr>
        <w:pStyle w:val="4"/>
        <w:spacing w:line="580" w:lineRule="exact"/>
        <w:ind w:left="0" w:leftChars="0" w:firstLine="640"/>
        <w:rPr>
          <w:rFonts w:hint="eastAsia" w:ascii="方正仿宋_GBK" w:hAnsi="方正仿宋_GBK" w:eastAsia="方正仿宋_GBK" w:cs="方正仿宋_GBK"/>
          <w:color w:val="auto"/>
          <w:sz w:val="32"/>
          <w:szCs w:val="40"/>
          <w:highlight w:val="none"/>
        </w:rPr>
      </w:pPr>
      <w:r>
        <w:rPr>
          <w:rFonts w:hint="eastAsia" w:ascii="方正仿宋_GBK" w:hAnsi="方正仿宋_GBK" w:eastAsia="方正仿宋_GBK" w:cs="方正仿宋_GBK"/>
          <w:b w:val="0"/>
          <w:bCs w:val="0"/>
          <w:color w:val="auto"/>
          <w:sz w:val="32"/>
          <w:szCs w:val="40"/>
          <w:highlight w:val="none"/>
          <w:lang w:val="en-US" w:eastAsia="zh-CN"/>
        </w:rPr>
        <w:t>5.</w:t>
      </w:r>
      <w:r>
        <w:rPr>
          <w:rFonts w:hint="eastAsia" w:ascii="方正仿宋_GBK" w:hAnsi="方正仿宋_GBK" w:eastAsia="方正仿宋_GBK" w:cs="方正仿宋_GBK"/>
          <w:b w:val="0"/>
          <w:bCs w:val="0"/>
          <w:color w:val="auto"/>
          <w:sz w:val="32"/>
          <w:szCs w:val="40"/>
          <w:highlight w:val="none"/>
        </w:rPr>
        <w:t>开展</w:t>
      </w:r>
      <w:r>
        <w:rPr>
          <w:rFonts w:hint="eastAsia" w:ascii="方正仿宋_GBK" w:hAnsi="方正仿宋_GBK" w:eastAsia="方正仿宋_GBK" w:cs="方正仿宋_GBK"/>
          <w:b w:val="0"/>
          <w:bCs w:val="0"/>
          <w:color w:val="auto"/>
          <w:sz w:val="32"/>
          <w:szCs w:val="40"/>
          <w:highlight w:val="none"/>
          <w:lang w:val="en-US" w:eastAsia="zh-CN"/>
        </w:rPr>
        <w:t>多受电点用户</w:t>
      </w:r>
      <w:r>
        <w:rPr>
          <w:rFonts w:hint="eastAsia" w:ascii="方正仿宋_GBK" w:hAnsi="方正仿宋_GBK" w:eastAsia="方正仿宋_GBK" w:cs="方正仿宋_GBK"/>
          <w:b w:val="0"/>
          <w:bCs w:val="0"/>
          <w:color w:val="auto"/>
          <w:sz w:val="32"/>
          <w:szCs w:val="40"/>
          <w:highlight w:val="none"/>
        </w:rPr>
        <w:t>档案信息核查。</w:t>
      </w:r>
      <w:r>
        <w:rPr>
          <w:rFonts w:hint="eastAsia" w:ascii="方正仿宋_GBK" w:hAnsi="方正仿宋_GBK" w:eastAsia="方正仿宋_GBK" w:cs="方正仿宋_GBK"/>
          <w:color w:val="auto"/>
          <w:sz w:val="32"/>
          <w:szCs w:val="40"/>
          <w:highlight w:val="none"/>
        </w:rPr>
        <w:t>6月30日前</w:t>
      </w:r>
      <w:r>
        <w:rPr>
          <w:rFonts w:hint="eastAsia" w:ascii="方正仿宋_GBK" w:hAnsi="方正仿宋_GBK" w:eastAsia="方正仿宋_GBK" w:cs="方正仿宋_GBK"/>
          <w:bCs/>
          <w:color w:val="auto"/>
          <w:sz w:val="32"/>
          <w:szCs w:val="32"/>
          <w:highlight w:val="none"/>
        </w:rPr>
        <w:t>，</w:t>
      </w:r>
      <w:r>
        <w:rPr>
          <w:rFonts w:hint="eastAsia" w:ascii="方正仿宋_GBK" w:hAnsi="方正仿宋_GBK" w:eastAsia="方正仿宋_GBK" w:cs="方正仿宋_GBK"/>
          <w:bCs/>
          <w:color w:val="auto"/>
          <w:sz w:val="32"/>
          <w:szCs w:val="32"/>
          <w:highlight w:val="none"/>
          <w:lang w:val="en-US" w:eastAsia="zh-CN"/>
        </w:rPr>
        <w:t>组织</w:t>
      </w:r>
      <w:r>
        <w:rPr>
          <w:rFonts w:hint="eastAsia" w:ascii="方正楷体_GBK" w:hAnsi="方正楷体_GBK" w:eastAsia="方正楷体_GBK" w:cs="方正楷体_GBK"/>
          <w:b w:val="0"/>
          <w:bCs w:val="0"/>
          <w:color w:val="auto"/>
          <w:sz w:val="32"/>
          <w:szCs w:val="40"/>
          <w:highlight w:val="none"/>
          <w:lang w:val="en-US" w:eastAsia="zh-CN"/>
        </w:rPr>
        <w:t>核查</w:t>
      </w:r>
      <w:r>
        <w:rPr>
          <w:rFonts w:hint="eastAsia" w:ascii="方正仿宋_GBK" w:hAnsi="方正仿宋_GBK" w:eastAsia="方正仿宋_GBK" w:cs="方正仿宋_GBK"/>
          <w:color w:val="auto"/>
          <w:sz w:val="32"/>
          <w:szCs w:val="40"/>
          <w:highlight w:val="none"/>
          <w:lang w:val="en-US" w:eastAsia="zh-CN"/>
        </w:rPr>
        <w:t>多受电点、多电源用户（详见附表4）的</w:t>
      </w:r>
      <w:r>
        <w:rPr>
          <w:rFonts w:hint="eastAsia" w:ascii="方正仿宋_GBK" w:hAnsi="方正仿宋_GBK" w:eastAsia="方正仿宋_GBK" w:cs="方正仿宋_GBK"/>
          <w:color w:val="auto"/>
          <w:sz w:val="32"/>
          <w:szCs w:val="40"/>
          <w:highlight w:val="none"/>
        </w:rPr>
        <w:t>用电性质、合同容量、供电方式、受电点下的变压器容量及运行方式等</w:t>
      </w:r>
      <w:r>
        <w:rPr>
          <w:rFonts w:hint="eastAsia" w:ascii="方正仿宋_GBK" w:hAnsi="方正仿宋_GBK" w:eastAsia="方正仿宋_GBK" w:cs="方正仿宋_GBK"/>
          <w:color w:val="auto"/>
          <w:sz w:val="32"/>
          <w:szCs w:val="40"/>
          <w:highlight w:val="none"/>
          <w:lang w:val="en-US" w:eastAsia="zh-CN"/>
        </w:rPr>
        <w:t>系统档案</w:t>
      </w:r>
      <w:r>
        <w:rPr>
          <w:rFonts w:hint="eastAsia" w:ascii="方正仿宋_GBK" w:hAnsi="方正仿宋_GBK" w:eastAsia="方正仿宋_GBK" w:cs="方正仿宋_GBK"/>
          <w:color w:val="auto"/>
          <w:sz w:val="32"/>
          <w:szCs w:val="40"/>
          <w:highlight w:val="none"/>
        </w:rPr>
        <w:t>信息</w:t>
      </w:r>
      <w:r>
        <w:rPr>
          <w:rFonts w:hint="eastAsia" w:ascii="方正仿宋_GBK" w:hAnsi="方正仿宋_GBK" w:eastAsia="方正仿宋_GBK" w:cs="方正仿宋_GBK"/>
          <w:color w:val="auto"/>
          <w:sz w:val="32"/>
          <w:szCs w:val="40"/>
          <w:highlight w:val="none"/>
          <w:lang w:val="en-US" w:eastAsia="zh-CN"/>
        </w:rPr>
        <w:t>与</w:t>
      </w:r>
      <w:r>
        <w:rPr>
          <w:rFonts w:hint="eastAsia" w:ascii="方正仿宋_GBK" w:hAnsi="方正仿宋_GBK" w:eastAsia="方正仿宋_GBK" w:cs="方正仿宋_GBK"/>
          <w:bCs/>
          <w:color w:val="auto"/>
          <w:sz w:val="32"/>
          <w:szCs w:val="32"/>
          <w:highlight w:val="none"/>
        </w:rPr>
        <w:t>现场用电情况一致性</w:t>
      </w:r>
      <w:r>
        <w:rPr>
          <w:rFonts w:hint="eastAsia" w:ascii="方正仿宋_GBK" w:hAnsi="方正仿宋_GBK" w:eastAsia="方正仿宋_GBK" w:cs="方正仿宋_GBK"/>
          <w:color w:val="auto"/>
          <w:sz w:val="32"/>
          <w:szCs w:val="40"/>
          <w:highlight w:val="none"/>
        </w:rPr>
        <w:t>，</w:t>
      </w:r>
      <w:r>
        <w:rPr>
          <w:rFonts w:hint="eastAsia" w:ascii="方正仿宋_GBK" w:hAnsi="方正仿宋_GBK" w:eastAsia="方正仿宋_GBK" w:cs="方正仿宋_GBK"/>
          <w:color w:val="auto"/>
          <w:sz w:val="32"/>
          <w:szCs w:val="40"/>
          <w:highlight w:val="none"/>
          <w:lang w:val="en-US" w:eastAsia="zh-CN"/>
        </w:rPr>
        <w:t>及时</w:t>
      </w:r>
      <w:r>
        <w:rPr>
          <w:rFonts w:hint="eastAsia" w:ascii="方正仿宋_GBK" w:hAnsi="方正仿宋_GBK" w:eastAsia="方正仿宋_GBK" w:cs="方正仿宋_GBK"/>
          <w:color w:val="auto"/>
          <w:sz w:val="32"/>
          <w:szCs w:val="40"/>
          <w:highlight w:val="none"/>
        </w:rPr>
        <w:t>修正系统档案</w:t>
      </w:r>
      <w:r>
        <w:rPr>
          <w:rFonts w:hint="eastAsia" w:ascii="方正仿宋_GBK" w:hAnsi="方正仿宋_GBK" w:eastAsia="方正仿宋_GBK" w:cs="方正仿宋_GBK"/>
          <w:color w:val="auto"/>
          <w:sz w:val="32"/>
          <w:szCs w:val="40"/>
          <w:highlight w:val="none"/>
          <w:lang w:val="en-US" w:eastAsia="zh-CN"/>
        </w:rPr>
        <w:t>错误，</w:t>
      </w:r>
      <w:r>
        <w:rPr>
          <w:rFonts w:hint="eastAsia" w:ascii="方正仿宋_GBK" w:hAnsi="方正仿宋_GBK" w:eastAsia="方正仿宋_GBK" w:cs="方正仿宋_GBK"/>
          <w:color w:val="auto"/>
          <w:sz w:val="32"/>
          <w:szCs w:val="40"/>
          <w:highlight w:val="none"/>
        </w:rPr>
        <w:t>重签供用电合同，</w:t>
      </w:r>
      <w:r>
        <w:rPr>
          <w:rFonts w:hint="eastAsia" w:ascii="方正仿宋_GBK" w:hAnsi="方正仿宋_GBK" w:eastAsia="方正仿宋_GBK" w:cs="方正仿宋_GBK"/>
          <w:bCs/>
          <w:color w:val="auto"/>
          <w:sz w:val="32"/>
          <w:szCs w:val="32"/>
          <w:highlight w:val="none"/>
        </w:rPr>
        <w:t>确保执行需量电价</w:t>
      </w:r>
      <w:r>
        <w:rPr>
          <w:rFonts w:hint="eastAsia" w:ascii="方正仿宋_GBK" w:hAnsi="方正仿宋_GBK" w:eastAsia="方正仿宋_GBK" w:cs="方正仿宋_GBK"/>
          <w:bCs/>
          <w:color w:val="auto"/>
          <w:sz w:val="32"/>
          <w:szCs w:val="32"/>
          <w:highlight w:val="none"/>
          <w:lang w:val="en-US" w:eastAsia="zh-CN"/>
        </w:rPr>
        <w:t>电费</w:t>
      </w:r>
      <w:r>
        <w:rPr>
          <w:rFonts w:hint="eastAsia" w:ascii="方正仿宋_GBK" w:hAnsi="方正仿宋_GBK" w:eastAsia="方正仿宋_GBK" w:cs="方正仿宋_GBK"/>
          <w:bCs/>
          <w:color w:val="auto"/>
          <w:sz w:val="32"/>
          <w:szCs w:val="32"/>
          <w:highlight w:val="none"/>
        </w:rPr>
        <w:t>计算准确</w:t>
      </w:r>
      <w:r>
        <w:rPr>
          <w:rFonts w:hint="eastAsia" w:ascii="方正仿宋_GBK" w:hAnsi="方正仿宋_GBK" w:eastAsia="方正仿宋_GBK" w:cs="方正仿宋_GBK"/>
          <w:color w:val="auto"/>
          <w:sz w:val="32"/>
          <w:szCs w:val="40"/>
          <w:highlight w:val="none"/>
        </w:rPr>
        <w:t>。</w:t>
      </w:r>
    </w:p>
    <w:p>
      <w:pPr>
        <w:pStyle w:val="4"/>
        <w:spacing w:line="580" w:lineRule="exact"/>
        <w:ind w:left="0" w:leftChars="0" w:firstLine="640"/>
        <w:rPr>
          <w:rFonts w:hint="eastAsia" w:ascii="方正仿宋_GBK" w:hAnsi="方正仿宋_GBK" w:eastAsia="方正仿宋_GBK" w:cs="方正仿宋_GBK"/>
          <w:color w:val="auto"/>
          <w:sz w:val="32"/>
          <w:szCs w:val="40"/>
          <w:highlight w:val="none"/>
          <w:lang w:val="en-US" w:eastAsia="zh-CN"/>
        </w:rPr>
      </w:pPr>
      <w:r>
        <w:rPr>
          <w:rFonts w:hint="eastAsia" w:ascii="方正仿宋_GBK" w:hAnsi="方正仿宋_GBK" w:eastAsia="方正仿宋_GBK" w:cs="方正仿宋_GBK"/>
          <w:color w:val="auto"/>
          <w:sz w:val="32"/>
          <w:szCs w:val="40"/>
          <w:highlight w:val="none"/>
          <w:lang w:val="en-US" w:eastAsia="zh-CN"/>
        </w:rPr>
        <w:t>6.对6月1日至6月15日处于过户、销户清算环节的客户，市县公司应及时告知，需营销系统具备清算条件后，方可完成清算和业务归档。</w:t>
      </w:r>
    </w:p>
    <w:p>
      <w:pPr>
        <w:pStyle w:val="4"/>
        <w:spacing w:line="580" w:lineRule="exact"/>
        <w:ind w:left="0" w:leftChars="0" w:firstLine="640"/>
        <w:rPr>
          <w:rFonts w:hint="default" w:ascii="方正仿宋_GBK" w:hAnsi="方正仿宋_GBK" w:eastAsia="方正仿宋_GBK" w:cs="方正仿宋_GBK"/>
          <w:color w:val="auto"/>
          <w:sz w:val="32"/>
          <w:szCs w:val="40"/>
          <w:highlight w:val="none"/>
          <w:lang w:val="en-US" w:eastAsia="zh-CN"/>
        </w:rPr>
      </w:pPr>
      <w:r>
        <w:rPr>
          <w:rFonts w:hint="eastAsia" w:ascii="方正仿宋_GBK" w:hAnsi="方正仿宋_GBK" w:eastAsia="方正仿宋_GBK" w:cs="方正仿宋_GBK"/>
          <w:color w:val="auto"/>
          <w:sz w:val="32"/>
          <w:szCs w:val="40"/>
          <w:highlight w:val="none"/>
          <w:lang w:val="en-US" w:eastAsia="zh-CN"/>
        </w:rPr>
        <w:t>7.市县公司要加强高压客户更名业务管控，常态开展业务稽查检查，确保资料信息真实准确、业务合格规范。</w:t>
      </w:r>
    </w:p>
    <w:p>
      <w:pPr>
        <w:widowControl/>
        <w:spacing w:line="580" w:lineRule="exact"/>
        <w:ind w:firstLine="640" w:firstLineChars="200"/>
        <w:outlineLvl w:val="1"/>
        <w:rPr>
          <w:rFonts w:hint="default" w:ascii="方正楷体_GBK" w:hAnsi="方正楷体_GBK" w:eastAsia="方正楷体_GBK" w:cs="方正楷体_GBK"/>
          <w:color w:val="auto"/>
          <w:sz w:val="32"/>
          <w:szCs w:val="40"/>
          <w:highlight w:val="none"/>
          <w:lang w:val="en-US" w:eastAsia="zh-CN"/>
        </w:rPr>
      </w:pPr>
      <w:r>
        <w:rPr>
          <w:rFonts w:hint="eastAsia" w:ascii="方正楷体_GBK" w:hAnsi="方正楷体_GBK" w:eastAsia="方正楷体_GBK" w:cs="方正楷体_GBK"/>
          <w:color w:val="auto"/>
          <w:sz w:val="32"/>
          <w:szCs w:val="40"/>
          <w:highlight w:val="none"/>
          <w:lang w:val="en-US" w:eastAsia="zh-CN"/>
        </w:rPr>
        <w:t>（五）差错电费退补</w:t>
      </w:r>
    </w:p>
    <w:p>
      <w:pPr>
        <w:spacing w:line="580" w:lineRule="exact"/>
        <w:ind w:firstLine="640" w:firstLineChars="200"/>
        <w:outlineLvl w:val="9"/>
        <w:rPr>
          <w:rFonts w:hint="default"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bCs/>
          <w:color w:val="auto"/>
          <w:sz w:val="32"/>
          <w:szCs w:val="32"/>
          <w:highlight w:val="none"/>
          <w:lang w:val="en-US" w:eastAsia="zh-CN"/>
        </w:rPr>
        <w:t>各单位需在7月20日前对6月1日至输配电价调整系统新版本上线前受理的变更业务产生的变更电费进行退补。</w:t>
      </w:r>
    </w:p>
    <w:p>
      <w:pPr>
        <w:spacing w:line="580" w:lineRule="exact"/>
        <w:ind w:firstLine="640" w:firstLineChars="200"/>
        <w:outlineLvl w:val="0"/>
        <w:rPr>
          <w:rFonts w:hint="eastAsia" w:ascii="方正黑体_GBK" w:hAnsi="方正黑体_GBK" w:eastAsia="方正黑体_GBK" w:cs="方正黑体_GBK"/>
          <w:color w:val="auto"/>
          <w:sz w:val="32"/>
          <w:szCs w:val="40"/>
          <w:highlight w:val="none"/>
        </w:rPr>
      </w:pPr>
      <w:r>
        <w:rPr>
          <w:rFonts w:hint="eastAsia" w:ascii="方正黑体_GBK" w:hAnsi="方正黑体_GBK" w:eastAsia="方正黑体_GBK" w:cs="方正黑体_GBK"/>
          <w:color w:val="auto"/>
          <w:sz w:val="32"/>
          <w:szCs w:val="40"/>
          <w:highlight w:val="none"/>
          <w:lang w:val="en-US" w:eastAsia="zh-CN"/>
        </w:rPr>
        <w:t>五</w:t>
      </w:r>
      <w:r>
        <w:rPr>
          <w:rFonts w:hint="eastAsia" w:ascii="方正黑体_GBK" w:hAnsi="方正黑体_GBK" w:eastAsia="方正黑体_GBK" w:cs="方正黑体_GBK"/>
          <w:color w:val="auto"/>
          <w:sz w:val="32"/>
          <w:szCs w:val="40"/>
          <w:highlight w:val="none"/>
        </w:rPr>
        <w:t>、工作</w:t>
      </w:r>
      <w:r>
        <w:rPr>
          <w:rFonts w:hint="eastAsia" w:ascii="方正黑体_GBK" w:hAnsi="方正黑体_GBK" w:eastAsia="方正黑体_GBK" w:cs="方正黑体_GBK"/>
          <w:color w:val="auto"/>
          <w:sz w:val="32"/>
          <w:szCs w:val="40"/>
          <w:highlight w:val="none"/>
          <w:lang w:val="en-US" w:eastAsia="zh-CN"/>
        </w:rPr>
        <w:t>任务</w:t>
      </w:r>
    </w:p>
    <w:p>
      <w:pPr>
        <w:spacing w:line="580" w:lineRule="exact"/>
        <w:ind w:firstLine="640" w:firstLineChars="200"/>
        <w:rPr>
          <w:rFonts w:hint="eastAsia" w:ascii="方正仿宋_GBK" w:hAnsi="方正仿宋_GBK" w:eastAsia="方正仿宋_GBK" w:cs="方正仿宋_GBK"/>
          <w:b w:val="0"/>
          <w:bCs/>
          <w:color w:val="auto"/>
          <w:sz w:val="32"/>
          <w:szCs w:val="40"/>
          <w:highlight w:val="none"/>
          <w:lang w:val="en-US" w:eastAsia="zh-CN"/>
        </w:rPr>
      </w:pP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lang w:val="en-US" w:eastAsia="zh-CN"/>
        </w:rPr>
        <w:t>一</w:t>
      </w: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rPr>
        <w:t>加强与政府部门的沟通。</w:t>
      </w:r>
      <w:r>
        <w:rPr>
          <w:rFonts w:hint="eastAsia" w:ascii="方正仿宋_GBK" w:hAnsi="方正仿宋_GBK" w:eastAsia="方正仿宋_GBK" w:cs="方正仿宋_GBK"/>
          <w:b/>
          <w:bCs w:val="0"/>
          <w:color w:val="auto"/>
          <w:sz w:val="32"/>
          <w:szCs w:val="32"/>
          <w:highlight w:val="none"/>
        </w:rPr>
        <w:t>各</w:t>
      </w:r>
      <w:r>
        <w:rPr>
          <w:rFonts w:hint="eastAsia" w:ascii="方正仿宋_GBK" w:hAnsi="方正仿宋_GBK" w:eastAsia="方正仿宋_GBK" w:cs="方正仿宋_GBK"/>
          <w:b/>
          <w:bCs w:val="0"/>
          <w:color w:val="auto"/>
          <w:sz w:val="32"/>
          <w:szCs w:val="32"/>
          <w:highlight w:val="none"/>
          <w:lang w:val="en-US" w:eastAsia="zh-CN"/>
        </w:rPr>
        <w:t>市县</w:t>
      </w:r>
      <w:r>
        <w:rPr>
          <w:rFonts w:hint="eastAsia" w:ascii="方正仿宋_GBK" w:hAnsi="方正仿宋_GBK" w:eastAsia="方正仿宋_GBK" w:cs="方正仿宋_GBK"/>
          <w:b/>
          <w:bCs w:val="0"/>
          <w:color w:val="auto"/>
          <w:sz w:val="32"/>
          <w:szCs w:val="32"/>
          <w:highlight w:val="none"/>
        </w:rPr>
        <w:t>公司</w:t>
      </w:r>
      <w:r>
        <w:rPr>
          <w:rFonts w:hint="eastAsia" w:ascii="方正仿宋_GBK" w:hAnsi="方正仿宋_GBK" w:eastAsia="方正仿宋_GBK" w:cs="方正仿宋_GBK"/>
          <w:bCs/>
          <w:color w:val="auto"/>
          <w:sz w:val="32"/>
          <w:szCs w:val="32"/>
          <w:highlight w:val="none"/>
        </w:rPr>
        <w:t>营销、财务部门要加强与当地政府部门的联系，相关情况及时沟通汇报，实现政策平稳实施、有效落地，营造良好的外</w:t>
      </w:r>
      <w:r>
        <w:rPr>
          <w:rFonts w:hint="eastAsia" w:ascii="方正仿宋_GBK" w:hAnsi="方正仿宋_GBK" w:eastAsia="方正仿宋_GBK" w:cs="方正仿宋_GBK"/>
          <w:b w:val="0"/>
          <w:bCs/>
          <w:color w:val="auto"/>
          <w:sz w:val="32"/>
          <w:szCs w:val="32"/>
          <w:highlight w:val="none"/>
        </w:rPr>
        <w:t>部氛围</w:t>
      </w:r>
      <w:r>
        <w:rPr>
          <w:rFonts w:hint="eastAsia" w:ascii="方正仿宋_GBK" w:hAnsi="方正仿宋_GBK" w:eastAsia="方正仿宋_GBK" w:cs="方正仿宋_GBK"/>
          <w:b w:val="0"/>
          <w:bCs/>
          <w:color w:val="auto"/>
          <w:sz w:val="32"/>
          <w:szCs w:val="32"/>
          <w:highlight w:val="none"/>
          <w:lang w:eastAsia="zh-CN"/>
        </w:rPr>
        <w:t>；</w:t>
      </w:r>
      <w:r>
        <w:rPr>
          <w:rFonts w:hint="eastAsia" w:ascii="方正仿宋_GBK" w:hAnsi="方正仿宋_GBK" w:eastAsia="方正仿宋_GBK" w:cs="方正仿宋_GBK"/>
          <w:b/>
          <w:bCs w:val="0"/>
          <w:color w:val="auto"/>
          <w:sz w:val="32"/>
          <w:szCs w:val="32"/>
          <w:highlight w:val="none"/>
          <w:lang w:val="en-US" w:eastAsia="zh-CN"/>
        </w:rPr>
        <w:t>省公司</w:t>
      </w:r>
      <w:r>
        <w:rPr>
          <w:rFonts w:hint="eastAsia" w:ascii="方正仿宋_GBK" w:hAnsi="方正仿宋_GBK" w:eastAsia="方正仿宋_GBK" w:cs="方正仿宋_GBK"/>
          <w:b w:val="0"/>
          <w:bCs/>
          <w:color w:val="auto"/>
          <w:sz w:val="32"/>
          <w:szCs w:val="40"/>
          <w:highlight w:val="none"/>
          <w:lang w:val="en-US" w:eastAsia="zh-CN"/>
        </w:rPr>
        <w:t>推动政府及时修订电力市场交易规则和代理购电实施细则，确保各类价格和费用具有明确的政策依据和精准的数据支撑。</w:t>
      </w:r>
    </w:p>
    <w:p>
      <w:pPr>
        <w:spacing w:line="580" w:lineRule="exact"/>
        <w:ind w:firstLine="640" w:firstLineChars="200"/>
        <w:rPr>
          <w:rFonts w:hint="eastAsia" w:ascii="方正仿宋_GBK" w:hAnsi="方正仿宋_GBK" w:eastAsia="方正仿宋_GBK" w:cs="方正仿宋_GBK"/>
          <w:color w:val="auto"/>
          <w:sz w:val="32"/>
          <w:szCs w:val="40"/>
          <w:highlight w:val="none"/>
        </w:rPr>
      </w:pP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lang w:val="en-US" w:eastAsia="zh-CN"/>
        </w:rPr>
        <w:t>二</w:t>
      </w: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rPr>
        <w:t>做好政策宣贯培训。</w:t>
      </w:r>
      <w:r>
        <w:rPr>
          <w:rFonts w:hint="eastAsia" w:ascii="方正仿宋_GBK" w:hAnsi="方正仿宋_GBK" w:eastAsia="方正仿宋_GBK" w:cs="方正仿宋_GBK"/>
          <w:b/>
          <w:bCs w:val="0"/>
          <w:color w:val="auto"/>
          <w:sz w:val="32"/>
          <w:szCs w:val="32"/>
          <w:highlight w:val="none"/>
        </w:rPr>
        <w:t>各</w:t>
      </w:r>
      <w:r>
        <w:rPr>
          <w:rFonts w:hint="eastAsia" w:ascii="方正仿宋_GBK" w:hAnsi="方正仿宋_GBK" w:eastAsia="方正仿宋_GBK" w:cs="方正仿宋_GBK"/>
          <w:b/>
          <w:bCs w:val="0"/>
          <w:color w:val="auto"/>
          <w:sz w:val="32"/>
          <w:szCs w:val="32"/>
          <w:highlight w:val="none"/>
          <w:lang w:val="en-US" w:eastAsia="zh-CN"/>
        </w:rPr>
        <w:t>市县</w:t>
      </w:r>
      <w:r>
        <w:rPr>
          <w:rFonts w:hint="eastAsia" w:ascii="方正仿宋_GBK" w:hAnsi="方正仿宋_GBK" w:eastAsia="方正仿宋_GBK" w:cs="方正仿宋_GBK"/>
          <w:b/>
          <w:bCs w:val="0"/>
          <w:color w:val="auto"/>
          <w:sz w:val="32"/>
          <w:szCs w:val="32"/>
          <w:highlight w:val="none"/>
        </w:rPr>
        <w:t>公司</w:t>
      </w:r>
      <w:r>
        <w:rPr>
          <w:rFonts w:hint="eastAsia" w:ascii="方正仿宋_GBK" w:hAnsi="方正仿宋_GBK" w:eastAsia="方正仿宋_GBK" w:cs="方正仿宋_GBK"/>
          <w:b w:val="0"/>
          <w:bCs/>
          <w:color w:val="auto"/>
          <w:sz w:val="32"/>
          <w:szCs w:val="40"/>
          <w:highlight w:val="none"/>
          <w:lang w:val="en-US" w:eastAsia="zh-CN"/>
        </w:rPr>
        <w:t>在</w:t>
      </w:r>
      <w:r>
        <w:rPr>
          <w:rFonts w:hint="eastAsia" w:ascii="方正仿宋_GBK" w:hAnsi="方正仿宋_GBK" w:eastAsia="方正仿宋_GBK" w:cs="方正仿宋_GBK"/>
          <w:bCs/>
          <w:color w:val="auto"/>
          <w:sz w:val="32"/>
          <w:szCs w:val="40"/>
          <w:highlight w:val="none"/>
        </w:rPr>
        <w:t>5月</w:t>
      </w:r>
      <w:r>
        <w:rPr>
          <w:rFonts w:hint="eastAsia" w:ascii="方正仿宋_GBK" w:hAnsi="方正仿宋_GBK" w:eastAsia="方正仿宋_GBK" w:cs="方正仿宋_GBK"/>
          <w:color w:val="auto"/>
          <w:sz w:val="32"/>
          <w:szCs w:val="40"/>
          <w:highlight w:val="none"/>
          <w:lang w:val="en-US" w:eastAsia="zh-CN"/>
        </w:rPr>
        <w:t>27</w:t>
      </w:r>
      <w:r>
        <w:rPr>
          <w:rFonts w:hint="eastAsia" w:ascii="方正仿宋_GBK" w:hAnsi="方正仿宋_GBK" w:eastAsia="方正仿宋_GBK" w:cs="方正仿宋_GBK"/>
          <w:color w:val="auto"/>
          <w:sz w:val="32"/>
          <w:szCs w:val="40"/>
          <w:highlight w:val="none"/>
        </w:rPr>
        <w:t>日前，组织全体营销人员认真学习研读政策文件内容，重点对供电营业厅业务办理人员、电费核算人员、</w:t>
      </w:r>
      <w:r>
        <w:rPr>
          <w:rFonts w:hint="eastAsia" w:ascii="方正仿宋_GBK" w:hAnsi="方正仿宋_GBK" w:eastAsia="方正仿宋_GBK" w:cs="方正仿宋_GBK"/>
          <w:color w:val="auto"/>
          <w:sz w:val="32"/>
          <w:szCs w:val="40"/>
          <w:highlight w:val="none"/>
          <w:lang w:eastAsia="zh-CN"/>
        </w:rPr>
        <w:t>客户</w:t>
      </w:r>
      <w:r>
        <w:rPr>
          <w:rFonts w:hint="eastAsia" w:ascii="方正仿宋_GBK" w:hAnsi="方正仿宋_GBK" w:eastAsia="方正仿宋_GBK" w:cs="方正仿宋_GBK"/>
          <w:color w:val="auto"/>
          <w:sz w:val="32"/>
          <w:szCs w:val="40"/>
          <w:highlight w:val="none"/>
        </w:rPr>
        <w:t>经理</w:t>
      </w:r>
      <w:r>
        <w:rPr>
          <w:rFonts w:hint="eastAsia" w:ascii="方正仿宋_GBK" w:hAnsi="方正仿宋_GBK" w:eastAsia="方正仿宋_GBK" w:cs="方正仿宋_GBK"/>
          <w:color w:val="auto"/>
          <w:sz w:val="32"/>
          <w:szCs w:val="40"/>
          <w:highlight w:val="none"/>
          <w:lang w:eastAsia="zh-CN"/>
        </w:rPr>
        <w:t>、台区经理</w:t>
      </w:r>
      <w:r>
        <w:rPr>
          <w:rFonts w:hint="eastAsia" w:ascii="方正仿宋_GBK" w:hAnsi="方正仿宋_GBK" w:eastAsia="方正仿宋_GBK" w:cs="方正仿宋_GBK"/>
          <w:color w:val="auto"/>
          <w:sz w:val="32"/>
          <w:szCs w:val="40"/>
          <w:highlight w:val="none"/>
        </w:rPr>
        <w:t>等相关人员组织开展专题政策宣贯和培训，确保人员全覆盖、要点全掌握。</w:t>
      </w:r>
    </w:p>
    <w:p>
      <w:pPr>
        <w:spacing w:line="580" w:lineRule="exact"/>
        <w:ind w:firstLine="640" w:firstLineChars="200"/>
        <w:rPr>
          <w:rFonts w:hint="eastAsia" w:ascii="方正仿宋_GBK" w:hAnsi="方正仿宋_GBK" w:eastAsia="方正仿宋_GBK" w:cs="方正仿宋_GBK"/>
          <w:b/>
          <w:bCs/>
          <w:color w:val="auto"/>
          <w:sz w:val="32"/>
          <w:szCs w:val="40"/>
          <w:highlight w:val="none"/>
        </w:rPr>
      </w:pP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lang w:val="en-US" w:eastAsia="zh-CN"/>
        </w:rPr>
        <w:t>三</w:t>
      </w: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rPr>
        <w:t>做好政策</w:t>
      </w:r>
      <w:r>
        <w:rPr>
          <w:rFonts w:hint="eastAsia" w:ascii="方正楷体_GBK" w:hAnsi="方正楷体_GBK" w:eastAsia="方正楷体_GBK" w:cs="方正楷体_GBK"/>
          <w:b w:val="0"/>
          <w:bCs w:val="0"/>
          <w:color w:val="auto"/>
          <w:sz w:val="32"/>
          <w:szCs w:val="40"/>
          <w:highlight w:val="none"/>
          <w:lang w:val="en-US" w:eastAsia="zh-CN"/>
        </w:rPr>
        <w:t>公示和客户告知</w:t>
      </w:r>
      <w:r>
        <w:rPr>
          <w:rFonts w:hint="eastAsia" w:ascii="方正楷体_GBK" w:hAnsi="方正楷体_GBK" w:eastAsia="方正楷体_GBK" w:cs="方正楷体_GBK"/>
          <w:b w:val="0"/>
          <w:bCs w:val="0"/>
          <w:color w:val="auto"/>
          <w:sz w:val="32"/>
          <w:szCs w:val="40"/>
          <w:highlight w:val="none"/>
        </w:rPr>
        <w:t>。</w:t>
      </w:r>
      <w:r>
        <w:rPr>
          <w:rFonts w:hint="eastAsia" w:ascii="方正仿宋_GBK" w:hAnsi="方正仿宋_GBK" w:eastAsia="方正仿宋_GBK" w:cs="方正仿宋_GBK"/>
          <w:b w:val="0"/>
          <w:bCs w:val="0"/>
          <w:color w:val="auto"/>
          <w:sz w:val="32"/>
          <w:szCs w:val="40"/>
          <w:highlight w:val="none"/>
        </w:rPr>
        <w:t>即日起，</w:t>
      </w:r>
      <w:r>
        <w:rPr>
          <w:rFonts w:hint="eastAsia" w:ascii="方正仿宋_GBK" w:hAnsi="方正仿宋_GBK" w:eastAsia="方正仿宋_GBK" w:cs="方正仿宋_GBK"/>
          <w:b/>
          <w:bCs w:val="0"/>
          <w:color w:val="auto"/>
          <w:sz w:val="32"/>
          <w:szCs w:val="32"/>
          <w:highlight w:val="none"/>
        </w:rPr>
        <w:t>各</w:t>
      </w:r>
      <w:r>
        <w:rPr>
          <w:rFonts w:hint="eastAsia" w:ascii="方正仿宋_GBK" w:hAnsi="方正仿宋_GBK" w:eastAsia="方正仿宋_GBK" w:cs="方正仿宋_GBK"/>
          <w:b/>
          <w:bCs w:val="0"/>
          <w:color w:val="auto"/>
          <w:sz w:val="32"/>
          <w:szCs w:val="32"/>
          <w:highlight w:val="none"/>
          <w:lang w:val="en-US" w:eastAsia="zh-CN"/>
        </w:rPr>
        <w:t>市县</w:t>
      </w:r>
      <w:r>
        <w:rPr>
          <w:rFonts w:hint="eastAsia" w:ascii="方正仿宋_GBK" w:hAnsi="方正仿宋_GBK" w:eastAsia="方正仿宋_GBK" w:cs="方正仿宋_GBK"/>
          <w:b/>
          <w:bCs w:val="0"/>
          <w:color w:val="auto"/>
          <w:sz w:val="32"/>
          <w:szCs w:val="32"/>
          <w:highlight w:val="none"/>
        </w:rPr>
        <w:t>公司</w:t>
      </w:r>
      <w:r>
        <w:rPr>
          <w:rFonts w:hint="eastAsia" w:ascii="方正仿宋_GBK" w:hAnsi="方正仿宋_GBK" w:eastAsia="方正仿宋_GBK" w:cs="方正仿宋_GBK"/>
          <w:b w:val="0"/>
          <w:bCs w:val="0"/>
          <w:color w:val="auto"/>
          <w:sz w:val="32"/>
          <w:szCs w:val="40"/>
          <w:highlight w:val="none"/>
        </w:rPr>
        <w:t>在所有营业场所公示</w:t>
      </w:r>
      <w:r>
        <w:rPr>
          <w:rFonts w:hint="eastAsia" w:ascii="方正仿宋_GBK" w:hAnsi="方正仿宋_GBK" w:eastAsia="方正仿宋_GBK" w:cs="方正仿宋_GBK"/>
          <w:b w:val="0"/>
          <w:bCs w:val="0"/>
          <w:color w:val="auto"/>
          <w:sz w:val="32"/>
          <w:szCs w:val="40"/>
          <w:highlight w:val="none"/>
          <w:lang w:val="en-US" w:eastAsia="zh-CN"/>
        </w:rPr>
        <w:t>国家</w:t>
      </w:r>
      <w:r>
        <w:rPr>
          <w:rFonts w:hint="eastAsia" w:ascii="方正仿宋_GBK" w:hAnsi="方正仿宋_GBK" w:eastAsia="方正仿宋_GBK" w:cs="方正仿宋_GBK"/>
          <w:b w:val="0"/>
          <w:bCs w:val="0"/>
          <w:color w:val="auto"/>
          <w:sz w:val="32"/>
          <w:szCs w:val="40"/>
          <w:highlight w:val="none"/>
        </w:rPr>
        <w:t>发改委</w:t>
      </w:r>
      <w:r>
        <w:rPr>
          <w:rFonts w:hint="eastAsia" w:ascii="方正仿宋_GBK" w:hAnsi="方正仿宋_GBK" w:eastAsia="方正仿宋_GBK" w:cs="方正仿宋_GBK"/>
          <w:b w:val="0"/>
          <w:bCs w:val="0"/>
          <w:color w:val="auto"/>
          <w:sz w:val="32"/>
          <w:szCs w:val="40"/>
          <w:highlight w:val="none"/>
          <w:lang w:val="en-US" w:eastAsia="zh-CN"/>
        </w:rPr>
        <w:t>和省发改委</w:t>
      </w:r>
      <w:r>
        <w:rPr>
          <w:rFonts w:hint="eastAsia" w:ascii="方正仿宋_GBK" w:hAnsi="方正仿宋_GBK" w:eastAsia="方正仿宋_GBK" w:cs="方正仿宋_GBK"/>
          <w:b w:val="0"/>
          <w:bCs w:val="0"/>
          <w:color w:val="auto"/>
          <w:sz w:val="32"/>
          <w:szCs w:val="40"/>
          <w:highlight w:val="none"/>
        </w:rPr>
        <w:t>输配电价政策文件，</w:t>
      </w:r>
      <w:r>
        <w:rPr>
          <w:rFonts w:hint="eastAsia" w:ascii="方正仿宋_GBK" w:hAnsi="方正仿宋_GBK" w:eastAsia="方正仿宋_GBK" w:cs="方正仿宋_GBK"/>
          <w:b w:val="0"/>
          <w:bCs w:val="0"/>
          <w:color w:val="auto"/>
          <w:sz w:val="32"/>
          <w:szCs w:val="40"/>
          <w:highlight w:val="none"/>
          <w:lang w:val="en-US" w:eastAsia="zh-CN"/>
        </w:rPr>
        <w:t>并按照营业操作安排，做好高压工商业客户告知工作</w:t>
      </w:r>
      <w:r>
        <w:rPr>
          <w:rFonts w:hint="eastAsia" w:ascii="方正仿宋_GBK" w:hAnsi="方正仿宋_GBK" w:eastAsia="方正仿宋_GBK" w:cs="方正仿宋_GBK"/>
          <w:color w:val="auto"/>
          <w:sz w:val="32"/>
          <w:szCs w:val="40"/>
          <w:highlight w:val="none"/>
        </w:rPr>
        <w:t>。</w:t>
      </w:r>
      <w:r>
        <w:rPr>
          <w:rFonts w:hint="eastAsia" w:ascii="方正仿宋_GBK" w:hAnsi="方正仿宋_GBK" w:eastAsia="方正仿宋_GBK" w:cs="方正仿宋_GBK"/>
          <w:color w:val="auto"/>
          <w:sz w:val="32"/>
          <w:szCs w:val="40"/>
          <w:highlight w:val="none"/>
          <w:lang w:val="en-US" w:eastAsia="zh-CN"/>
        </w:rPr>
        <w:t>省</w:t>
      </w:r>
      <w:r>
        <w:rPr>
          <w:rFonts w:hint="eastAsia" w:ascii="方正仿宋_GBK" w:hAnsi="方正仿宋_GBK" w:eastAsia="方正仿宋_GBK" w:cs="方正仿宋_GBK"/>
          <w:b/>
          <w:bCs/>
          <w:color w:val="auto"/>
          <w:sz w:val="32"/>
          <w:szCs w:val="40"/>
          <w:highlight w:val="none"/>
          <w:lang w:val="en-US" w:eastAsia="zh-CN"/>
        </w:rPr>
        <w:t>营销服务</w:t>
      </w:r>
      <w:r>
        <w:rPr>
          <w:rFonts w:hint="eastAsia" w:ascii="方正仿宋_GBK" w:hAnsi="方正仿宋_GBK" w:eastAsia="方正仿宋_GBK" w:cs="方正仿宋_GBK"/>
          <w:b/>
          <w:bCs/>
          <w:color w:val="auto"/>
          <w:sz w:val="32"/>
          <w:szCs w:val="40"/>
          <w:highlight w:val="none"/>
        </w:rPr>
        <w:t>中心</w:t>
      </w:r>
      <w:r>
        <w:rPr>
          <w:rFonts w:hint="eastAsia" w:ascii="方正仿宋_GBK" w:hAnsi="方正仿宋_GBK" w:eastAsia="方正仿宋_GBK" w:cs="方正仿宋_GBK"/>
          <w:b w:val="0"/>
          <w:bCs w:val="0"/>
          <w:color w:val="auto"/>
          <w:sz w:val="32"/>
          <w:szCs w:val="40"/>
          <w:highlight w:val="none"/>
          <w:lang w:val="en-US" w:eastAsia="zh-CN"/>
        </w:rPr>
        <w:t>要</w:t>
      </w:r>
      <w:r>
        <w:rPr>
          <w:rFonts w:hint="eastAsia" w:ascii="方正仿宋_GBK" w:hAnsi="方正仿宋_GBK" w:eastAsia="方正仿宋_GBK" w:cs="方正仿宋_GBK"/>
          <w:b w:val="0"/>
          <w:bCs w:val="0"/>
          <w:color w:val="auto"/>
          <w:sz w:val="32"/>
          <w:szCs w:val="40"/>
          <w:highlight w:val="none"/>
        </w:rPr>
        <w:t>做好“网上国网”、95598网站等线上渠道的宣传工作</w:t>
      </w:r>
      <w:r>
        <w:rPr>
          <w:rFonts w:hint="eastAsia" w:ascii="方正仿宋_GBK" w:hAnsi="方正仿宋_GBK" w:eastAsia="方正仿宋_GBK" w:cs="方正仿宋_GBK"/>
          <w:b w:val="0"/>
          <w:bCs w:val="0"/>
          <w:color w:val="auto"/>
          <w:sz w:val="32"/>
          <w:szCs w:val="40"/>
          <w:highlight w:val="none"/>
          <w:lang w:eastAsia="zh-CN"/>
        </w:rPr>
        <w:t>；</w:t>
      </w:r>
      <w:r>
        <w:rPr>
          <w:rFonts w:hint="eastAsia" w:ascii="方正仿宋_GBK" w:hAnsi="方正仿宋_GBK" w:eastAsia="方正仿宋_GBK" w:cs="方正仿宋_GBK"/>
          <w:b w:val="0"/>
          <w:bCs w:val="0"/>
          <w:color w:val="auto"/>
          <w:sz w:val="32"/>
          <w:szCs w:val="40"/>
          <w:highlight w:val="none"/>
          <w:lang w:val="en-US" w:eastAsia="zh-CN"/>
        </w:rPr>
        <w:t>5月25日前</w:t>
      </w:r>
      <w:r>
        <w:rPr>
          <w:rFonts w:hint="eastAsia" w:ascii="方正仿宋_GBK" w:hAnsi="方正仿宋_GBK" w:eastAsia="方正仿宋_GBK" w:cs="方正仿宋_GBK"/>
          <w:b w:val="0"/>
          <w:bCs w:val="0"/>
          <w:color w:val="auto"/>
          <w:sz w:val="32"/>
          <w:szCs w:val="40"/>
          <w:highlight w:val="none"/>
        </w:rPr>
        <w:t>完成95598知识库更新，规范答复口径。</w:t>
      </w:r>
    </w:p>
    <w:p>
      <w:pPr>
        <w:spacing w:line="580" w:lineRule="exact"/>
        <w:ind w:firstLine="640" w:firstLineChars="200"/>
        <w:rPr>
          <w:rFonts w:hint="eastAsia" w:ascii="方正仿宋_GBK" w:hAnsi="方正仿宋_GBK" w:eastAsia="方正仿宋_GBK" w:cs="方正仿宋_GBK"/>
          <w:color w:val="auto"/>
          <w:sz w:val="32"/>
          <w:szCs w:val="36"/>
          <w:highlight w:val="none"/>
        </w:rPr>
      </w:pP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lang w:val="en-US" w:eastAsia="zh-CN"/>
        </w:rPr>
        <w:t>四</w:t>
      </w: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rPr>
        <w:t>强化计量采抄保障。</w:t>
      </w:r>
      <w:r>
        <w:rPr>
          <w:rFonts w:hint="eastAsia" w:ascii="方正仿宋_GBK" w:hAnsi="方正仿宋_GBK" w:eastAsia="方正仿宋_GBK" w:cs="方正仿宋_GBK"/>
          <w:b/>
          <w:bCs/>
          <w:color w:val="auto"/>
          <w:sz w:val="32"/>
          <w:szCs w:val="40"/>
          <w:highlight w:val="none"/>
        </w:rPr>
        <w:t>各</w:t>
      </w:r>
      <w:r>
        <w:rPr>
          <w:rFonts w:hint="eastAsia" w:ascii="方正仿宋_GBK" w:hAnsi="方正仿宋_GBK" w:eastAsia="方正仿宋_GBK" w:cs="方正仿宋_GBK"/>
          <w:b/>
          <w:bCs/>
          <w:color w:val="auto"/>
          <w:sz w:val="32"/>
          <w:szCs w:val="40"/>
          <w:highlight w:val="none"/>
          <w:lang w:val="en-US" w:eastAsia="zh-CN"/>
        </w:rPr>
        <w:t>市县</w:t>
      </w:r>
      <w:r>
        <w:rPr>
          <w:rFonts w:hint="eastAsia" w:ascii="方正仿宋_GBK" w:hAnsi="方正仿宋_GBK" w:eastAsia="方正仿宋_GBK" w:cs="方正仿宋_GBK"/>
          <w:b/>
          <w:bCs/>
          <w:color w:val="auto"/>
          <w:sz w:val="32"/>
          <w:szCs w:val="40"/>
          <w:highlight w:val="none"/>
        </w:rPr>
        <w:t>公司</w:t>
      </w:r>
      <w:r>
        <w:rPr>
          <w:rFonts w:hint="eastAsia" w:ascii="方正仿宋_GBK" w:hAnsi="方正仿宋_GBK" w:eastAsia="方正仿宋_GBK" w:cs="方正仿宋_GBK"/>
          <w:color w:val="auto"/>
          <w:sz w:val="32"/>
          <w:szCs w:val="40"/>
          <w:highlight w:val="none"/>
        </w:rPr>
        <w:t>应进一步加强计量、采集、抄表管理，</w:t>
      </w:r>
      <w:r>
        <w:rPr>
          <w:rFonts w:hint="eastAsia" w:ascii="方正仿宋_GBK" w:hAnsi="方正仿宋_GBK" w:eastAsia="方正仿宋_GBK" w:cs="方正仿宋_GBK"/>
          <w:color w:val="auto"/>
          <w:sz w:val="32"/>
          <w:szCs w:val="40"/>
          <w:highlight w:val="none"/>
          <w:lang w:val="en-US" w:eastAsia="zh-CN"/>
        </w:rPr>
        <w:t>持续提升计量采集准确率</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lang w:val="en-US" w:eastAsia="zh-CN"/>
        </w:rPr>
        <w:t>要</w:t>
      </w:r>
      <w:r>
        <w:rPr>
          <w:rFonts w:hint="eastAsia" w:ascii="方正仿宋_GBK" w:hAnsi="方正仿宋_GBK" w:eastAsia="方正仿宋_GBK" w:cs="方正仿宋_GBK"/>
          <w:color w:val="auto"/>
          <w:sz w:val="32"/>
          <w:szCs w:val="36"/>
          <w:highlight w:val="none"/>
        </w:rPr>
        <w:t>提前梳理100千伏安以上工商业用户计量情况，确保</w:t>
      </w:r>
      <w:r>
        <w:rPr>
          <w:rFonts w:hint="eastAsia" w:ascii="方正仿宋_GBK" w:hAnsi="方正仿宋_GBK" w:eastAsia="方正仿宋_GBK" w:cs="方正仿宋_GBK"/>
          <w:color w:val="auto"/>
          <w:sz w:val="32"/>
          <w:szCs w:val="36"/>
          <w:highlight w:val="none"/>
          <w:lang w:val="en-US" w:eastAsia="zh-CN"/>
        </w:rPr>
        <w:t>选择执行需量计费的客户</w:t>
      </w:r>
      <w:r>
        <w:rPr>
          <w:rFonts w:hint="eastAsia" w:ascii="方正仿宋_GBK" w:hAnsi="方正仿宋_GBK" w:eastAsia="方正仿宋_GBK" w:cs="方正仿宋_GBK"/>
          <w:color w:val="auto"/>
          <w:sz w:val="32"/>
          <w:szCs w:val="36"/>
          <w:highlight w:val="none"/>
          <w:lang w:eastAsia="zh-CN"/>
        </w:rPr>
        <w:t>，</w:t>
      </w:r>
      <w:r>
        <w:rPr>
          <w:rFonts w:hint="eastAsia" w:ascii="方正仿宋_GBK" w:hAnsi="方正仿宋_GBK" w:eastAsia="方正仿宋_GBK" w:cs="方正仿宋_GBK"/>
          <w:color w:val="auto"/>
          <w:sz w:val="32"/>
          <w:szCs w:val="36"/>
          <w:highlight w:val="none"/>
          <w:lang w:val="en-US" w:eastAsia="zh-CN"/>
        </w:rPr>
        <w:t>在6月1日前</w:t>
      </w:r>
      <w:r>
        <w:rPr>
          <w:rFonts w:hint="eastAsia" w:ascii="方正仿宋_GBK" w:hAnsi="方正仿宋_GBK" w:eastAsia="方正仿宋_GBK" w:cs="方正仿宋_GBK"/>
          <w:color w:val="auto"/>
          <w:sz w:val="32"/>
          <w:szCs w:val="36"/>
          <w:highlight w:val="none"/>
        </w:rPr>
        <w:t>具备最大需量计量采集能力，保障政策落地执行</w:t>
      </w:r>
      <w:r>
        <w:rPr>
          <w:rFonts w:hint="eastAsia" w:ascii="方正仿宋_GBK" w:hAnsi="方正仿宋_GBK" w:eastAsia="方正仿宋_GBK" w:cs="方正仿宋_GBK"/>
          <w:color w:val="auto"/>
          <w:sz w:val="32"/>
          <w:szCs w:val="36"/>
          <w:highlight w:val="none"/>
          <w:lang w:eastAsia="zh-CN"/>
        </w:rPr>
        <w:t>；</w:t>
      </w:r>
      <w:r>
        <w:rPr>
          <w:rFonts w:hint="eastAsia" w:ascii="方正仿宋_GBK" w:hAnsi="方正仿宋_GBK" w:eastAsia="方正仿宋_GBK" w:cs="方正仿宋_GBK"/>
          <w:color w:val="auto"/>
          <w:sz w:val="32"/>
          <w:szCs w:val="36"/>
          <w:highlight w:val="none"/>
          <w:lang w:val="en-US" w:eastAsia="zh-CN"/>
        </w:rPr>
        <w:t>对于</w:t>
      </w:r>
      <w:r>
        <w:rPr>
          <w:rFonts w:hint="eastAsia" w:ascii="方正仿宋_GBK" w:hAnsi="方正仿宋_GBK" w:eastAsia="方正仿宋_GBK" w:cs="方正仿宋_GBK"/>
          <w:color w:val="auto"/>
          <w:sz w:val="32"/>
          <w:szCs w:val="36"/>
          <w:highlight w:val="none"/>
        </w:rPr>
        <w:t>办理过户</w:t>
      </w:r>
      <w:r>
        <w:rPr>
          <w:rFonts w:hint="eastAsia" w:ascii="方正仿宋_GBK" w:hAnsi="方正仿宋_GBK" w:eastAsia="方正仿宋_GBK" w:cs="方正仿宋_GBK"/>
          <w:color w:val="auto"/>
          <w:sz w:val="32"/>
          <w:szCs w:val="36"/>
          <w:highlight w:val="none"/>
          <w:lang w:val="en-US" w:eastAsia="zh-CN"/>
        </w:rPr>
        <w:t>等</w:t>
      </w:r>
      <w:r>
        <w:rPr>
          <w:rFonts w:hint="eastAsia" w:ascii="方正仿宋_GBK" w:hAnsi="方正仿宋_GBK" w:eastAsia="方正仿宋_GBK" w:cs="方正仿宋_GBK"/>
          <w:color w:val="auto"/>
          <w:sz w:val="32"/>
          <w:szCs w:val="36"/>
          <w:highlight w:val="none"/>
        </w:rPr>
        <w:t>业务</w:t>
      </w:r>
      <w:r>
        <w:rPr>
          <w:rFonts w:hint="eastAsia" w:ascii="方正仿宋_GBK" w:hAnsi="方正仿宋_GBK" w:eastAsia="方正仿宋_GBK" w:cs="方正仿宋_GBK"/>
          <w:color w:val="auto"/>
          <w:sz w:val="32"/>
          <w:szCs w:val="36"/>
          <w:highlight w:val="none"/>
          <w:lang w:val="en-US" w:eastAsia="zh-CN"/>
        </w:rPr>
        <w:t>的</w:t>
      </w:r>
      <w:r>
        <w:rPr>
          <w:rFonts w:hint="eastAsia" w:ascii="方正仿宋_GBK" w:hAnsi="方正仿宋_GBK" w:eastAsia="方正仿宋_GBK" w:cs="方正仿宋_GBK"/>
          <w:color w:val="auto"/>
          <w:sz w:val="32"/>
          <w:szCs w:val="36"/>
          <w:highlight w:val="none"/>
        </w:rPr>
        <w:t>需量电价用户</w:t>
      </w:r>
      <w:r>
        <w:rPr>
          <w:rFonts w:hint="eastAsia" w:ascii="方正仿宋_GBK" w:hAnsi="方正仿宋_GBK" w:eastAsia="方正仿宋_GBK" w:cs="方正仿宋_GBK"/>
          <w:color w:val="auto"/>
          <w:sz w:val="32"/>
          <w:szCs w:val="36"/>
          <w:highlight w:val="none"/>
          <w:lang w:eastAsia="zh-CN"/>
        </w:rPr>
        <w:t>，</w:t>
      </w:r>
      <w:r>
        <w:rPr>
          <w:rFonts w:hint="eastAsia" w:ascii="方正仿宋_GBK" w:hAnsi="方正仿宋_GBK" w:eastAsia="方正仿宋_GBK" w:cs="方正仿宋_GBK"/>
          <w:color w:val="auto"/>
          <w:sz w:val="32"/>
          <w:szCs w:val="36"/>
          <w:highlight w:val="none"/>
        </w:rPr>
        <w:t>应清零最大需量值或换表。</w:t>
      </w:r>
    </w:p>
    <w:p>
      <w:pPr>
        <w:spacing w:line="580" w:lineRule="exact"/>
        <w:ind w:firstLine="640" w:firstLineChars="200"/>
        <w:rPr>
          <w:rFonts w:hint="eastAsia" w:ascii="方正仿宋_GBK" w:hAnsi="方正仿宋_GBK" w:eastAsia="方正仿宋_GBK" w:cs="方正仿宋_GBK"/>
          <w:color w:val="auto"/>
          <w:sz w:val="32"/>
          <w:szCs w:val="40"/>
          <w:highlight w:val="none"/>
        </w:rPr>
      </w:pP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lang w:val="en-US" w:eastAsia="zh-CN"/>
        </w:rPr>
        <w:t>五</w:t>
      </w: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rPr>
        <w:t>加强电费核算审核。</w:t>
      </w:r>
      <w:r>
        <w:rPr>
          <w:rFonts w:hint="eastAsia" w:ascii="方正仿宋_GBK" w:hAnsi="方正仿宋_GBK" w:eastAsia="方正仿宋_GBK" w:cs="方正仿宋_GBK"/>
          <w:b/>
          <w:bCs/>
          <w:color w:val="auto"/>
          <w:sz w:val="32"/>
          <w:szCs w:val="40"/>
          <w:highlight w:val="none"/>
          <w:lang w:val="en-US" w:eastAsia="zh-CN"/>
        </w:rPr>
        <w:t>营销服务中心</w:t>
      </w:r>
      <w:r>
        <w:rPr>
          <w:rFonts w:hint="eastAsia" w:ascii="方正仿宋_GBK" w:hAnsi="方正仿宋_GBK" w:eastAsia="方正仿宋_GBK" w:cs="方正仿宋_GBK"/>
          <w:color w:val="auto"/>
          <w:sz w:val="32"/>
          <w:szCs w:val="40"/>
          <w:highlight w:val="none"/>
        </w:rPr>
        <w:t>应根据</w:t>
      </w:r>
      <w:r>
        <w:rPr>
          <w:rFonts w:hint="eastAsia" w:ascii="方正仿宋_GBK" w:hAnsi="方正仿宋_GBK" w:eastAsia="方正仿宋_GBK" w:cs="方正仿宋_GBK"/>
          <w:color w:val="auto"/>
          <w:sz w:val="32"/>
          <w:szCs w:val="40"/>
          <w:highlight w:val="none"/>
          <w:lang w:val="en-US" w:eastAsia="zh-CN"/>
        </w:rPr>
        <w:t>国网</w:t>
      </w:r>
      <w:r>
        <w:rPr>
          <w:rFonts w:hint="eastAsia" w:ascii="方正仿宋_GBK" w:hAnsi="方正仿宋_GBK" w:eastAsia="方正仿宋_GBK" w:cs="方正仿宋_GBK"/>
          <w:color w:val="auto"/>
          <w:sz w:val="32"/>
          <w:szCs w:val="40"/>
          <w:highlight w:val="none"/>
        </w:rPr>
        <w:t>统一编制的核算审核规则，结合</w:t>
      </w:r>
      <w:r>
        <w:rPr>
          <w:rFonts w:hint="eastAsia" w:ascii="方正仿宋_GBK" w:hAnsi="方正仿宋_GBK" w:eastAsia="方正仿宋_GBK" w:cs="方正仿宋_GBK"/>
          <w:color w:val="auto"/>
          <w:sz w:val="32"/>
          <w:szCs w:val="40"/>
          <w:highlight w:val="none"/>
          <w:lang w:val="en-US" w:eastAsia="zh-CN"/>
        </w:rPr>
        <w:t>我省</w:t>
      </w:r>
      <w:r>
        <w:rPr>
          <w:rFonts w:hint="eastAsia" w:ascii="方正仿宋_GBK" w:hAnsi="方正仿宋_GBK" w:eastAsia="方正仿宋_GBK" w:cs="方正仿宋_GBK"/>
          <w:color w:val="auto"/>
          <w:sz w:val="32"/>
          <w:szCs w:val="40"/>
          <w:highlight w:val="none"/>
        </w:rPr>
        <w:t>业务实际进行</w:t>
      </w:r>
      <w:r>
        <w:rPr>
          <w:rFonts w:hint="eastAsia" w:ascii="方正仿宋_GBK" w:hAnsi="方正仿宋_GBK" w:eastAsia="方正仿宋_GBK" w:cs="方正仿宋_GBK"/>
          <w:color w:val="auto"/>
          <w:sz w:val="32"/>
          <w:szCs w:val="40"/>
          <w:highlight w:val="none"/>
          <w:lang w:val="en-US" w:eastAsia="zh-CN"/>
        </w:rPr>
        <w:t>进一步梳理完善</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lang w:val="en-US" w:eastAsia="zh-CN"/>
        </w:rPr>
        <w:t>周密组织</w:t>
      </w:r>
      <w:r>
        <w:rPr>
          <w:rFonts w:hint="eastAsia" w:ascii="方正仿宋_GBK" w:hAnsi="方正仿宋_GBK" w:eastAsia="方正仿宋_GBK" w:cs="方正仿宋_GBK"/>
          <w:color w:val="auto"/>
          <w:sz w:val="32"/>
          <w:szCs w:val="40"/>
          <w:highlight w:val="none"/>
        </w:rPr>
        <w:t>各类业务场景电费试算，验证算法准确性，对多受电点、多电源、转供户等复杂计费场景进行重点审核</w:t>
      </w:r>
      <w:r>
        <w:rPr>
          <w:rFonts w:hint="eastAsia" w:ascii="方正仿宋_GBK" w:hAnsi="方正仿宋_GBK" w:eastAsia="方正仿宋_GBK" w:cs="方正仿宋_GBK"/>
          <w:color w:val="auto"/>
          <w:sz w:val="32"/>
          <w:szCs w:val="40"/>
          <w:highlight w:val="none"/>
          <w:lang w:eastAsia="zh-CN"/>
        </w:rPr>
        <w:t>。</w:t>
      </w:r>
      <w:r>
        <w:rPr>
          <w:rFonts w:hint="eastAsia" w:ascii="方正仿宋_GBK" w:hAnsi="方正仿宋_GBK" w:eastAsia="方正仿宋_GBK" w:cs="方正仿宋_GBK"/>
          <w:color w:val="auto"/>
          <w:sz w:val="32"/>
          <w:szCs w:val="40"/>
          <w:highlight w:val="none"/>
        </w:rPr>
        <w:t>要做好6月1日至新算费功能适配改造完成前的过渡保障措施，</w:t>
      </w:r>
      <w:r>
        <w:rPr>
          <w:rFonts w:hint="eastAsia" w:ascii="方正仿宋_GBK" w:hAnsi="方正仿宋_GBK" w:eastAsia="方正仿宋_GBK" w:cs="方正仿宋_GBK"/>
          <w:color w:val="auto"/>
          <w:sz w:val="32"/>
          <w:szCs w:val="40"/>
          <w:highlight w:val="none"/>
          <w:lang w:val="en-US" w:eastAsia="zh-CN"/>
        </w:rPr>
        <w:t>做好人工计算及审核准备</w:t>
      </w:r>
      <w:r>
        <w:rPr>
          <w:rFonts w:hint="eastAsia" w:ascii="方正仿宋_GBK" w:hAnsi="方正仿宋_GBK" w:eastAsia="方正仿宋_GBK" w:cs="方正仿宋_GBK"/>
          <w:color w:val="auto"/>
          <w:sz w:val="32"/>
          <w:szCs w:val="40"/>
          <w:highlight w:val="none"/>
        </w:rPr>
        <w:t>，确保电费</w:t>
      </w:r>
      <w:r>
        <w:rPr>
          <w:rFonts w:hint="eastAsia" w:ascii="方正仿宋_GBK" w:hAnsi="方正仿宋_GBK" w:eastAsia="方正仿宋_GBK" w:cs="方正仿宋_GBK"/>
          <w:color w:val="auto"/>
          <w:sz w:val="32"/>
          <w:szCs w:val="40"/>
          <w:highlight w:val="none"/>
          <w:lang w:val="en-US" w:eastAsia="zh-CN"/>
        </w:rPr>
        <w:t>结算精准</w:t>
      </w:r>
      <w:r>
        <w:rPr>
          <w:rFonts w:hint="eastAsia" w:ascii="方正仿宋_GBK" w:hAnsi="方正仿宋_GBK" w:eastAsia="方正仿宋_GBK" w:cs="方正仿宋_GBK"/>
          <w:color w:val="auto"/>
          <w:sz w:val="32"/>
          <w:szCs w:val="40"/>
          <w:highlight w:val="none"/>
        </w:rPr>
        <w:t>。</w:t>
      </w:r>
    </w:p>
    <w:p>
      <w:pPr>
        <w:spacing w:line="580" w:lineRule="exact"/>
        <w:ind w:firstLine="640" w:firstLineChars="200"/>
        <w:rPr>
          <w:rFonts w:hint="eastAsia" w:ascii="方正仿宋_GBK" w:hAnsi="方正仿宋_GBK" w:eastAsia="方正仿宋_GBK" w:cs="方正仿宋_GBK"/>
          <w:b w:val="0"/>
          <w:bCs w:val="0"/>
          <w:color w:val="auto"/>
          <w:sz w:val="32"/>
          <w:szCs w:val="40"/>
          <w:highlight w:val="none"/>
        </w:rPr>
      </w:pP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lang w:val="en-US" w:eastAsia="zh-CN"/>
        </w:rPr>
        <w:t>六</w:t>
      </w:r>
      <w:r>
        <w:rPr>
          <w:rFonts w:hint="eastAsia" w:ascii="方正楷体_GBK" w:hAnsi="方正楷体_GBK" w:eastAsia="方正楷体_GBK" w:cs="方正楷体_GBK"/>
          <w:b w:val="0"/>
          <w:bCs w:val="0"/>
          <w:color w:val="auto"/>
          <w:sz w:val="32"/>
          <w:szCs w:val="40"/>
          <w:highlight w:val="none"/>
          <w:lang w:eastAsia="zh-CN"/>
        </w:rPr>
        <w:t>）</w:t>
      </w:r>
      <w:r>
        <w:rPr>
          <w:rFonts w:hint="eastAsia" w:ascii="方正楷体_GBK" w:hAnsi="方正楷体_GBK" w:eastAsia="方正楷体_GBK" w:cs="方正楷体_GBK"/>
          <w:b w:val="0"/>
          <w:bCs w:val="0"/>
          <w:color w:val="auto"/>
          <w:sz w:val="32"/>
          <w:szCs w:val="40"/>
          <w:highlight w:val="none"/>
        </w:rPr>
        <w:t>做好服务舆情监测处置</w:t>
      </w:r>
      <w:r>
        <w:rPr>
          <w:rFonts w:hint="eastAsia" w:ascii="方正楷体_GBK" w:hAnsi="方正楷体_GBK" w:eastAsia="方正楷体_GBK" w:cs="方正楷体_GBK"/>
          <w:b w:val="0"/>
          <w:bCs w:val="0"/>
          <w:color w:val="auto"/>
          <w:sz w:val="32"/>
          <w:szCs w:val="40"/>
          <w:highlight w:val="none"/>
          <w:lang w:val="en-US" w:eastAsia="zh-CN"/>
        </w:rPr>
        <w:t>和电费风险防范</w:t>
      </w:r>
      <w:r>
        <w:rPr>
          <w:rFonts w:hint="eastAsia" w:ascii="方正楷体_GBK" w:hAnsi="方正楷体_GBK" w:eastAsia="方正楷体_GBK" w:cs="方正楷体_GBK"/>
          <w:b w:val="0"/>
          <w:bCs w:val="0"/>
          <w:color w:val="auto"/>
          <w:sz w:val="32"/>
          <w:szCs w:val="40"/>
          <w:highlight w:val="none"/>
        </w:rPr>
        <w:t>。</w:t>
      </w:r>
      <w:r>
        <w:rPr>
          <w:rFonts w:hint="eastAsia" w:ascii="方正仿宋_GBK" w:hAnsi="方正仿宋_GBK" w:eastAsia="方正仿宋_GBK" w:cs="方正仿宋_GBK"/>
          <w:b/>
          <w:bCs/>
          <w:color w:val="auto"/>
          <w:sz w:val="32"/>
          <w:szCs w:val="40"/>
          <w:highlight w:val="none"/>
          <w:lang w:val="en-US" w:eastAsia="zh-CN"/>
        </w:rPr>
        <w:t>营销服务中心</w:t>
      </w:r>
      <w:r>
        <w:rPr>
          <w:rFonts w:hint="eastAsia" w:ascii="方正仿宋_GBK" w:hAnsi="方正仿宋_GBK" w:eastAsia="方正仿宋_GBK" w:cs="方正仿宋_GBK"/>
          <w:b w:val="0"/>
          <w:bCs w:val="0"/>
          <w:color w:val="auto"/>
          <w:sz w:val="32"/>
          <w:szCs w:val="40"/>
          <w:highlight w:val="none"/>
        </w:rPr>
        <w:t>要</w:t>
      </w:r>
      <w:r>
        <w:rPr>
          <w:rFonts w:hint="eastAsia" w:ascii="方正仿宋_GBK" w:hAnsi="方正仿宋_GBK" w:eastAsia="方正仿宋_GBK" w:cs="方正仿宋_GBK"/>
          <w:b w:val="0"/>
          <w:bCs w:val="0"/>
          <w:color w:val="auto"/>
          <w:sz w:val="32"/>
          <w:szCs w:val="40"/>
          <w:highlight w:val="none"/>
          <w:lang w:val="en-US" w:eastAsia="zh-CN"/>
        </w:rPr>
        <w:t>提前梳理测算我省各类用户到户电价波动情况，</w:t>
      </w:r>
      <w:r>
        <w:rPr>
          <w:rFonts w:hint="eastAsia" w:ascii="方正仿宋_GBK" w:hAnsi="方正仿宋_GBK" w:eastAsia="方正仿宋_GBK" w:cs="方正仿宋_GBK"/>
          <w:b w:val="0"/>
          <w:bCs w:val="0"/>
          <w:color w:val="auto"/>
          <w:sz w:val="32"/>
          <w:szCs w:val="40"/>
          <w:highlight w:val="none"/>
        </w:rPr>
        <w:t>高度关注政策执行过程中的用户诉求与舆论动向，及时处理相关咨询及诉求</w:t>
      </w:r>
      <w:r>
        <w:rPr>
          <w:rFonts w:hint="eastAsia" w:ascii="方正仿宋_GBK" w:hAnsi="方正仿宋_GBK" w:eastAsia="方正仿宋_GBK" w:cs="方正仿宋_GBK"/>
          <w:b w:val="0"/>
          <w:bCs w:val="0"/>
          <w:color w:val="auto"/>
          <w:sz w:val="32"/>
          <w:szCs w:val="40"/>
          <w:highlight w:val="none"/>
          <w:lang w:eastAsia="zh-CN"/>
        </w:rPr>
        <w:t>；</w:t>
      </w:r>
      <w:r>
        <w:rPr>
          <w:rFonts w:hint="eastAsia" w:ascii="方正仿宋_GBK" w:hAnsi="方正仿宋_GBK" w:eastAsia="方正仿宋_GBK" w:cs="方正仿宋_GBK"/>
          <w:b w:val="0"/>
          <w:bCs w:val="0"/>
          <w:color w:val="auto"/>
          <w:sz w:val="32"/>
          <w:szCs w:val="40"/>
          <w:highlight w:val="none"/>
          <w:lang w:val="en-US" w:eastAsia="zh-CN"/>
        </w:rPr>
        <w:t>市县公司</w:t>
      </w:r>
      <w:r>
        <w:rPr>
          <w:rFonts w:hint="eastAsia" w:ascii="方正仿宋_GBK" w:hAnsi="方正仿宋_GBK" w:eastAsia="方正仿宋_GBK" w:cs="方正仿宋_GBK"/>
          <w:b w:val="0"/>
          <w:bCs w:val="0"/>
          <w:color w:val="auto"/>
          <w:sz w:val="32"/>
          <w:szCs w:val="40"/>
          <w:highlight w:val="none"/>
        </w:rPr>
        <w:t>要做好服务舆情监测及跟踪处置，加大对用户关于电价调整问题的监测力度，及时发现苗头性、潜在性问题，最大程度预防和降低舆情事件造成的不良影响，确保不发生重大服务舆情事件。</w:t>
      </w:r>
    </w:p>
    <w:p>
      <w:pPr>
        <w:spacing w:line="580" w:lineRule="exact"/>
        <w:ind w:firstLine="640" w:firstLineChars="200"/>
        <w:rPr>
          <w:rFonts w:hint="eastAsia" w:ascii="方正黑体_GBK" w:hAnsi="方正黑体_GBK" w:eastAsia="方正黑体_GBK" w:cs="方正黑体_GBK"/>
          <w:color w:val="auto"/>
          <w:sz w:val="32"/>
          <w:szCs w:val="40"/>
          <w:highlight w:val="none"/>
        </w:rPr>
      </w:pPr>
      <w:r>
        <w:rPr>
          <w:rFonts w:hint="eastAsia" w:ascii="方正黑体_GBK" w:hAnsi="方正黑体_GBK" w:eastAsia="方正黑体_GBK" w:cs="方正黑体_GBK"/>
          <w:color w:val="auto"/>
          <w:sz w:val="32"/>
          <w:szCs w:val="40"/>
          <w:highlight w:val="none"/>
          <w:lang w:val="en-US" w:eastAsia="zh-CN"/>
        </w:rPr>
        <w:t>六</w:t>
      </w:r>
      <w:r>
        <w:rPr>
          <w:rFonts w:hint="eastAsia" w:ascii="方正黑体_GBK" w:hAnsi="方正黑体_GBK" w:eastAsia="方正黑体_GBK" w:cs="方正黑体_GBK"/>
          <w:color w:val="auto"/>
          <w:sz w:val="32"/>
          <w:szCs w:val="40"/>
          <w:highlight w:val="none"/>
        </w:rPr>
        <w:t>、</w:t>
      </w:r>
      <w:r>
        <w:rPr>
          <w:rFonts w:hint="eastAsia" w:ascii="方正黑体_GBK" w:hAnsi="方正黑体_GBK" w:eastAsia="方正黑体_GBK" w:cs="方正黑体_GBK"/>
          <w:color w:val="auto"/>
          <w:sz w:val="32"/>
          <w:szCs w:val="40"/>
          <w:highlight w:val="none"/>
          <w:lang w:val="en-US" w:eastAsia="zh-CN"/>
        </w:rPr>
        <w:t>有关要求</w:t>
      </w:r>
    </w:p>
    <w:p>
      <w:pPr>
        <w:spacing w:line="580" w:lineRule="exact"/>
        <w:ind w:firstLine="640" w:firstLineChars="200"/>
        <w:rPr>
          <w:rFonts w:hint="eastAsia" w:ascii="方正仿宋_GBK" w:hAnsi="方正仿宋_GBK" w:eastAsia="方正仿宋_GBK" w:cs="方正仿宋_GBK"/>
          <w:bCs w:val="0"/>
          <w:color w:val="auto"/>
          <w:sz w:val="32"/>
          <w:szCs w:val="40"/>
          <w:highlight w:val="none"/>
        </w:rPr>
      </w:pPr>
      <w:r>
        <w:rPr>
          <w:rFonts w:hint="eastAsia" w:ascii="方正楷体_GBK" w:hAnsi="方正楷体_GBK" w:eastAsia="方正楷体_GBK" w:cs="方正楷体_GBK"/>
          <w:b w:val="0"/>
          <w:bCs w:val="0"/>
          <w:color w:val="auto"/>
          <w:sz w:val="32"/>
          <w:szCs w:val="40"/>
          <w:highlight w:val="none"/>
        </w:rPr>
        <w:t>（一）加强组织保障。</w:t>
      </w:r>
      <w:r>
        <w:rPr>
          <w:rFonts w:hint="eastAsia" w:ascii="方正仿宋_GBK" w:hAnsi="方正仿宋_GBK" w:eastAsia="方正仿宋_GBK" w:cs="方正仿宋_GBK"/>
          <w:b w:val="0"/>
          <w:bCs w:val="0"/>
          <w:color w:val="auto"/>
          <w:sz w:val="32"/>
          <w:szCs w:val="40"/>
          <w:highlight w:val="none"/>
        </w:rPr>
        <w:t>各单位要充分认识此次电价调整工作的重要性和紧迫性，统筹组织好调整落实工作。要切实加强组织领导，深化协同配合，制定具体实施方案，明确工作重点，细化分解任务，确保落实到位。</w:t>
      </w:r>
    </w:p>
    <w:p>
      <w:pPr>
        <w:snapToGrid w:val="0"/>
        <w:spacing w:line="580" w:lineRule="exact"/>
        <w:ind w:firstLine="640" w:firstLineChars="200"/>
        <w:rPr>
          <w:rFonts w:hint="eastAsia" w:ascii="方正仿宋_GBK" w:hAnsi="方正仿宋_GBK" w:eastAsia="方正仿宋_GBK" w:cs="方正仿宋_GBK"/>
          <w:bCs/>
          <w:color w:val="auto"/>
          <w:sz w:val="32"/>
          <w:szCs w:val="32"/>
          <w:highlight w:val="none"/>
        </w:rPr>
      </w:pPr>
      <w:r>
        <w:rPr>
          <w:rFonts w:hint="eastAsia" w:ascii="方正楷体_GBK" w:hAnsi="方正楷体_GBK" w:eastAsia="方正楷体_GBK" w:cs="方正楷体_GBK"/>
          <w:bCs w:val="0"/>
          <w:color w:val="auto"/>
          <w:sz w:val="32"/>
          <w:szCs w:val="40"/>
          <w:highlight w:val="none"/>
        </w:rPr>
        <w:t>（二）强化过程管控。</w:t>
      </w:r>
      <w:r>
        <w:rPr>
          <w:rFonts w:hint="eastAsia" w:ascii="方正仿宋_GBK" w:hAnsi="方正仿宋_GBK" w:eastAsia="方正仿宋_GBK" w:cs="方正仿宋_GBK"/>
          <w:bCs/>
          <w:color w:val="auto"/>
          <w:sz w:val="32"/>
          <w:szCs w:val="32"/>
          <w:highlight w:val="none"/>
        </w:rPr>
        <w:t>各单位要明确电价调整各项任务时间节点，及时掌握工作动态，保障业务调整、系统适配和宣传培训等各项工作有序推进，规范对外答复，坚决防范舆情风险，执行中发现问题及时反馈</w:t>
      </w:r>
      <w:r>
        <w:rPr>
          <w:rFonts w:hint="eastAsia" w:ascii="方正仿宋_GBK" w:hAnsi="方正仿宋_GBK" w:eastAsia="方正仿宋_GBK" w:cs="方正仿宋_GBK"/>
          <w:bCs/>
          <w:color w:val="auto"/>
          <w:sz w:val="32"/>
          <w:szCs w:val="32"/>
          <w:highlight w:val="none"/>
          <w:lang w:val="en-US" w:eastAsia="zh-CN"/>
        </w:rPr>
        <w:t>省公司</w:t>
      </w:r>
      <w:r>
        <w:rPr>
          <w:rFonts w:hint="eastAsia" w:ascii="方正仿宋_GBK" w:hAnsi="方正仿宋_GBK" w:eastAsia="方正仿宋_GBK" w:cs="方正仿宋_GBK"/>
          <w:bCs/>
          <w:color w:val="auto"/>
          <w:sz w:val="32"/>
          <w:szCs w:val="32"/>
          <w:highlight w:val="none"/>
        </w:rPr>
        <w:t>营销部。</w:t>
      </w:r>
    </w:p>
    <w:p>
      <w:pPr>
        <w:snapToGrid w:val="0"/>
        <w:spacing w:line="580" w:lineRule="exact"/>
        <w:ind w:firstLine="640" w:firstLineChars="200"/>
        <w:rPr>
          <w:rFonts w:hint="eastAsia" w:ascii="方正仿宋_GBK" w:hAnsi="方正仿宋_GBK" w:eastAsia="方正仿宋_GBK" w:cs="方正仿宋_GBK"/>
          <w:bCs/>
          <w:color w:val="auto"/>
          <w:sz w:val="32"/>
          <w:szCs w:val="32"/>
          <w:highlight w:val="none"/>
        </w:rPr>
      </w:pPr>
      <w:r>
        <w:rPr>
          <w:rFonts w:hint="eastAsia" w:ascii="方正楷体_GBK" w:hAnsi="方正楷体_GBK" w:eastAsia="方正楷体_GBK" w:cs="方正楷体_GBK"/>
          <w:bCs w:val="0"/>
          <w:color w:val="auto"/>
          <w:sz w:val="32"/>
          <w:szCs w:val="40"/>
          <w:highlight w:val="none"/>
        </w:rPr>
        <w:t>（三）做好跟踪分析。</w:t>
      </w:r>
      <w:r>
        <w:rPr>
          <w:rFonts w:hint="eastAsia" w:ascii="方正仿宋_GBK" w:hAnsi="方正仿宋_GBK" w:eastAsia="方正仿宋_GBK" w:cs="方正仿宋_GBK"/>
          <w:bCs/>
          <w:color w:val="auto"/>
          <w:sz w:val="32"/>
          <w:szCs w:val="32"/>
          <w:highlight w:val="none"/>
        </w:rPr>
        <w:t>电价调整首月电费发行后，要认真系统分析政策调整影响情况，特别是对到户电价波动畸高、需量电价与负荷率挂钩的用户，要逐户分析，并与客户确认，确保现场受电点、在运容量等关键数据与系统一致。</w:t>
      </w:r>
    </w:p>
    <w:p>
      <w:pPr>
        <w:wordWrap/>
        <w:spacing w:line="560" w:lineRule="exact"/>
        <w:jc w:val="left"/>
        <w:textAlignment w:val="baseline"/>
        <w:rPr>
          <w:rFonts w:hint="eastAsia" w:ascii="方正仿宋_GBK" w:hAnsi="方正仿宋_GBK" w:eastAsia="方正仿宋_GBK" w:cs="Times New Roman"/>
          <w:sz w:val="32"/>
          <w:szCs w:val="20"/>
          <w:highlight w:val="none"/>
        </w:rPr>
      </w:pPr>
      <w:bookmarkStart w:id="3" w:name="_GoBack"/>
      <w:bookmarkEnd w:id="3"/>
    </w:p>
    <w:p>
      <w:pPr>
        <w:wordWrap/>
        <w:spacing w:line="560" w:lineRule="exact"/>
        <w:ind w:firstLine="640" w:firstLineChars="200"/>
        <w:jc w:val="left"/>
        <w:textAlignment w:val="baseline"/>
        <w:rPr>
          <w:rFonts w:hint="eastAsia" w:ascii="方正仿宋_GBK" w:hAnsi="方正仿宋_GBK" w:eastAsia="方正仿宋_GBK" w:cs="Times New Roman"/>
          <w:sz w:val="32"/>
          <w:szCs w:val="20"/>
          <w:highlight w:val="none"/>
          <w:lang w:val="en-US" w:eastAsia="zh-CN"/>
        </w:rPr>
      </w:pPr>
      <w:r>
        <w:rPr>
          <w:rFonts w:hint="eastAsia" w:ascii="方正仿宋_GBK" w:hAnsi="方正仿宋_GBK" w:eastAsia="方正仿宋_GBK" w:cs="Times New Roman"/>
          <w:sz w:val="32"/>
          <w:szCs w:val="20"/>
          <w:highlight w:val="none"/>
        </w:rPr>
        <w:t>联系人：</w:t>
      </w:r>
      <w:r>
        <w:rPr>
          <w:rFonts w:hint="eastAsia" w:ascii="方正仿宋_GBK" w:hAnsi="方正仿宋_GBK" w:eastAsia="方正仿宋_GBK" w:cs="Times New Roman"/>
          <w:sz w:val="32"/>
          <w:szCs w:val="20"/>
          <w:highlight w:val="none"/>
          <w:lang w:val="en-US" w:eastAsia="zh-CN"/>
        </w:rPr>
        <w:t>王旭东   0531-80126223</w:t>
      </w:r>
    </w:p>
    <w:p>
      <w:pPr>
        <w:wordWrap/>
        <w:spacing w:line="560" w:lineRule="exact"/>
        <w:ind w:firstLine="640" w:firstLineChars="200"/>
        <w:jc w:val="left"/>
        <w:textAlignment w:val="baseline"/>
        <w:rPr>
          <w:rFonts w:hint="eastAsia" w:ascii="方正仿宋_GBK" w:hAnsi="方正仿宋_GBK" w:eastAsia="方正仿宋_GBK" w:cs="Times New Roman"/>
          <w:sz w:val="32"/>
          <w:szCs w:val="20"/>
          <w:highlight w:val="none"/>
          <w:lang w:val="en-US" w:eastAsia="zh-CN"/>
        </w:rPr>
      </w:pPr>
    </w:p>
    <w:p>
      <w:pPr>
        <w:wordWrap w:val="0"/>
        <w:spacing w:line="560" w:lineRule="exact"/>
        <w:jc w:val="right"/>
        <w:textAlignment w:val="baseline"/>
        <w:rPr>
          <w:rFonts w:hint="eastAsia" w:ascii="方正仿宋_GBK" w:hAnsi="方正仿宋_GBK" w:eastAsia="方正仿宋_GBK" w:cs="Times New Roman"/>
          <w:sz w:val="32"/>
          <w:szCs w:val="20"/>
          <w:highlight w:val="none"/>
        </w:rPr>
      </w:pPr>
      <w:r>
        <w:rPr>
          <w:rFonts w:hint="eastAsia" w:ascii="方正仿宋_GBK" w:hAnsi="方正仿宋_GBK" w:eastAsia="方正仿宋_GBK" w:cs="Times New Roman"/>
          <w:sz w:val="32"/>
          <w:szCs w:val="20"/>
          <w:highlight w:val="none"/>
        </w:rPr>
        <w:t>　国网</w:t>
      </w:r>
      <w:r>
        <w:rPr>
          <w:rFonts w:hint="eastAsia" w:ascii="方正仿宋_GBK" w:hAnsi="方正仿宋_GBK" w:eastAsia="方正仿宋_GBK" w:cs="Times New Roman"/>
          <w:sz w:val="32"/>
          <w:szCs w:val="20"/>
          <w:highlight w:val="none"/>
          <w:lang w:val="en-US" w:eastAsia="zh-CN"/>
        </w:rPr>
        <w:t>山东省电力公司</w:t>
      </w:r>
      <w:r>
        <w:rPr>
          <w:rFonts w:hint="eastAsia" w:ascii="方正仿宋_GBK" w:hAnsi="方正仿宋_GBK" w:eastAsia="方正仿宋_GBK" w:cs="Times New Roman"/>
          <w:sz w:val="32"/>
          <w:szCs w:val="20"/>
          <w:highlight w:val="none"/>
        </w:rPr>
        <w:t>　　　</w:t>
      </w:r>
    </w:p>
    <w:p>
      <w:pPr>
        <w:wordWrap w:val="0"/>
        <w:spacing w:line="560" w:lineRule="exact"/>
        <w:jc w:val="right"/>
        <w:textAlignment w:val="baseline"/>
        <w:rPr>
          <w:rFonts w:hint="eastAsia"/>
        </w:rPr>
      </w:pPr>
      <w:r>
        <w:rPr>
          <w:rFonts w:hint="eastAsia" w:ascii="方正仿宋_GBK" w:hAnsi="方正仿宋_GBK" w:eastAsia="方正仿宋_GBK" w:cs="Times New Roman"/>
          <w:sz w:val="32"/>
          <w:szCs w:val="20"/>
          <w:highlight w:val="none"/>
        </w:rPr>
        <w:t>2023年5月</w:t>
      </w:r>
      <w:r>
        <w:rPr>
          <w:rFonts w:hint="eastAsia" w:ascii="方正仿宋_GBK" w:hAnsi="方正仿宋_GBK" w:eastAsia="方正仿宋_GBK" w:cs="Times New Roman"/>
          <w:sz w:val="32"/>
          <w:szCs w:val="20"/>
          <w:highlight w:val="none"/>
          <w:lang w:val="en-US" w:eastAsia="zh-CN"/>
        </w:rPr>
        <w:t>24</w:t>
      </w:r>
      <w:r>
        <w:rPr>
          <w:rFonts w:hint="eastAsia" w:ascii="方正仿宋_GBK" w:hAnsi="方正仿宋_GBK" w:eastAsia="方正仿宋_GBK" w:cs="Times New Roman"/>
          <w:sz w:val="32"/>
          <w:szCs w:val="20"/>
          <w:highlight w:val="none"/>
        </w:rPr>
        <w:t>日　　　</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CA562373-A086-4B53-BB76-E215371CDC56}"/>
  </w:font>
  <w:font w:name="方正黑体_GBK">
    <w:panose1 w:val="03000509000000000000"/>
    <w:charset w:val="86"/>
    <w:family w:val="auto"/>
    <w:pitch w:val="default"/>
    <w:sig w:usb0="00000001" w:usb1="080E0000" w:usb2="00000000" w:usb3="00000000" w:csb0="00040000" w:csb1="00000000"/>
    <w:embedRegular r:id="rId2" w:fontKey="{5E92CAD3-CE06-455B-83D5-F457733671E3}"/>
  </w:font>
  <w:font w:name="方正楷体_GBK">
    <w:panose1 w:val="03000509000000000000"/>
    <w:charset w:val="86"/>
    <w:family w:val="auto"/>
    <w:pitch w:val="default"/>
    <w:sig w:usb0="00000001" w:usb1="080E0000" w:usb2="00000000" w:usb3="00000000" w:csb0="00040000" w:csb1="00000000"/>
    <w:embedRegular r:id="rId3" w:fontKey="{3281D508-D530-4885-85B4-2675418C7FEE}"/>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embedRegular r:id="rId4" w:fontKey="{07CDE6D1-6BB0-445A-9D7D-9614823CA523}"/>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cs="宋体"/>
                              <w:sz w:val="24"/>
                              <w:szCs w:val="40"/>
                            </w:rPr>
                          </w:pPr>
                          <w:r>
                            <w:rPr>
                              <w:rFonts w:hint="eastAsia" w:ascii="宋体" w:hAnsi="宋体" w:cs="宋体"/>
                              <w:sz w:val="24"/>
                              <w:szCs w:val="40"/>
                            </w:rPr>
                            <w:t xml:space="preserve">— </w:t>
                          </w:r>
                          <w:r>
                            <w:rPr>
                              <w:rFonts w:hint="eastAsia" w:ascii="宋体" w:hAnsi="宋体" w:cs="宋体"/>
                              <w:sz w:val="24"/>
                              <w:szCs w:val="40"/>
                            </w:rPr>
                            <w:fldChar w:fldCharType="begin"/>
                          </w:r>
                          <w:r>
                            <w:rPr>
                              <w:rFonts w:hint="eastAsia" w:ascii="宋体" w:hAnsi="宋体" w:cs="宋体"/>
                              <w:sz w:val="24"/>
                              <w:szCs w:val="40"/>
                            </w:rPr>
                            <w:instrText xml:space="preserve"> PAGE  \* MERGEFORMAT </w:instrText>
                          </w:r>
                          <w:r>
                            <w:rPr>
                              <w:rFonts w:hint="eastAsia" w:ascii="宋体" w:hAnsi="宋体" w:cs="宋体"/>
                              <w:sz w:val="24"/>
                              <w:szCs w:val="40"/>
                            </w:rPr>
                            <w:fldChar w:fldCharType="separate"/>
                          </w:r>
                          <w:r>
                            <w:rPr>
                              <w:rFonts w:hint="eastAsia" w:ascii="宋体" w:hAnsi="宋体" w:cs="宋体"/>
                              <w:sz w:val="24"/>
                              <w:szCs w:val="40"/>
                            </w:rPr>
                            <w:t>1</w:t>
                          </w:r>
                          <w:r>
                            <w:rPr>
                              <w:rFonts w:hint="eastAsia" w:ascii="宋体" w:hAnsi="宋体" w:cs="宋体"/>
                              <w:sz w:val="24"/>
                              <w:szCs w:val="40"/>
                            </w:rPr>
                            <w:fldChar w:fldCharType="end"/>
                          </w:r>
                          <w:r>
                            <w:rPr>
                              <w:rFonts w:hint="eastAsia" w:ascii="宋体" w:hAnsi="宋体" w:cs="宋体"/>
                              <w:sz w:val="24"/>
                              <w:szCs w:val="40"/>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ascii="宋体" w:hAnsi="宋体" w:cs="宋体"/>
                        <w:sz w:val="24"/>
                        <w:szCs w:val="40"/>
                      </w:rPr>
                    </w:pPr>
                    <w:r>
                      <w:rPr>
                        <w:rFonts w:hint="eastAsia" w:ascii="宋体" w:hAnsi="宋体" w:cs="宋体"/>
                        <w:sz w:val="24"/>
                        <w:szCs w:val="40"/>
                      </w:rPr>
                      <w:t xml:space="preserve">— </w:t>
                    </w:r>
                    <w:r>
                      <w:rPr>
                        <w:rFonts w:hint="eastAsia" w:ascii="宋体" w:hAnsi="宋体" w:cs="宋体"/>
                        <w:sz w:val="24"/>
                        <w:szCs w:val="40"/>
                      </w:rPr>
                      <w:fldChar w:fldCharType="begin"/>
                    </w:r>
                    <w:r>
                      <w:rPr>
                        <w:rFonts w:hint="eastAsia" w:ascii="宋体" w:hAnsi="宋体" w:cs="宋体"/>
                        <w:sz w:val="24"/>
                        <w:szCs w:val="40"/>
                      </w:rPr>
                      <w:instrText xml:space="preserve"> PAGE  \* MERGEFORMAT </w:instrText>
                    </w:r>
                    <w:r>
                      <w:rPr>
                        <w:rFonts w:hint="eastAsia" w:ascii="宋体" w:hAnsi="宋体" w:cs="宋体"/>
                        <w:sz w:val="24"/>
                        <w:szCs w:val="40"/>
                      </w:rPr>
                      <w:fldChar w:fldCharType="separate"/>
                    </w:r>
                    <w:r>
                      <w:rPr>
                        <w:rFonts w:hint="eastAsia" w:ascii="宋体" w:hAnsi="宋体" w:cs="宋体"/>
                        <w:sz w:val="24"/>
                        <w:szCs w:val="40"/>
                      </w:rPr>
                      <w:t>1</w:t>
                    </w:r>
                    <w:r>
                      <w:rPr>
                        <w:rFonts w:hint="eastAsia" w:ascii="宋体" w:hAnsi="宋体" w:cs="宋体"/>
                        <w:sz w:val="24"/>
                        <w:szCs w:val="40"/>
                      </w:rPr>
                      <w:fldChar w:fldCharType="end"/>
                    </w:r>
                    <w:r>
                      <w:rPr>
                        <w:rFonts w:hint="eastAsia" w:ascii="宋体" w:hAnsi="宋体" w:cs="宋体"/>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NDdmZjU2NTBhY2ZiNmViZTQxZWY4NTZiNzU4YjIifQ=="/>
  </w:docVars>
  <w:rsids>
    <w:rsidRoot w:val="008B081B"/>
    <w:rsid w:val="004B5FCD"/>
    <w:rsid w:val="005908A2"/>
    <w:rsid w:val="00721BDD"/>
    <w:rsid w:val="008B081B"/>
    <w:rsid w:val="009A6EDC"/>
    <w:rsid w:val="00A04E65"/>
    <w:rsid w:val="00DE5363"/>
    <w:rsid w:val="00E86332"/>
    <w:rsid w:val="00F444E5"/>
    <w:rsid w:val="01167762"/>
    <w:rsid w:val="013E575A"/>
    <w:rsid w:val="01561AA9"/>
    <w:rsid w:val="016F7127"/>
    <w:rsid w:val="018C16E0"/>
    <w:rsid w:val="03A64B93"/>
    <w:rsid w:val="04044FDE"/>
    <w:rsid w:val="04047DEF"/>
    <w:rsid w:val="052911CA"/>
    <w:rsid w:val="068B1EC9"/>
    <w:rsid w:val="07143FAC"/>
    <w:rsid w:val="07D243CD"/>
    <w:rsid w:val="07D57174"/>
    <w:rsid w:val="0828199A"/>
    <w:rsid w:val="083B34C1"/>
    <w:rsid w:val="086202E7"/>
    <w:rsid w:val="092834B3"/>
    <w:rsid w:val="09AF5FD8"/>
    <w:rsid w:val="09FB47F3"/>
    <w:rsid w:val="0A917B62"/>
    <w:rsid w:val="0A9A27B9"/>
    <w:rsid w:val="0AF649B6"/>
    <w:rsid w:val="0B083603"/>
    <w:rsid w:val="0B121E66"/>
    <w:rsid w:val="0BA33CBF"/>
    <w:rsid w:val="0BF40511"/>
    <w:rsid w:val="0C013622"/>
    <w:rsid w:val="0C405504"/>
    <w:rsid w:val="0C5256BC"/>
    <w:rsid w:val="0DCD2DC7"/>
    <w:rsid w:val="0DDA652E"/>
    <w:rsid w:val="0EF44384"/>
    <w:rsid w:val="0F5F0397"/>
    <w:rsid w:val="0F8E07F7"/>
    <w:rsid w:val="108441FE"/>
    <w:rsid w:val="10F521C0"/>
    <w:rsid w:val="1177559B"/>
    <w:rsid w:val="12487BA3"/>
    <w:rsid w:val="12515408"/>
    <w:rsid w:val="12632435"/>
    <w:rsid w:val="133B6958"/>
    <w:rsid w:val="13655850"/>
    <w:rsid w:val="13EB043F"/>
    <w:rsid w:val="14FD2F2A"/>
    <w:rsid w:val="152F10E4"/>
    <w:rsid w:val="16361726"/>
    <w:rsid w:val="175C7F30"/>
    <w:rsid w:val="188C5FA6"/>
    <w:rsid w:val="19962C07"/>
    <w:rsid w:val="19DA6E54"/>
    <w:rsid w:val="19F84D3F"/>
    <w:rsid w:val="1A851E40"/>
    <w:rsid w:val="1AA97690"/>
    <w:rsid w:val="1B55264E"/>
    <w:rsid w:val="1BA84E74"/>
    <w:rsid w:val="1BFB17D6"/>
    <w:rsid w:val="1E012FDE"/>
    <w:rsid w:val="1E4A1F91"/>
    <w:rsid w:val="1EAE3471"/>
    <w:rsid w:val="1F6348D8"/>
    <w:rsid w:val="1FCA144D"/>
    <w:rsid w:val="20911F39"/>
    <w:rsid w:val="20F43A82"/>
    <w:rsid w:val="22C921A6"/>
    <w:rsid w:val="24942B05"/>
    <w:rsid w:val="24A87A80"/>
    <w:rsid w:val="25257535"/>
    <w:rsid w:val="253E19B3"/>
    <w:rsid w:val="256E733D"/>
    <w:rsid w:val="258129BE"/>
    <w:rsid w:val="261F0C67"/>
    <w:rsid w:val="27041ABA"/>
    <w:rsid w:val="270F224B"/>
    <w:rsid w:val="273B5AA7"/>
    <w:rsid w:val="279D1B0F"/>
    <w:rsid w:val="27CF612E"/>
    <w:rsid w:val="27D04447"/>
    <w:rsid w:val="285431C9"/>
    <w:rsid w:val="28A166A9"/>
    <w:rsid w:val="29FA17CB"/>
    <w:rsid w:val="2A9C0484"/>
    <w:rsid w:val="2AD02CC6"/>
    <w:rsid w:val="2C3D153D"/>
    <w:rsid w:val="2C99046A"/>
    <w:rsid w:val="2CA43C66"/>
    <w:rsid w:val="2D055F0E"/>
    <w:rsid w:val="2DFC560C"/>
    <w:rsid w:val="2E1D199F"/>
    <w:rsid w:val="2E511893"/>
    <w:rsid w:val="2E51FFFC"/>
    <w:rsid w:val="2ED326A6"/>
    <w:rsid w:val="3016702A"/>
    <w:rsid w:val="30656053"/>
    <w:rsid w:val="30A8176B"/>
    <w:rsid w:val="310F3573"/>
    <w:rsid w:val="316D6A01"/>
    <w:rsid w:val="323A4593"/>
    <w:rsid w:val="335C2071"/>
    <w:rsid w:val="3360723D"/>
    <w:rsid w:val="35EB2F4B"/>
    <w:rsid w:val="360F1920"/>
    <w:rsid w:val="36580253"/>
    <w:rsid w:val="385F0979"/>
    <w:rsid w:val="389F52D1"/>
    <w:rsid w:val="396D7BF0"/>
    <w:rsid w:val="39AD0584"/>
    <w:rsid w:val="3A1068A0"/>
    <w:rsid w:val="3A581C40"/>
    <w:rsid w:val="3A5A31CE"/>
    <w:rsid w:val="3B467A47"/>
    <w:rsid w:val="3B5B5607"/>
    <w:rsid w:val="3B7466F3"/>
    <w:rsid w:val="3BCB3D8D"/>
    <w:rsid w:val="3BF31D1A"/>
    <w:rsid w:val="3C24351B"/>
    <w:rsid w:val="3C7A7F33"/>
    <w:rsid w:val="3CBE1FAF"/>
    <w:rsid w:val="3CC016E4"/>
    <w:rsid w:val="3D49057D"/>
    <w:rsid w:val="3DEA4E8D"/>
    <w:rsid w:val="3F3F3528"/>
    <w:rsid w:val="3F576491"/>
    <w:rsid w:val="3FAA7E06"/>
    <w:rsid w:val="40093037"/>
    <w:rsid w:val="40382C54"/>
    <w:rsid w:val="40FF163D"/>
    <w:rsid w:val="416C1D33"/>
    <w:rsid w:val="41913041"/>
    <w:rsid w:val="419C6252"/>
    <w:rsid w:val="427705F0"/>
    <w:rsid w:val="42CE5483"/>
    <w:rsid w:val="430B19F8"/>
    <w:rsid w:val="438765D3"/>
    <w:rsid w:val="43CC145F"/>
    <w:rsid w:val="43F91948"/>
    <w:rsid w:val="443133A9"/>
    <w:rsid w:val="452244B5"/>
    <w:rsid w:val="45276F43"/>
    <w:rsid w:val="45C40728"/>
    <w:rsid w:val="45E701C3"/>
    <w:rsid w:val="45ED260B"/>
    <w:rsid w:val="464859F7"/>
    <w:rsid w:val="46A648CA"/>
    <w:rsid w:val="46BA640C"/>
    <w:rsid w:val="46CF37B4"/>
    <w:rsid w:val="47065F8E"/>
    <w:rsid w:val="470B7AF9"/>
    <w:rsid w:val="47461CC9"/>
    <w:rsid w:val="48121BD2"/>
    <w:rsid w:val="491E2027"/>
    <w:rsid w:val="49521DF7"/>
    <w:rsid w:val="49885819"/>
    <w:rsid w:val="49B632BF"/>
    <w:rsid w:val="4A4554CC"/>
    <w:rsid w:val="4A76319F"/>
    <w:rsid w:val="4A866A71"/>
    <w:rsid w:val="4A8F2CE5"/>
    <w:rsid w:val="4AC565F9"/>
    <w:rsid w:val="4AE93A63"/>
    <w:rsid w:val="4B596D20"/>
    <w:rsid w:val="4C0D29E7"/>
    <w:rsid w:val="4C611A3E"/>
    <w:rsid w:val="4C9B5863"/>
    <w:rsid w:val="4CAB3C4F"/>
    <w:rsid w:val="4CB227CD"/>
    <w:rsid w:val="4CDB4698"/>
    <w:rsid w:val="4DCD7C9F"/>
    <w:rsid w:val="4E6D340D"/>
    <w:rsid w:val="4EEF12BF"/>
    <w:rsid w:val="4F5C3B28"/>
    <w:rsid w:val="4FD15626"/>
    <w:rsid w:val="507A1C34"/>
    <w:rsid w:val="50E81293"/>
    <w:rsid w:val="512350BD"/>
    <w:rsid w:val="51524143"/>
    <w:rsid w:val="51580421"/>
    <w:rsid w:val="52C77594"/>
    <w:rsid w:val="52DD3B94"/>
    <w:rsid w:val="52E236E7"/>
    <w:rsid w:val="534A1D91"/>
    <w:rsid w:val="53547E1A"/>
    <w:rsid w:val="53560736"/>
    <w:rsid w:val="53702556"/>
    <w:rsid w:val="53A01AC9"/>
    <w:rsid w:val="541B7ED6"/>
    <w:rsid w:val="54884235"/>
    <w:rsid w:val="56933A4F"/>
    <w:rsid w:val="56DA6283"/>
    <w:rsid w:val="571F332A"/>
    <w:rsid w:val="57583BAF"/>
    <w:rsid w:val="57F417D2"/>
    <w:rsid w:val="58F81080"/>
    <w:rsid w:val="59350DEE"/>
    <w:rsid w:val="597401F9"/>
    <w:rsid w:val="599812D2"/>
    <w:rsid w:val="59A86EE7"/>
    <w:rsid w:val="59C26B25"/>
    <w:rsid w:val="5A040EEC"/>
    <w:rsid w:val="5A1B3250"/>
    <w:rsid w:val="5AED5C2A"/>
    <w:rsid w:val="5BCC3AFC"/>
    <w:rsid w:val="5BFAB2E2"/>
    <w:rsid w:val="5C3A2DDB"/>
    <w:rsid w:val="5CC6102A"/>
    <w:rsid w:val="5D643014"/>
    <w:rsid w:val="5E7D4B04"/>
    <w:rsid w:val="5F3F24A2"/>
    <w:rsid w:val="607A46DF"/>
    <w:rsid w:val="60E901F4"/>
    <w:rsid w:val="61EF5AB5"/>
    <w:rsid w:val="63236726"/>
    <w:rsid w:val="63384D68"/>
    <w:rsid w:val="63E91153"/>
    <w:rsid w:val="649D27CC"/>
    <w:rsid w:val="64FE29DC"/>
    <w:rsid w:val="65FB2EE1"/>
    <w:rsid w:val="669C6CB2"/>
    <w:rsid w:val="684D1CB0"/>
    <w:rsid w:val="68713B3A"/>
    <w:rsid w:val="68FE2A44"/>
    <w:rsid w:val="69201B42"/>
    <w:rsid w:val="69AC138B"/>
    <w:rsid w:val="6BC46394"/>
    <w:rsid w:val="6D5D50C0"/>
    <w:rsid w:val="6DBC7E55"/>
    <w:rsid w:val="6DCD241E"/>
    <w:rsid w:val="6E4377CA"/>
    <w:rsid w:val="6E6C06E8"/>
    <w:rsid w:val="6E951005"/>
    <w:rsid w:val="6EB70743"/>
    <w:rsid w:val="6F152DFC"/>
    <w:rsid w:val="6FA54697"/>
    <w:rsid w:val="6FCC13CC"/>
    <w:rsid w:val="7015172D"/>
    <w:rsid w:val="74315CB0"/>
    <w:rsid w:val="743215AB"/>
    <w:rsid w:val="75232716"/>
    <w:rsid w:val="753D6B0A"/>
    <w:rsid w:val="76AF68F3"/>
    <w:rsid w:val="772B3B04"/>
    <w:rsid w:val="775D3592"/>
    <w:rsid w:val="788D65EC"/>
    <w:rsid w:val="78DD0C76"/>
    <w:rsid w:val="78ED31A0"/>
    <w:rsid w:val="7A3B33B6"/>
    <w:rsid w:val="7A4F18B8"/>
    <w:rsid w:val="7AA61BE6"/>
    <w:rsid w:val="7AED10D1"/>
    <w:rsid w:val="7B7D44E6"/>
    <w:rsid w:val="7C9332C9"/>
    <w:rsid w:val="7CCA3296"/>
    <w:rsid w:val="7CD86981"/>
    <w:rsid w:val="7CDA2CDE"/>
    <w:rsid w:val="7D3B6123"/>
    <w:rsid w:val="7D714489"/>
    <w:rsid w:val="7DB74509"/>
    <w:rsid w:val="7DD94CDB"/>
    <w:rsid w:val="7E6671D0"/>
    <w:rsid w:val="7EA1099B"/>
    <w:rsid w:val="7EED26C5"/>
    <w:rsid w:val="7F0409CD"/>
    <w:rsid w:val="7F080287"/>
    <w:rsid w:val="7FCC418A"/>
    <w:rsid w:val="7FED30BA"/>
    <w:rsid w:val="7FF3B6A4"/>
    <w:rsid w:val="D2F789B5"/>
    <w:rsid w:val="F6FDAE38"/>
    <w:rsid w:val="FBEBF042"/>
    <w:rsid w:val="FEF708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Indent"/>
    <w:basedOn w:val="1"/>
    <w:qFormat/>
    <w:uiPriority w:val="0"/>
    <w:pPr>
      <w:ind w:firstLine="420" w:firstLineChars="200"/>
    </w:pPr>
  </w:style>
  <w:style w:type="paragraph" w:styleId="5">
    <w:name w:val="Body Text"/>
    <w:basedOn w:val="1"/>
    <w:next w:val="6"/>
    <w:qFormat/>
    <w:uiPriority w:val="0"/>
    <w:pPr>
      <w:widowControl/>
      <w:spacing w:after="120"/>
      <w:jc w:val="left"/>
    </w:pPr>
    <w:rPr>
      <w:rFonts w:eastAsia="方正仿宋_GB2312"/>
      <w:kern w:val="0"/>
      <w:sz w:val="32"/>
      <w:szCs w:val="20"/>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Body Text First Indent"/>
    <w:basedOn w:val="5"/>
    <w:unhideWhenUsed/>
    <w:qFormat/>
    <w:uiPriority w:val="99"/>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6505</Words>
  <Characters>6653</Characters>
  <Lines>48</Lines>
  <Paragraphs>13</Paragraphs>
  <TotalTime>11</TotalTime>
  <ScaleCrop>false</ScaleCrop>
  <LinksUpToDate>false</LinksUpToDate>
  <CharactersWithSpaces>6665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2023-05-08T06:11:00Z</dcterms:created>
  <dc:creator>ROYAL</dc:creator>
  <cp:lastModifiedBy>王旭东</cp:lastModifiedBy>
  <cp:lastPrinted>2023-05-22T10:25:00Z</cp:lastPrinted>
  <dcterms:modified xsi:type="dcterms:W3CDTF">2023-05-25T03:00:30Z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537E7B05312347569DAC7A255236E933_13</vt:lpwstr>
  </property>
</Properties>
</file>