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附件3：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农村幸福院等级评定申请表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及自评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autoSpaceDE w:val="0"/>
        <w:autoSpaceDN w:val="0"/>
        <w:ind w:firstLine="1040" w:firstLineChars="200"/>
        <w:jc w:val="both"/>
        <w:rPr>
          <w:rFonts w:hint="eastAsia" w:ascii="宋体" w:hAnsi="Times New Roman" w:eastAsia="宋体" w:cs="Times New Roman"/>
          <w:sz w:val="52"/>
          <w:szCs w:val="5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 w:firstLineChars="0"/>
        <w:jc w:val="center"/>
        <w:rPr>
          <w:rFonts w:hint="eastAsia" w:ascii="宋体" w:hAnsi="Times New Roman" w:eastAsia="宋体" w:cs="Times New Roman"/>
          <w:b/>
          <w:sz w:val="52"/>
          <w:szCs w:val="5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"/>
        </w:rPr>
        <w:t>农村幸福院等级评定申请表</w:t>
      </w:r>
    </w:p>
    <w:p>
      <w:pPr>
        <w:pStyle w:val="10"/>
        <w:ind w:left="0" w:firstLine="0"/>
        <w:rPr>
          <w:rFonts w:hint="eastAsia" w:ascii="宋体" w:hAnsi="Times New Roman" w:eastAsia="宋体" w:cs="Times New Roman"/>
          <w:sz w:val="28"/>
          <w:szCs w:val="28"/>
        </w:rPr>
      </w:pPr>
      <w:r>
        <w:rPr>
          <w:rFonts w:hint="eastAsia" w:ascii="宋体" w:hAnsi="Times New Roman" w:eastAsia="宋体" w:cs="Times New Roman"/>
          <w:sz w:val="28"/>
          <w:szCs w:val="28"/>
        </w:rPr>
        <w:t>农村幸福院划分为三个等级，从低到高依次为一星级、二星级、三星级。等级越高，表示农村幸福院的档次、服务质量和水平越高，服务设施设备更加完善。</w:t>
      </w:r>
    </w:p>
    <w:p>
      <w:pPr>
        <w:pStyle w:val="10"/>
        <w:ind w:left="0" w:firstLine="0"/>
        <w:rPr>
          <w:rFonts w:hint="eastAsia" w:ascii="宋体" w:hAnsi="Times New Roman" w:eastAsia="宋体" w:cs="Times New Roman"/>
          <w:sz w:val="28"/>
          <w:szCs w:val="28"/>
        </w:rPr>
      </w:pPr>
      <w:r>
        <w:rPr>
          <w:rFonts w:hint="eastAsia" w:ascii="宋体" w:hAnsi="Times New Roman" w:eastAsia="宋体" w:cs="Times New Roman"/>
          <w:sz w:val="28"/>
          <w:szCs w:val="28"/>
        </w:rPr>
        <w:t>农村幸福院等级划分依据七个方面的综合情况开展评定，包括建筑和场地、服务环境、服务项目、设施设备、从业人员、运行与管理、服务成效。</w:t>
      </w:r>
    </w:p>
    <w:p>
      <w:pPr>
        <w:pStyle w:val="10"/>
        <w:ind w:left="0" w:firstLine="0"/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宋体" w:hAnsi="Times New Roman" w:eastAsia="宋体" w:cs="Times New Roman"/>
          <w:sz w:val="28"/>
          <w:szCs w:val="28"/>
          <w:u w:val="single"/>
          <w:lang w:val="en-US" w:eastAsia="zh-CN"/>
        </w:rPr>
        <w:t>※农村幸福院等级评定办法为达标项评估，如机构全部满足一星级达标项所有要求，即为一星级，有一项不达标自动降星。</w:t>
      </w:r>
    </w:p>
    <w:p>
      <w:pPr>
        <w:autoSpaceDE w:val="0"/>
        <w:autoSpaceDN w:val="0"/>
        <w:ind w:firstLine="720" w:firstLineChars="200"/>
        <w:jc w:val="both"/>
        <w:rPr>
          <w:rFonts w:hint="eastAsia" w:ascii="仿宋_GB2312" w:hAnsi="Times New Roman" w:eastAsia="仿宋_GB2312" w:cs="Times New Roman"/>
          <w:sz w:val="36"/>
          <w:szCs w:val="36"/>
          <w:lang w:val="en-US" w:eastAsia="zh-CN" w:bidi="ar-SA"/>
        </w:rPr>
      </w:pPr>
    </w:p>
    <w:p>
      <w:pPr>
        <w:autoSpaceDE w:val="0"/>
        <w:autoSpaceDN w:val="0"/>
        <w:ind w:firstLine="720" w:firstLineChars="200"/>
        <w:jc w:val="both"/>
        <w:rPr>
          <w:rFonts w:hint="eastAsia" w:ascii="仿宋_GB2312" w:hAnsi="Times New Roman" w:eastAsia="仿宋_GB2312" w:cs="Times New Roman"/>
          <w:sz w:val="36"/>
          <w:szCs w:val="36"/>
          <w:lang w:val="en-US" w:eastAsia="zh-CN" w:bidi="ar-SA"/>
        </w:rPr>
      </w:pPr>
    </w:p>
    <w:p>
      <w:pPr>
        <w:autoSpaceDE w:val="0"/>
        <w:autoSpaceDN w:val="0"/>
        <w:ind w:firstLine="1260" w:firstLineChars="45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 w:bidi="ar-SA"/>
        </w:rPr>
        <w:t>申请单位（公章）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  <w:lang w:val="en-US" w:eastAsia="zh-CN" w:bidi="ar-SA"/>
        </w:rPr>
        <w:t xml:space="preserve">                          </w:t>
      </w:r>
    </w:p>
    <w:p>
      <w:pPr>
        <w:autoSpaceDE w:val="0"/>
        <w:autoSpaceDN w:val="0"/>
        <w:ind w:firstLine="1260" w:firstLineChars="45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-SA"/>
        </w:rPr>
        <w:t>申请等级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 w:bidi="ar-SA"/>
        </w:rPr>
        <w:t xml:space="preserve">                                  </w:t>
      </w:r>
    </w:p>
    <w:p>
      <w:pPr>
        <w:autoSpaceDE w:val="0"/>
        <w:autoSpaceDN w:val="0"/>
        <w:ind w:firstLine="1260" w:firstLineChars="45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 w:bidi="ar-SA"/>
        </w:rPr>
        <w:t>填报日期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 w:bidi="ar-SA"/>
        </w:rPr>
        <w:t xml:space="preserve">                                  </w:t>
      </w:r>
    </w:p>
    <w:p>
      <w:pPr>
        <w:pStyle w:val="4"/>
        <w:rPr>
          <w:rFonts w:hint="eastAsia"/>
          <w:lang w:val="en-US" w:eastAsia="zh-CN"/>
        </w:rPr>
      </w:pPr>
    </w:p>
    <w:p>
      <w:pPr>
        <w:autoSpaceDE w:val="0"/>
        <w:autoSpaceDN w:val="0"/>
        <w:ind w:firstLine="1620" w:firstLineChars="450"/>
        <w:jc w:val="left"/>
        <w:rPr>
          <w:rFonts w:hint="eastAsia" w:ascii="仿宋_GB2312" w:hAnsi="Times New Roman" w:eastAsia="仿宋_GB2312" w:cs="Times New Roman"/>
          <w:sz w:val="36"/>
          <w:szCs w:val="36"/>
          <w:u w:val="single"/>
          <w:lang w:val="en-US" w:eastAsia="zh-CN" w:bidi="ar-SA"/>
        </w:rPr>
      </w:pPr>
    </w:p>
    <w:p>
      <w:pPr>
        <w:autoSpaceDE w:val="0"/>
        <w:autoSpaceDN w:val="0"/>
        <w:ind w:firstLine="1620" w:firstLineChars="450"/>
        <w:jc w:val="left"/>
        <w:rPr>
          <w:rFonts w:hint="eastAsia" w:ascii="仿宋_GB2312" w:hAnsi="Times New Roman" w:eastAsia="仿宋_GB2312" w:cs="Times New Roman"/>
          <w:sz w:val="36"/>
          <w:szCs w:val="36"/>
          <w:u w:val="singl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6"/>
          <w:szCs w:val="36"/>
          <w:u w:val="single"/>
          <w:lang w:val="en-US" w:eastAsia="zh-CN" w:bidi="ar-SA"/>
        </w:rPr>
        <w:br w:type="page"/>
      </w:r>
    </w:p>
    <w:p>
      <w:pPr>
        <w:autoSpaceDE w:val="0"/>
        <w:autoSpaceDN w:val="0"/>
        <w:ind w:firstLine="1620" w:firstLineChars="450"/>
        <w:jc w:val="left"/>
        <w:rPr>
          <w:rFonts w:hint="eastAsia" w:ascii="仿宋_GB2312" w:hAnsi="Times New Roman" w:eastAsia="仿宋_GB2312" w:cs="Times New Roman"/>
          <w:sz w:val="36"/>
          <w:szCs w:val="36"/>
          <w:u w:val="single"/>
          <w:lang w:val="en-US" w:eastAsia="zh-CN" w:bidi="ar-SA"/>
        </w:rPr>
      </w:pPr>
    </w:p>
    <w:tbl>
      <w:tblPr>
        <w:tblStyle w:val="6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439"/>
        <w:gridCol w:w="1005"/>
        <w:gridCol w:w="83"/>
        <w:gridCol w:w="1362"/>
        <w:gridCol w:w="101"/>
        <w:gridCol w:w="142"/>
        <w:gridCol w:w="235"/>
        <w:gridCol w:w="899"/>
        <w:gridCol w:w="709"/>
        <w:gridCol w:w="238"/>
        <w:gridCol w:w="992"/>
        <w:gridCol w:w="14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325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44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幸福院名称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运营方名称</w:t>
            </w:r>
          </w:p>
        </w:tc>
        <w:tc>
          <w:tcPr>
            <w:tcW w:w="3386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地址</w:t>
            </w:r>
          </w:p>
        </w:tc>
        <w:tc>
          <w:tcPr>
            <w:tcW w:w="7652" w:type="dxa"/>
            <w:gridSpan w:val="12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市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县/区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镇/街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村/居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联系人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232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325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运行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运行方式</w:t>
            </w:r>
          </w:p>
        </w:tc>
        <w:tc>
          <w:tcPr>
            <w:tcW w:w="4266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宋体" w:hAnsi="宋体" w:eastAsia="宋体" w:cs="Times New Roman"/>
                <w:sz w:val="15"/>
                <w:szCs w:val="15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村委会运营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□ 专业机构托管运营 □ 其他        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投入运行时间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建筑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面积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日间照料床位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张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居住床位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1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月均服务天数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天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日均服务人数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从业人员</w:t>
            </w:r>
          </w:p>
        </w:tc>
        <w:tc>
          <w:tcPr>
            <w:tcW w:w="7652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360" w:hanging="360" w:firstLineChars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管理人员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人  □ 服务人员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人  □ 医务人员 </w:t>
            </w:r>
            <w:r>
              <w:rPr>
                <w:rFonts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人</w:t>
            </w:r>
          </w:p>
          <w:p>
            <w:pPr>
              <w:widowControl w:val="0"/>
              <w:numPr>
                <w:ilvl w:val="0"/>
                <w:numId w:val="3"/>
              </w:numPr>
              <w:ind w:left="360" w:hanging="360" w:firstLineChars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志愿服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务人员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325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三、服务项目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  <w:jc w:val="center"/>
        </w:trPr>
        <w:tc>
          <w:tcPr>
            <w:tcW w:w="9325" w:type="dxa"/>
            <w:gridSpan w:val="13"/>
            <w:noWrap w:val="0"/>
            <w:vAlign w:val="top"/>
          </w:tcPr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left="134"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left="134" w:firstLine="0" w:firstLineChars="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1.文化娱乐服务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 xml:space="preserve">棋牌类活动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书刊阅读活动  □ 观看影视活动    □ 计划性团体娱乐活动 □ 健身活动  □ 其他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2.日间照料服务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膳食服务  □ 午间休息服务  □ 其他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3.居住服务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膳食服务  □ 清洁卫生服务  □ 洗浴服务  □ 其他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4.健康服务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基础测量（体温、血压、脉搏等）  □ 保健服务  □ 其他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5.精神慰藉服务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 言语沟通  □ 亲情陪伴  □ 情绪疏导  □ 其他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1" w:firstLineChars="200"/>
              <w:jc w:val="left"/>
              <w:rPr>
                <w:rFonts w:hint="eastAsia" w:ascii="宋体" w:hAnsi="宋体" w:eastAsia="宋体" w:cs="Times New Roman"/>
                <w:b/>
                <w:sz w:val="18"/>
                <w:szCs w:val="18"/>
              </w:rPr>
            </w:pP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90" w:firstLineChars="50"/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>6.其他服务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360" w:firstLineChars="200"/>
              <w:jc w:val="left"/>
              <w:rPr>
                <w:rFonts w:ascii="宋体" w:hAnsi="宋体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</w:t>
            </w:r>
          </w:p>
          <w:p>
            <w:pPr>
              <w:tabs>
                <w:tab w:val="left" w:pos="1965"/>
                <w:tab w:val="left" w:pos="4778"/>
                <w:tab w:val="left" w:pos="6446"/>
              </w:tabs>
              <w:spacing w:line="240" w:lineRule="auto"/>
              <w:ind w:firstLine="450" w:firstLineChars="25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widowControl w:val="0"/>
        <w:numPr>
          <w:numId w:val="0"/>
        </w:numPr>
        <w:spacing w:before="156" w:beforeLines="50" w:after="156" w:afterLines="50"/>
        <w:jc w:val="center"/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表A.1 一星级农村幸福院自评表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63"/>
        <w:gridCol w:w="2538"/>
        <w:gridCol w:w="994"/>
        <w:gridCol w:w="994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0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评查内容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评查结果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  <w:jc w:val="center"/>
        </w:trPr>
        <w:tc>
          <w:tcPr>
            <w:tcW w:w="147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评定指标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基本要求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达标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不达标</w:t>
            </w: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建筑与场地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用房建筑面积不少于100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  <w:t xml:space="preserve"> m</w:t>
            </w:r>
            <w:r>
              <w:rPr>
                <w:rFonts w:hint="eastAsia" w:ascii="宋体" w:hAnsi="Times New Roman" w:eastAsia="宋体" w:cs="Times New Roman"/>
                <w:sz w:val="21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室内功能区布局应能满足所提供的服务项目需求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服务环境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标识标志醒目，使用规范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室内温度适宜，光照充足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公共区域卫生整洁，通风良好，无异味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服务项目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文化娱乐服务（不少于2种）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棋牌类活动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书刊阅读活动</w:t>
            </w: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观看影视活动</w:t>
            </w: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计划性团体娱乐活动</w:t>
            </w: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健身活动</w:t>
            </w: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 xml:space="preserve">每50 </w:t>
            </w:r>
            <w:r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ascii="宋体" w:hAnsi="宋体" w:eastAsia="宋体" w:cs="Times New Roman"/>
                <w:sz w:val="18"/>
                <w:szCs w:val="18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配备1个灭火器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棋牌桌、书报期刊、电视机、健身器材等2种及以上的文化娱乐设施设备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从业人员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管理人员1名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服务人员（可由管理人员兼任） 至少1名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运行与管理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村委会负责农村幸福院的日常监督与管理，可委托专业机构和服务组织进行日常运营管理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管理人员、联系方式、服务时间、监督电话等信息在显要位置公开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日常运行与管理制度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值班管理制度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服务人员工作制度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老年人行为规范制度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财务管理制度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安全管理制度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卫生管理制度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设施设备使用管理制度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服务成效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服务天数月均不少于20天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服务老年人满意率达80%以上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ind w:firstLine="420" w:firstLineChars="200"/>
        <w:jc w:val="both"/>
        <w:rPr>
          <w:rFonts w:hint="eastAsia" w:ascii="宋体" w:hAnsi="Times New Roman" w:eastAsia="宋体" w:cs="Times New Roman"/>
          <w:sz w:val="21"/>
          <w:lang w:val="en-US" w:eastAsia="zh-CN" w:bidi="ar-SA"/>
        </w:rPr>
      </w:pPr>
    </w:p>
    <w:p>
      <w:pPr>
        <w:autoSpaceDE w:val="0"/>
        <w:autoSpaceDN w:val="0"/>
        <w:ind w:firstLine="420" w:firstLineChars="200"/>
        <w:jc w:val="both"/>
        <w:rPr>
          <w:rFonts w:hint="eastAsia" w:ascii="宋体" w:hAnsi="Times New Roman" w:eastAsia="宋体" w:cs="Times New Roman"/>
          <w:sz w:val="21"/>
          <w:lang w:val="en-US" w:eastAsia="zh-CN" w:bidi="ar-SA"/>
        </w:rPr>
      </w:pPr>
    </w:p>
    <w:p>
      <w:pPr>
        <w:autoSpaceDE w:val="0"/>
        <w:autoSpaceDN w:val="0"/>
        <w:ind w:firstLine="420" w:firstLineChars="200"/>
        <w:jc w:val="both"/>
        <w:rPr>
          <w:rFonts w:hint="eastAsia" w:ascii="宋体" w:hAnsi="Times New Roman" w:eastAsia="宋体" w:cs="Times New Roman"/>
          <w:sz w:val="21"/>
          <w:lang w:val="en-US" w:eastAsia="zh-CN" w:bidi="ar-SA"/>
        </w:rPr>
      </w:pPr>
    </w:p>
    <w:p>
      <w:pPr>
        <w:autoSpaceDE w:val="0"/>
        <w:autoSpaceDN w:val="0"/>
        <w:ind w:firstLine="420" w:firstLineChars="200"/>
        <w:jc w:val="both"/>
        <w:rPr>
          <w:rFonts w:hint="eastAsia" w:ascii="宋体" w:hAnsi="Times New Roman" w:eastAsia="宋体" w:cs="Times New Roman"/>
          <w:sz w:val="21"/>
          <w:lang w:val="en-US" w:eastAsia="zh-CN" w:bidi="ar-SA"/>
        </w:rPr>
      </w:pPr>
    </w:p>
    <w:p>
      <w:pPr>
        <w:widowControl w:val="0"/>
        <w:numPr>
          <w:numId w:val="0"/>
        </w:numPr>
        <w:spacing w:before="156" w:beforeLines="50" w:after="156" w:afterLines="50"/>
        <w:ind w:leftChars="200"/>
        <w:jc w:val="center"/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br w:type="page"/>
      </w: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 xml:space="preserve">表A.2  </w:t>
      </w:r>
      <w:bookmarkStart w:id="0" w:name="_GoBack"/>
      <w:bookmarkEnd w:id="0"/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二星级农村幸福院自评表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47"/>
        <w:gridCol w:w="2284"/>
        <w:gridCol w:w="1105"/>
        <w:gridCol w:w="934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评查内容</w:t>
            </w: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评查结果</w:t>
            </w:r>
          </w:p>
        </w:tc>
        <w:tc>
          <w:tcPr>
            <w:tcW w:w="15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  <w:jc w:val="center"/>
        </w:trPr>
        <w:tc>
          <w:tcPr>
            <w:tcW w:w="1479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评定指标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基本要求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达标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不达标</w:t>
            </w: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建筑与场地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用房建筑面积不少于200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  <w:t xml:space="preserve"> m</w:t>
            </w:r>
            <w:r>
              <w:rPr>
                <w:rFonts w:hint="eastAsia" w:ascii="宋体" w:hAnsi="Times New Roman" w:eastAsia="宋体" w:cs="Times New Roman"/>
                <w:sz w:val="21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室内用房至少划分为文化娱乐区、餐厨区、休息区、卫生区4个功能区域。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服务环境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标识标志醒目，使用规范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室内温度适宜，光照充足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公共区域卫生整洁，通风良好，无异味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服务项目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文化娱乐服务（不少于3种）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棋牌类活动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书刊阅读活动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观看影视活动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计划性团体娱乐活动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健身活动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精神慰藉服务（不少于1种）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言语沟通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亲情陪伴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情绪疏导</w:t>
            </w: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日间照料服务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膳食服务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午间休息服务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 xml:space="preserve">每50 </w:t>
            </w:r>
            <w:r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  <w:t>m</w:t>
            </w:r>
            <w:r>
              <w:rPr>
                <w:rFonts w:ascii="宋体" w:hAnsi="宋体" w:eastAsia="宋体" w:cs="Times New Roman"/>
                <w:sz w:val="18"/>
                <w:szCs w:val="18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配备1个灭火器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棋牌桌、书报期刊、电视机、健身器材等3种及以上的文化娱乐设施设备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卫生间、走廊、楼梯等公共空间配备必要的无障碍设施以及安全防护设施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满足需求的临时休息设施，临时休息床位及被褥等可根据需要适当配置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必要的餐具、就餐桌椅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设立厨房的，配备满足需求的厨房用具和必要的冷冻（藏）、消毒、留样等设施设备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从业人员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管理人员至少1名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专职服务人员至少1名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联系村民或社会爱心人士提供志愿服务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聘用专人提供膳食制作服务的，膳食制作人员应取得健康证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运行与管理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村委会负责农村幸福院的日常监督与管理，可委托专业机构和服务组织进行日常运营管理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成立由院长、入院老年人组成的院务管理委员会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管理人员、联系方式、服务时间、监督电话等信息在显要位置公开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与有就餐需求的老年人签署《就餐协议》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提供配餐服务的，有与配餐公司签署的《配餐服务协议》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日常运行与管理制度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值班管理制度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服务人员工作制度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入院老年人行为规范制度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财务管理制度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安全管理制度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卫生管理制度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设施设备使用管理制度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食品安全管理制度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请销假管理制度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服务成效</w:t>
            </w: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服务天数月均不少于20天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服务老年人满意率达85%以上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before="156" w:beforeLines="50" w:after="156" w:afterLines="50"/>
        <w:jc w:val="center"/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21"/>
          <w:szCs w:val="21"/>
          <w:lang w:val="en-US" w:eastAsia="zh-CN" w:bidi="ar-SA"/>
        </w:rPr>
        <w:t>表A.3  三星级农村幸福院自评表</w:t>
      </w:r>
    </w:p>
    <w:tbl>
      <w:tblPr>
        <w:tblStyle w:val="6"/>
        <w:tblW w:w="92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97"/>
        <w:gridCol w:w="2468"/>
        <w:gridCol w:w="1137"/>
        <w:gridCol w:w="995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3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评查内容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评查结果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73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评定指标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基本要求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达标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  <w:lang w:val="en-US" w:eastAsia="zh-CN" w:bidi="ar-SA"/>
              </w:rPr>
              <w:t>不达标</w:t>
            </w: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建筑与场地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用房建筑面积不少于400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  <w:t xml:space="preserve"> m</w:t>
            </w:r>
            <w:r>
              <w:rPr>
                <w:rFonts w:hint="eastAsia" w:ascii="宋体" w:hAnsi="Times New Roman" w:eastAsia="宋体" w:cs="Times New Roman"/>
                <w:sz w:val="21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床均使用面积不少于6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  <w:t xml:space="preserve"> m</w:t>
            </w:r>
            <w:r>
              <w:rPr>
                <w:rFonts w:hint="eastAsia" w:ascii="宋体" w:hAnsi="Times New Roman" w:eastAsia="宋体" w:cs="Times New Roman"/>
                <w:sz w:val="21"/>
                <w:vertAlign w:val="superscript"/>
                <w:lang w:val="en-US" w:eastAsia="zh-CN" w:bidi="ar-SA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室内用房至少划分为文化娱乐区、餐厨区、休息区、居住区、洗浴区5个功能区域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服务环境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标识标志醒目，使用规范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室内温度适宜，光照充足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公共区域卫生整洁，通风良好，无异味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服务项目</w:t>
            </w: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文化娱乐服务（不少于4种）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棋牌类活动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书刊阅读活动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观看影视活动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360" w:firstLineChars="20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计划性团体娱乐活动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健身活动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精神慰藉服务（不少于2种）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言语沟通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亲情陪伴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情绪疏导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日间照料服务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膳食服务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午间休息服务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居住服务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膳食服务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清洁卫生服务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洗浴服务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健康服务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健康状况基础测量服务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保健服务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相应的消防设施，如应急照明、应急指示标志、灭火器材等，达到消防安全要求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棋牌桌、书报期刊、电视机、播放设备、健身器材等4种及以上的文化娱乐设施设备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居住床位不少于20张，配备被褥等必要的生活用品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卫生间、走廊、楼梯等公共空间配备必要的无障碍设施以及安全防护设施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满足需求的临时休息设施，临时休息床位及被褥等可根据需要适当配置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必要的餐具、就餐桌椅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必要的厨房用具，以及根据食品安全要求配备相应的冷冻（藏）、消毒、留样等设施设备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从业人员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管理人员至少1名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专职服务人员至少2名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联系村民或社会爱心人士提供志愿服务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餐饮服务人员应取得健康证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内设卫生室的，配有医务人员至少1名，且取得相应的医疗执业资格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运行与管理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村委会负责农村幸福院的日常监督与管理，可委托专业机构和服务组织进行日常运营管理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成立由院长、入院老年人组成的院务管理委员会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管理人员、联系方式、服务时间、监督电话等信息在显要位置公开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与有就餐需求的老年人签署《就餐协议》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与有入住需求的老年人签署《入住协议》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通过委托方式提供健康服务的，应与医疗卫生机构签署《医疗卫生服务协议》。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日常运行与管理制度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值班管理制度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服务人员工作制度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入院老年人行为规范制度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财务管理制度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安全管理制度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卫生管理制度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设施设备使用管理制度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食品安全管理制度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请销假管理制度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入院档案管理制度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健康档案管理制度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夜间值班制度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安全应急预案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服务成效</w:t>
            </w: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服务天数月均不少于30天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6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服务老年人满意率达90%以上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□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autoSpaceDE w:val="0"/>
              <w:autoSpaceDN w:val="0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ind w:firstLine="420" w:firstLineChars="200"/>
        <w:jc w:val="both"/>
        <w:rPr>
          <w:rFonts w:hint="eastAsia" w:ascii="宋体" w:hAnsi="Times New Roman" w:eastAsia="宋体" w:cs="Times New Roman"/>
          <w:sz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Ansi="Times New Roman" w:eastAsia="宋体" w:cs="Times New Roman"/>
      </w:rPr>
    </w:pPr>
    <w:r>
      <w:rPr>
        <w:rFonts w:hAnsi="Times New Roman" w:eastAsia="宋体" w:cs="Times New Roman"/>
      </w:rPr>
      <w:fldChar w:fldCharType="begin"/>
    </w:r>
    <w:r>
      <w:rPr>
        <w:rFonts w:hAnsi="Times New Roman" w:eastAsia="宋体" w:cs="Times New Roman"/>
      </w:rPr>
      <w:instrText xml:space="preserve"> PAGE  \* MERGEFORMAT </w:instrText>
    </w:r>
    <w:r>
      <w:rPr>
        <w:rFonts w:hAnsi="Times New Roman" w:eastAsia="宋体" w:cs="Times New Roman"/>
      </w:rPr>
      <w:fldChar w:fldCharType="separate"/>
    </w:r>
    <w:r>
      <w:rPr>
        <w:rFonts w:hAnsi="Times New Roman" w:eastAsia="宋体" w:cs="Times New Roman"/>
      </w:rPr>
      <w:t>1</w:t>
    </w:r>
    <w:r>
      <w:rPr>
        <w:rFonts w:hAnsi="Times New Roman" w:eastAsia="宋体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735"/>
    <w:multiLevelType w:val="multilevel"/>
    <w:tmpl w:val="15DE173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00000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pStyle w:val="1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2D2A"/>
    <w:rsid w:val="01242D2A"/>
    <w:rsid w:val="2CA02497"/>
    <w:rsid w:val="2E697133"/>
    <w:rsid w:val="3F84556D"/>
    <w:rsid w:val="58337237"/>
    <w:rsid w:val="5B25227E"/>
    <w:rsid w:val="7CE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hint="eastAsia" w:ascii="Times New Roman" w:hAnsi="Times New Roman" w:eastAsia="黑体"/>
      <w:kern w:val="44"/>
      <w:sz w:val="30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paragraph" w:styleId="4">
    <w:name w:val="heading 3"/>
    <w:next w:val="1"/>
    <w:qFormat/>
    <w:uiPriority w:val="1"/>
    <w:pPr>
      <w:widowControl w:val="0"/>
      <w:spacing w:line="360" w:lineRule="auto"/>
      <w:ind w:left="138" w:firstLine="420" w:firstLineChars="200"/>
      <w:jc w:val="left"/>
      <w:outlineLvl w:val="3"/>
    </w:pPr>
    <w:rPr>
      <w:rFonts w:ascii="黑体" w:hAnsi="黑体" w:eastAsia="黑体" w:cs="黑体"/>
      <w:b/>
      <w:bCs/>
      <w:kern w:val="2"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1"/>
    <w:pPr>
      <w:widowControl w:val="0"/>
      <w:spacing w:line="360" w:lineRule="auto"/>
      <w:ind w:firstLine="420" w:firstLineChars="200"/>
      <w:jc w:val="left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character" w:customStyle="1" w:styleId="8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2"/>
      <w:szCs w:val="36"/>
      <w:lang w:val="en-US" w:eastAsia="zh-CN" w:bidi="ar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一级无"/>
    <w:qFormat/>
    <w:uiPriority w:val="0"/>
    <w:pPr>
      <w:numPr>
        <w:ilvl w:val="1"/>
        <w:numId w:val="1"/>
      </w:numPr>
      <w:spacing w:before="0" w:beforeLines="0" w:after="0" w:afterLines="0"/>
      <w:outlineLvl w:val="2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附录表标号"/>
    <w:next w:val="9"/>
    <w:qFormat/>
    <w:uiPriority w:val="0"/>
    <w:pPr>
      <w:widowControl w:val="0"/>
      <w:numPr>
        <w:ilvl w:val="0"/>
        <w:numId w:val="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kern w:val="2"/>
      <w:sz w:val="21"/>
      <w:szCs w:val="24"/>
      <w:lang w:val="en-US" w:eastAsia="zh-CN" w:bidi="ar-SA"/>
    </w:rPr>
  </w:style>
  <w:style w:type="paragraph" w:customStyle="1" w:styleId="13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2020-10-14T09:23:00Z</dcterms:created>
  <dc:creator>孟晓</dc:creator>
  <cp:lastModifiedBy>孟晓</cp:lastModifiedBy>
  <dcterms:modified xsi:type="dcterms:W3CDTF">2020-10-14T09:26:11Z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