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EAAC7B">
      <w:pPr>
        <w:spacing w:line="264" w:lineRule="auto"/>
        <w:rPr>
          <w:rFonts w:ascii="Arial"/>
          <w:sz w:val="21"/>
        </w:rPr>
      </w:pPr>
    </w:p>
    <w:p w14:paraId="01FC3CDF">
      <w:pPr>
        <w:spacing w:before="49" w:line="219" w:lineRule="auto"/>
        <w:ind w:left="4825" w:firstLine="2184" w:firstLineChars="600"/>
        <w:jc w:val="both"/>
        <w:outlineLvl w:val="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pacing w:val="2"/>
          <w:sz w:val="36"/>
          <w:szCs w:val="36"/>
          <w:lang w:val="en-US" w:eastAsia="zh-CN"/>
        </w:rPr>
        <w:t>涉企</w:t>
      </w:r>
      <w:r>
        <w:rPr>
          <w:rFonts w:hint="eastAsia" w:ascii="方正小标宋简体" w:hAnsi="方正小标宋简体" w:eastAsia="方正小标宋简体" w:cs="方正小标宋简体"/>
          <w:spacing w:val="2"/>
          <w:sz w:val="36"/>
          <w:szCs w:val="36"/>
        </w:rPr>
        <w:t>行政</w:t>
      </w:r>
      <w:r>
        <w:rPr>
          <w:rFonts w:hint="eastAsia" w:ascii="方正小标宋简体" w:hAnsi="方正小标宋简体" w:eastAsia="方正小标宋简体" w:cs="方正小标宋简体"/>
          <w:spacing w:val="2"/>
          <w:sz w:val="36"/>
          <w:szCs w:val="36"/>
          <w:lang w:val="en-US" w:eastAsia="zh-CN"/>
        </w:rPr>
        <w:t>执法事项清单</w:t>
      </w:r>
    </w:p>
    <w:tbl>
      <w:tblPr>
        <w:tblStyle w:val="4"/>
        <w:tblpPr w:leftFromText="180" w:rightFromText="180" w:vertAnchor="text" w:horzAnchor="page" w:tblpX="1164" w:tblpY="600"/>
        <w:tblOverlap w:val="never"/>
        <w:tblW w:w="153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0"/>
        <w:gridCol w:w="2120"/>
        <w:gridCol w:w="9370"/>
        <w:gridCol w:w="3358"/>
      </w:tblGrid>
      <w:tr w14:paraId="2CAAF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530" w:type="dxa"/>
            <w:vAlign w:val="top"/>
          </w:tcPr>
          <w:p w14:paraId="4A19FFB2">
            <w:pPr>
              <w:pStyle w:val="5"/>
              <w:spacing w:before="74" w:line="219" w:lineRule="auto"/>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序号</w:t>
            </w:r>
          </w:p>
        </w:tc>
        <w:tc>
          <w:tcPr>
            <w:tcW w:w="2120" w:type="dxa"/>
            <w:vAlign w:val="top"/>
          </w:tcPr>
          <w:p w14:paraId="1E6B365B">
            <w:pPr>
              <w:pStyle w:val="5"/>
              <w:spacing w:before="129" w:line="245" w:lineRule="auto"/>
              <w:ind w:left="131" w:right="11" w:hanging="39"/>
              <w:rPr>
                <w:rFonts w:hint="eastAsia" w:ascii="黑体" w:hAnsi="黑体" w:eastAsia="黑体" w:cs="黑体"/>
                <w:b w:val="0"/>
                <w:bCs w:val="0"/>
                <w:sz w:val="28"/>
                <w:szCs w:val="28"/>
              </w:rPr>
            </w:pPr>
            <w:r>
              <w:rPr>
                <w:rFonts w:hint="eastAsia" w:ascii="黑体" w:hAnsi="黑体" w:eastAsia="黑体" w:cs="黑体"/>
                <w:b w:val="0"/>
                <w:bCs w:val="0"/>
                <w:spacing w:val="-2"/>
                <w:sz w:val="28"/>
                <w:szCs w:val="28"/>
              </w:rPr>
              <w:t>事项名</w:t>
            </w:r>
            <w:r>
              <w:rPr>
                <w:rFonts w:hint="eastAsia" w:ascii="黑体" w:hAnsi="黑体" w:eastAsia="黑体" w:cs="黑体"/>
                <w:b w:val="0"/>
                <w:bCs w:val="0"/>
                <w:sz w:val="28"/>
                <w:szCs w:val="28"/>
              </w:rPr>
              <w:t>称</w:t>
            </w:r>
          </w:p>
        </w:tc>
        <w:tc>
          <w:tcPr>
            <w:tcW w:w="9370" w:type="dxa"/>
            <w:vAlign w:val="top"/>
          </w:tcPr>
          <w:p w14:paraId="0CC6764C">
            <w:pPr>
              <w:pStyle w:val="5"/>
              <w:spacing w:before="188" w:line="219" w:lineRule="auto"/>
              <w:ind w:left="643"/>
              <w:jc w:val="center"/>
              <w:rPr>
                <w:rFonts w:hint="eastAsia" w:ascii="黑体" w:hAnsi="黑体" w:eastAsia="黑体" w:cs="黑体"/>
                <w:b w:val="0"/>
                <w:bCs w:val="0"/>
                <w:sz w:val="28"/>
                <w:szCs w:val="28"/>
                <w:lang w:eastAsia="zh-CN"/>
              </w:rPr>
            </w:pPr>
            <w:r>
              <w:rPr>
                <w:rFonts w:hint="eastAsia" w:ascii="黑体" w:hAnsi="黑体" w:eastAsia="黑体" w:cs="黑体"/>
                <w:b w:val="0"/>
                <w:bCs w:val="0"/>
                <w:spacing w:val="-1"/>
                <w:sz w:val="28"/>
                <w:szCs w:val="28"/>
              </w:rPr>
              <w:t>设定</w:t>
            </w:r>
            <w:r>
              <w:rPr>
                <w:rFonts w:hint="eastAsia" w:ascii="黑体" w:hAnsi="黑体" w:eastAsia="黑体" w:cs="黑体"/>
                <w:b w:val="0"/>
                <w:bCs w:val="0"/>
                <w:spacing w:val="-1"/>
                <w:sz w:val="28"/>
                <w:szCs w:val="28"/>
                <w:lang w:val="en-US" w:eastAsia="zh-CN"/>
              </w:rPr>
              <w:t>依据</w:t>
            </w:r>
          </w:p>
        </w:tc>
        <w:tc>
          <w:tcPr>
            <w:tcW w:w="3358" w:type="dxa"/>
            <w:vAlign w:val="top"/>
          </w:tcPr>
          <w:p w14:paraId="0B74E998">
            <w:pPr>
              <w:pStyle w:val="5"/>
              <w:spacing w:before="188" w:line="219" w:lineRule="auto"/>
              <w:ind w:left="643"/>
              <w:jc w:val="both"/>
              <w:rPr>
                <w:rFonts w:hint="eastAsia" w:ascii="黑体" w:hAnsi="黑体" w:eastAsia="黑体" w:cs="黑体"/>
                <w:b w:val="0"/>
                <w:bCs w:val="0"/>
                <w:spacing w:val="-1"/>
                <w:sz w:val="28"/>
                <w:szCs w:val="28"/>
                <w:lang w:val="en-US" w:eastAsia="zh-CN"/>
              </w:rPr>
            </w:pPr>
            <w:r>
              <w:rPr>
                <w:rFonts w:hint="eastAsia" w:ascii="黑体" w:hAnsi="黑体" w:eastAsia="黑体" w:cs="黑体"/>
                <w:b w:val="0"/>
                <w:bCs w:val="0"/>
                <w:spacing w:val="-1"/>
                <w:sz w:val="28"/>
                <w:szCs w:val="28"/>
                <w:lang w:val="en-US" w:eastAsia="zh-CN"/>
              </w:rPr>
              <w:t>实施主体</w:t>
            </w:r>
          </w:p>
        </w:tc>
      </w:tr>
      <w:tr w14:paraId="17841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530" w:type="dxa"/>
            <w:tcBorders>
              <w:bottom w:val="nil"/>
            </w:tcBorders>
            <w:vAlign w:val="top"/>
          </w:tcPr>
          <w:p w14:paraId="0A1E7D3A">
            <w:pPr>
              <w:spacing w:line="269" w:lineRule="auto"/>
              <w:rPr>
                <w:rFonts w:hint="eastAsia" w:ascii="仿宋_GB2312" w:hAnsi="仿宋_GB2312" w:eastAsia="仿宋_GB2312" w:cs="仿宋_GB2312"/>
                <w:sz w:val="24"/>
                <w:szCs w:val="24"/>
              </w:rPr>
            </w:pPr>
          </w:p>
          <w:p w14:paraId="1AC834EB">
            <w:pPr>
              <w:spacing w:line="269" w:lineRule="auto"/>
              <w:rPr>
                <w:rFonts w:hint="eastAsia" w:ascii="仿宋_GB2312" w:hAnsi="仿宋_GB2312" w:eastAsia="仿宋_GB2312" w:cs="仿宋_GB2312"/>
                <w:sz w:val="24"/>
                <w:szCs w:val="24"/>
              </w:rPr>
            </w:pPr>
          </w:p>
          <w:p w14:paraId="524D7EF2">
            <w:pPr>
              <w:pStyle w:val="5"/>
              <w:spacing w:before="33" w:line="24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120" w:type="dxa"/>
            <w:tcBorders>
              <w:bottom w:val="nil"/>
            </w:tcBorders>
            <w:vAlign w:val="top"/>
          </w:tcPr>
          <w:p w14:paraId="2805C480">
            <w:pPr>
              <w:spacing w:line="391" w:lineRule="auto"/>
              <w:rPr>
                <w:rFonts w:hint="eastAsia" w:ascii="仿宋_GB2312" w:hAnsi="仿宋_GB2312" w:eastAsia="仿宋_GB2312" w:cs="仿宋_GB2312"/>
                <w:sz w:val="24"/>
                <w:szCs w:val="24"/>
              </w:rPr>
            </w:pPr>
          </w:p>
          <w:p w14:paraId="5270DBED">
            <w:pPr>
              <w:pStyle w:val="5"/>
              <w:spacing w:before="32" w:line="221" w:lineRule="auto"/>
              <w:ind w:left="92" w:right="1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对已取得成品油经营资格的企业的经营活动的检查</w:t>
            </w:r>
          </w:p>
        </w:tc>
        <w:tc>
          <w:tcPr>
            <w:tcW w:w="9370" w:type="dxa"/>
            <w:tcBorders>
              <w:bottom w:val="nil"/>
            </w:tcBorders>
            <w:vAlign w:val="top"/>
          </w:tcPr>
          <w:p w14:paraId="5B512CFC">
            <w:pPr>
              <w:pStyle w:val="5"/>
              <w:spacing w:before="1" w:line="215" w:lineRule="auto"/>
              <w:ind w:left="23" w:right="25" w:firstLine="49"/>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1.【行政法规】《国务院对确需保留的行政审批项目设定行政许可的决定》（国务院令第412号）第183项：“商务部、省级人民政府商务行政主管部门负责石油成品油批发、仓储、零售经营资格审批”。</w:t>
            </w:r>
          </w:p>
          <w:p w14:paraId="4EBCDAEB">
            <w:pPr>
              <w:pStyle w:val="5"/>
              <w:spacing w:before="1" w:line="215" w:lineRule="auto"/>
              <w:ind w:left="23" w:right="25" w:firstLine="49"/>
              <w:rPr>
                <w:rFonts w:hint="eastAsia" w:ascii="仿宋_GB2312" w:hAnsi="仿宋_GB2312" w:eastAsia="仿宋_GB2312" w:cs="仿宋_GB2312"/>
                <w:spacing w:val="-1"/>
                <w:sz w:val="24"/>
                <w:szCs w:val="24"/>
              </w:rPr>
            </w:pPr>
            <w:r>
              <w:rPr>
                <w:rFonts w:hint="eastAsia" w:ascii="仿宋_GB2312" w:hAnsi="仿宋_GB2312" w:eastAsia="仿宋_GB2312" w:cs="仿宋_GB2312"/>
                <w:spacing w:val="-1"/>
                <w:sz w:val="24"/>
                <w:szCs w:val="24"/>
              </w:rPr>
              <w:t>2.【国务院文件】《国务院办公厅关于加快发展流通促进商业消费的意见》（国办发〔2019〕42号）第十七条：“扩大成品油市场准入。取消石油成品油批发仓储经营资格审批，将成品油零售经营资格审批下放至地市级人民政府，加强成品油流通事中事后监管，强化安全保障措施落实”；《国务院关于加强和规范事中事后监管的指导意见》（国发〔2019〕18号）第二条第（三）项：“对下放审批权的事项，要同时调整监管层级，确保审批监管权责统一”。</w:t>
            </w:r>
          </w:p>
        </w:tc>
        <w:tc>
          <w:tcPr>
            <w:tcW w:w="3358" w:type="dxa"/>
            <w:tcBorders/>
            <w:shd w:val="clear"/>
            <w:vAlign w:val="bottom"/>
          </w:tcPr>
          <w:p w14:paraId="40591862">
            <w:pPr>
              <w:pStyle w:val="5"/>
              <w:spacing w:before="1" w:line="215" w:lineRule="auto"/>
              <w:ind w:right="25"/>
              <w:jc w:val="center"/>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峄城区商务和投资促进局</w:t>
            </w:r>
          </w:p>
          <w:p w14:paraId="6DAC7320">
            <w:pPr>
              <w:pStyle w:val="5"/>
              <w:spacing w:before="1" w:line="215" w:lineRule="auto"/>
              <w:ind w:right="25" w:firstLine="325" w:firstLineChars="0"/>
              <w:jc w:val="center"/>
              <w:rPr>
                <w:rFonts w:hint="eastAsia" w:ascii="仿宋_GB2312" w:hAnsi="仿宋_GB2312" w:eastAsia="仿宋_GB2312" w:cs="仿宋_GB2312"/>
                <w:spacing w:val="-1"/>
                <w:sz w:val="24"/>
                <w:szCs w:val="24"/>
                <w:lang w:val="en-US" w:eastAsia="en-US"/>
              </w:rPr>
            </w:pPr>
          </w:p>
          <w:p w14:paraId="2DC4DE7B">
            <w:pPr>
              <w:pStyle w:val="5"/>
              <w:spacing w:before="1" w:line="215" w:lineRule="auto"/>
              <w:ind w:right="25" w:firstLine="325" w:firstLineChars="0"/>
              <w:jc w:val="center"/>
              <w:rPr>
                <w:rFonts w:hint="eastAsia" w:ascii="仿宋_GB2312" w:hAnsi="仿宋_GB2312" w:eastAsia="仿宋_GB2312" w:cs="仿宋_GB2312"/>
                <w:spacing w:val="-1"/>
                <w:sz w:val="24"/>
                <w:szCs w:val="24"/>
                <w:lang w:val="en-US" w:eastAsia="en-US"/>
              </w:rPr>
            </w:pPr>
          </w:p>
          <w:p w14:paraId="52F5939C">
            <w:pPr>
              <w:pStyle w:val="5"/>
              <w:spacing w:before="1" w:line="215" w:lineRule="auto"/>
              <w:ind w:right="25" w:firstLine="325" w:firstLineChars="0"/>
              <w:jc w:val="center"/>
              <w:rPr>
                <w:rFonts w:hint="eastAsia" w:ascii="仿宋_GB2312" w:hAnsi="仿宋_GB2312" w:eastAsia="仿宋_GB2312" w:cs="仿宋_GB2312"/>
                <w:spacing w:val="-1"/>
                <w:sz w:val="24"/>
                <w:szCs w:val="24"/>
                <w:lang w:val="en-US" w:eastAsia="en-US"/>
              </w:rPr>
            </w:pPr>
          </w:p>
          <w:p w14:paraId="3493BAD4">
            <w:pPr>
              <w:pStyle w:val="5"/>
              <w:spacing w:before="1" w:line="215" w:lineRule="auto"/>
              <w:ind w:right="25" w:firstLine="325" w:firstLineChars="0"/>
              <w:jc w:val="center"/>
              <w:rPr>
                <w:rFonts w:hint="eastAsia" w:ascii="仿宋_GB2312" w:hAnsi="仿宋_GB2312" w:eastAsia="仿宋_GB2312" w:cs="仿宋_GB2312"/>
                <w:spacing w:val="-1"/>
                <w:sz w:val="24"/>
                <w:szCs w:val="24"/>
                <w:lang w:val="en-US" w:eastAsia="en-US"/>
              </w:rPr>
            </w:pPr>
          </w:p>
          <w:p w14:paraId="6D57948E">
            <w:pPr>
              <w:pStyle w:val="5"/>
              <w:spacing w:before="1" w:line="215" w:lineRule="auto"/>
              <w:ind w:right="25" w:firstLine="325" w:firstLineChars="0"/>
              <w:jc w:val="center"/>
              <w:rPr>
                <w:rFonts w:hint="eastAsia" w:ascii="仿宋_GB2312" w:hAnsi="仿宋_GB2312" w:eastAsia="仿宋_GB2312" w:cs="仿宋_GB2312"/>
                <w:spacing w:val="-1"/>
                <w:sz w:val="24"/>
                <w:szCs w:val="24"/>
                <w:lang w:val="en-US" w:eastAsia="en-US"/>
              </w:rPr>
            </w:pPr>
          </w:p>
        </w:tc>
      </w:tr>
      <w:tr w14:paraId="67D8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530" w:type="dxa"/>
            <w:vAlign w:val="top"/>
          </w:tcPr>
          <w:p w14:paraId="3A10FDF2">
            <w:pPr>
              <w:spacing w:line="269" w:lineRule="auto"/>
              <w:rPr>
                <w:rFonts w:hint="eastAsia" w:ascii="仿宋_GB2312" w:hAnsi="仿宋_GB2312" w:eastAsia="仿宋_GB2312" w:cs="仿宋_GB2312"/>
                <w:sz w:val="24"/>
                <w:szCs w:val="24"/>
              </w:rPr>
            </w:pPr>
          </w:p>
          <w:p w14:paraId="0573A292">
            <w:pPr>
              <w:spacing w:line="270" w:lineRule="auto"/>
              <w:rPr>
                <w:rFonts w:hint="eastAsia" w:ascii="仿宋_GB2312" w:hAnsi="仿宋_GB2312" w:eastAsia="仿宋_GB2312" w:cs="仿宋_GB2312"/>
                <w:sz w:val="24"/>
                <w:szCs w:val="24"/>
              </w:rPr>
            </w:pPr>
          </w:p>
          <w:p w14:paraId="6A0C81C4">
            <w:pPr>
              <w:spacing w:line="270" w:lineRule="auto"/>
              <w:rPr>
                <w:rFonts w:hint="eastAsia" w:ascii="仿宋_GB2312" w:hAnsi="仿宋_GB2312" w:eastAsia="仿宋_GB2312" w:cs="仿宋_GB2312"/>
                <w:sz w:val="24"/>
                <w:szCs w:val="24"/>
              </w:rPr>
            </w:pPr>
          </w:p>
          <w:p w14:paraId="7107D0AF">
            <w:pPr>
              <w:pStyle w:val="5"/>
              <w:spacing w:before="33" w:line="241" w:lineRule="auto"/>
              <w:ind w:left="6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120" w:type="dxa"/>
            <w:vAlign w:val="top"/>
          </w:tcPr>
          <w:p w14:paraId="76BED62B">
            <w:pPr>
              <w:spacing w:line="280" w:lineRule="auto"/>
              <w:rPr>
                <w:rFonts w:hint="eastAsia" w:ascii="仿宋_GB2312" w:hAnsi="仿宋_GB2312" w:eastAsia="仿宋_GB2312" w:cs="仿宋_GB2312"/>
                <w:sz w:val="24"/>
                <w:szCs w:val="24"/>
              </w:rPr>
            </w:pPr>
          </w:p>
          <w:p w14:paraId="1EBAB104">
            <w:pPr>
              <w:spacing w:line="281" w:lineRule="auto"/>
              <w:rPr>
                <w:rFonts w:hint="eastAsia" w:ascii="仿宋_GB2312" w:hAnsi="仿宋_GB2312" w:eastAsia="仿宋_GB2312" w:cs="仿宋_GB2312"/>
                <w:sz w:val="24"/>
                <w:szCs w:val="24"/>
              </w:rPr>
            </w:pPr>
          </w:p>
          <w:p w14:paraId="71D5EED5">
            <w:pPr>
              <w:pStyle w:val="5"/>
              <w:spacing w:before="32" w:line="219" w:lineRule="auto"/>
              <w:ind w:right="10"/>
              <w:jc w:val="both"/>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对报废机动车</w:t>
            </w:r>
            <w:r>
              <w:rPr>
                <w:rFonts w:hint="eastAsia" w:ascii="仿宋_GB2312" w:hAnsi="仿宋_GB2312" w:eastAsia="仿宋_GB2312" w:cs="仿宋_GB2312"/>
                <w:spacing w:val="-4"/>
                <w:sz w:val="24"/>
                <w:szCs w:val="24"/>
              </w:rPr>
              <w:t>回收企</w:t>
            </w:r>
            <w:r>
              <w:rPr>
                <w:rFonts w:hint="eastAsia" w:ascii="仿宋_GB2312" w:hAnsi="仿宋_GB2312" w:eastAsia="仿宋_GB2312" w:cs="仿宋_GB2312"/>
                <w:spacing w:val="-1"/>
                <w:sz w:val="24"/>
                <w:szCs w:val="24"/>
              </w:rPr>
              <w:t>业的监</w:t>
            </w:r>
            <w:r>
              <w:rPr>
                <w:rFonts w:hint="eastAsia" w:ascii="仿宋_GB2312" w:hAnsi="仿宋_GB2312" w:eastAsia="仿宋_GB2312" w:cs="仿宋_GB2312"/>
                <w:spacing w:val="-2"/>
                <w:sz w:val="24"/>
                <w:szCs w:val="24"/>
              </w:rPr>
              <w:t>督检查</w:t>
            </w:r>
          </w:p>
        </w:tc>
        <w:tc>
          <w:tcPr>
            <w:tcW w:w="9370" w:type="dxa"/>
            <w:vAlign w:val="top"/>
          </w:tcPr>
          <w:p w14:paraId="2FB8AF31">
            <w:pPr>
              <w:pStyle w:val="5"/>
              <w:spacing w:before="2" w:line="223" w:lineRule="auto"/>
              <w:ind w:left="1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1.【行政法规】《报废机动车回收管理办法》（国务院令第715号，2019年6月1日起施行）第四条：“县级以上地方人民政府负责报废机动车回收管理的部门对本行政区域内报废机动车回收活动实施监督管理。县级以上地方人民政府公安、生态环境、工业和信息化、交通运输、市场监督管理等部门在各自的职责范围内对本行政区域内报废机动车回收活动实施有关的监督管理。”第十六条：“ 县级以上地方人民政府负责报废机动车回收管理的部门应当加强对报废机动车回收企业的监督检查，建立和完善以随机抽查为重点的日常监督检查制度，公布抽查事项目录，明确抽查的依据、频次、方式、内容和程序，随机抽取被检查企业，随机选派检查人员。抽查情况和查处结果应当及时向社会公布。”</w:t>
            </w:r>
          </w:p>
        </w:tc>
        <w:tc>
          <w:tcPr>
            <w:tcW w:w="3358" w:type="dxa"/>
            <w:vAlign w:val="top"/>
          </w:tcPr>
          <w:p w14:paraId="520B65C6">
            <w:pPr>
              <w:pStyle w:val="5"/>
              <w:spacing w:before="1" w:line="215" w:lineRule="auto"/>
              <w:ind w:right="25"/>
              <w:jc w:val="center"/>
              <w:rPr>
                <w:rFonts w:hint="eastAsia" w:ascii="仿宋_GB2312" w:hAnsi="仿宋_GB2312" w:eastAsia="仿宋_GB2312" w:cs="仿宋_GB2312"/>
                <w:spacing w:val="-1"/>
                <w:sz w:val="24"/>
                <w:szCs w:val="24"/>
                <w:lang w:val="en-US" w:eastAsia="zh-CN"/>
              </w:rPr>
            </w:pPr>
          </w:p>
          <w:p w14:paraId="313F515D">
            <w:pPr>
              <w:pStyle w:val="5"/>
              <w:spacing w:before="1" w:line="215" w:lineRule="auto"/>
              <w:ind w:right="25"/>
              <w:jc w:val="center"/>
              <w:rPr>
                <w:rFonts w:hint="eastAsia" w:ascii="仿宋_GB2312" w:hAnsi="仿宋_GB2312" w:eastAsia="仿宋_GB2312" w:cs="仿宋_GB2312"/>
                <w:spacing w:val="-1"/>
                <w:sz w:val="24"/>
                <w:szCs w:val="24"/>
                <w:lang w:val="en-US" w:eastAsia="zh-CN"/>
              </w:rPr>
            </w:pPr>
          </w:p>
          <w:p w14:paraId="2B84C72F">
            <w:pPr>
              <w:pStyle w:val="5"/>
              <w:spacing w:before="1" w:line="215" w:lineRule="auto"/>
              <w:ind w:right="25"/>
              <w:jc w:val="center"/>
              <w:rPr>
                <w:rFonts w:hint="eastAsia" w:ascii="仿宋_GB2312" w:hAnsi="仿宋_GB2312" w:eastAsia="仿宋_GB2312" w:cs="仿宋_GB2312"/>
                <w:spacing w:val="-1"/>
                <w:sz w:val="24"/>
                <w:szCs w:val="24"/>
                <w:lang w:val="en-US" w:eastAsia="zh-CN"/>
              </w:rPr>
            </w:pPr>
          </w:p>
          <w:p w14:paraId="4939D9E5">
            <w:pPr>
              <w:pStyle w:val="5"/>
              <w:spacing w:before="1" w:line="215" w:lineRule="auto"/>
              <w:ind w:right="25"/>
              <w:jc w:val="center"/>
              <w:rPr>
                <w:rFonts w:hint="eastAsia" w:ascii="仿宋_GB2312" w:hAnsi="仿宋_GB2312" w:eastAsia="仿宋_GB2312" w:cs="仿宋_GB2312"/>
                <w:spacing w:val="-1"/>
                <w:sz w:val="24"/>
                <w:szCs w:val="24"/>
                <w:lang w:val="en-US" w:eastAsia="zh-CN"/>
              </w:rPr>
            </w:pPr>
          </w:p>
          <w:p w14:paraId="37E8CD89">
            <w:pPr>
              <w:pStyle w:val="5"/>
              <w:spacing w:before="1" w:line="215" w:lineRule="auto"/>
              <w:ind w:right="25"/>
              <w:jc w:val="center"/>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峄城区商务和投资促进局</w:t>
            </w:r>
          </w:p>
          <w:p w14:paraId="6A5A755A">
            <w:pPr>
              <w:pStyle w:val="5"/>
              <w:spacing w:before="2" w:line="223" w:lineRule="auto"/>
              <w:ind w:left="13"/>
              <w:jc w:val="center"/>
              <w:rPr>
                <w:rFonts w:hint="eastAsia" w:ascii="仿宋_GB2312" w:hAnsi="仿宋_GB2312" w:eastAsia="仿宋_GB2312" w:cs="仿宋_GB2312"/>
                <w:spacing w:val="-2"/>
                <w:sz w:val="24"/>
                <w:szCs w:val="24"/>
              </w:rPr>
            </w:pPr>
          </w:p>
        </w:tc>
      </w:tr>
      <w:tr w14:paraId="79C52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8" w:hRule="atLeast"/>
        </w:trPr>
        <w:tc>
          <w:tcPr>
            <w:tcW w:w="530" w:type="dxa"/>
            <w:vAlign w:val="top"/>
          </w:tcPr>
          <w:p w14:paraId="38E52ABC">
            <w:pPr>
              <w:spacing w:line="286" w:lineRule="auto"/>
              <w:rPr>
                <w:rFonts w:hint="eastAsia" w:ascii="仿宋_GB2312" w:hAnsi="仿宋_GB2312" w:eastAsia="仿宋_GB2312" w:cs="仿宋_GB2312"/>
                <w:sz w:val="24"/>
                <w:szCs w:val="24"/>
              </w:rPr>
            </w:pPr>
          </w:p>
          <w:p w14:paraId="117B70AF">
            <w:pPr>
              <w:spacing w:line="286" w:lineRule="auto"/>
              <w:rPr>
                <w:rFonts w:hint="eastAsia" w:ascii="仿宋_GB2312" w:hAnsi="仿宋_GB2312" w:eastAsia="仿宋_GB2312" w:cs="仿宋_GB2312"/>
                <w:sz w:val="24"/>
                <w:szCs w:val="24"/>
              </w:rPr>
            </w:pPr>
          </w:p>
          <w:p w14:paraId="40EFAAED">
            <w:pPr>
              <w:pStyle w:val="5"/>
              <w:spacing w:before="33"/>
              <w:ind w:left="65"/>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120" w:type="dxa"/>
            <w:vAlign w:val="top"/>
          </w:tcPr>
          <w:p w14:paraId="04631DC8">
            <w:pPr>
              <w:spacing w:line="274" w:lineRule="auto"/>
              <w:rPr>
                <w:rFonts w:hint="eastAsia" w:ascii="仿宋_GB2312" w:hAnsi="仿宋_GB2312" w:eastAsia="仿宋_GB2312" w:cs="仿宋_GB2312"/>
                <w:sz w:val="24"/>
                <w:szCs w:val="24"/>
              </w:rPr>
            </w:pPr>
          </w:p>
          <w:p w14:paraId="477E885B">
            <w:pPr>
              <w:pStyle w:val="5"/>
              <w:spacing w:before="32" w:line="214" w:lineRule="auto"/>
              <w:ind w:right="11"/>
              <w:jc w:val="both"/>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对汽车销售及</w:t>
            </w:r>
            <w:r>
              <w:rPr>
                <w:rFonts w:hint="eastAsia" w:ascii="仿宋_GB2312" w:hAnsi="仿宋_GB2312" w:eastAsia="仿宋_GB2312" w:cs="仿宋_GB2312"/>
                <w:spacing w:val="11"/>
                <w:sz w:val="24"/>
                <w:szCs w:val="24"/>
              </w:rPr>
              <w:t>其相关</w:t>
            </w:r>
            <w:r>
              <w:rPr>
                <w:rFonts w:hint="eastAsia" w:ascii="仿宋_GB2312" w:hAnsi="仿宋_GB2312" w:eastAsia="仿宋_GB2312" w:cs="仿宋_GB2312"/>
                <w:spacing w:val="12"/>
                <w:sz w:val="24"/>
                <w:szCs w:val="24"/>
              </w:rPr>
              <w:t>服务</w:t>
            </w:r>
            <w:r>
              <w:rPr>
                <w:rFonts w:hint="eastAsia" w:ascii="仿宋_GB2312" w:hAnsi="仿宋_GB2312" w:eastAsia="仿宋_GB2312" w:cs="仿宋_GB2312"/>
                <w:spacing w:val="12"/>
                <w:sz w:val="24"/>
                <w:szCs w:val="24"/>
                <w:lang w:val="en-US" w:eastAsia="zh-CN"/>
              </w:rPr>
              <w:t>活</w:t>
            </w:r>
            <w:bookmarkStart w:id="0" w:name="_GoBack"/>
            <w:bookmarkEnd w:id="0"/>
            <w:r>
              <w:rPr>
                <w:rFonts w:hint="eastAsia" w:ascii="仿宋_GB2312" w:hAnsi="仿宋_GB2312" w:eastAsia="仿宋_GB2312" w:cs="仿宋_GB2312"/>
                <w:spacing w:val="-1"/>
                <w:sz w:val="24"/>
                <w:szCs w:val="24"/>
              </w:rPr>
              <w:t>动的检</w:t>
            </w:r>
            <w:r>
              <w:rPr>
                <w:rFonts w:hint="eastAsia" w:ascii="仿宋_GB2312" w:hAnsi="仿宋_GB2312" w:eastAsia="仿宋_GB2312" w:cs="仿宋_GB2312"/>
                <w:sz w:val="24"/>
                <w:szCs w:val="24"/>
              </w:rPr>
              <w:t>查</w:t>
            </w:r>
          </w:p>
        </w:tc>
        <w:tc>
          <w:tcPr>
            <w:tcW w:w="9370" w:type="dxa"/>
            <w:vAlign w:val="top"/>
          </w:tcPr>
          <w:p w14:paraId="71C97E06">
            <w:pPr>
              <w:pStyle w:val="5"/>
              <w:spacing w:before="11" w:line="237" w:lineRule="auto"/>
              <w:ind w:left="33"/>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1.【部委规章】《汽车销售管理办法》（2017年4月商务部令2017年第1号，自2017年7月1日起施行）第二十九条：“县级以上地方商务主管部门应当依据职责，采取“双随机”办法对汽车销售及其相关服务活动实施日常监督检查。监督检查可以采取下列措施：（一）进入供应商、经销商从事经营活动的场所进行现场检查；（二）询问与监督检查事项有关的单位和个人，要求其说明情况；（三）查阅、复制有关文件、资料，检查相关数据信息系统及复制相关信息数据；（四）依据国家有关规定采取的其他措施。”</w:t>
            </w:r>
          </w:p>
        </w:tc>
        <w:tc>
          <w:tcPr>
            <w:tcW w:w="3358" w:type="dxa"/>
            <w:vAlign w:val="top"/>
          </w:tcPr>
          <w:p w14:paraId="4E4F149A">
            <w:pPr>
              <w:pStyle w:val="5"/>
              <w:spacing w:before="1" w:line="215" w:lineRule="auto"/>
              <w:ind w:right="25"/>
              <w:jc w:val="center"/>
              <w:rPr>
                <w:rFonts w:hint="eastAsia" w:ascii="仿宋_GB2312" w:hAnsi="仿宋_GB2312" w:eastAsia="仿宋_GB2312" w:cs="仿宋_GB2312"/>
                <w:spacing w:val="-1"/>
                <w:sz w:val="24"/>
                <w:szCs w:val="24"/>
                <w:lang w:val="en-US" w:eastAsia="zh-CN"/>
              </w:rPr>
            </w:pPr>
          </w:p>
          <w:p w14:paraId="76FC0103">
            <w:pPr>
              <w:pStyle w:val="5"/>
              <w:spacing w:before="1" w:line="215" w:lineRule="auto"/>
              <w:ind w:right="25"/>
              <w:jc w:val="center"/>
              <w:rPr>
                <w:rFonts w:hint="eastAsia" w:ascii="仿宋_GB2312" w:hAnsi="仿宋_GB2312" w:eastAsia="仿宋_GB2312" w:cs="仿宋_GB2312"/>
                <w:spacing w:val="-1"/>
                <w:sz w:val="24"/>
                <w:szCs w:val="24"/>
                <w:lang w:val="en-US" w:eastAsia="zh-CN"/>
              </w:rPr>
            </w:pPr>
          </w:p>
          <w:p w14:paraId="4E034816">
            <w:pPr>
              <w:pStyle w:val="5"/>
              <w:spacing w:before="1" w:line="215" w:lineRule="auto"/>
              <w:ind w:right="25"/>
              <w:jc w:val="center"/>
              <w:rPr>
                <w:rFonts w:hint="eastAsia" w:ascii="仿宋_GB2312" w:hAnsi="仿宋_GB2312" w:eastAsia="仿宋_GB2312" w:cs="仿宋_GB2312"/>
                <w:spacing w:val="-1"/>
                <w:sz w:val="24"/>
                <w:szCs w:val="24"/>
                <w:lang w:val="en-US" w:eastAsia="zh-CN"/>
              </w:rPr>
            </w:pPr>
          </w:p>
          <w:p w14:paraId="5BEA62B9">
            <w:pPr>
              <w:pStyle w:val="5"/>
              <w:spacing w:before="1" w:line="215" w:lineRule="auto"/>
              <w:ind w:right="25"/>
              <w:jc w:val="center"/>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峄城区商务和投资促进局</w:t>
            </w:r>
          </w:p>
          <w:p w14:paraId="122FACC9">
            <w:pPr>
              <w:pStyle w:val="5"/>
              <w:spacing w:before="11" w:line="237" w:lineRule="auto"/>
              <w:ind w:left="33"/>
              <w:jc w:val="center"/>
              <w:rPr>
                <w:rFonts w:hint="eastAsia" w:ascii="仿宋_GB2312" w:hAnsi="仿宋_GB2312" w:eastAsia="仿宋_GB2312" w:cs="仿宋_GB2312"/>
                <w:spacing w:val="-17"/>
                <w:sz w:val="24"/>
                <w:szCs w:val="24"/>
              </w:rPr>
            </w:pPr>
          </w:p>
        </w:tc>
      </w:tr>
      <w:tr w14:paraId="6CB8E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530" w:type="dxa"/>
            <w:vAlign w:val="top"/>
          </w:tcPr>
          <w:p w14:paraId="45512C26">
            <w:pPr>
              <w:spacing w:line="267" w:lineRule="auto"/>
              <w:rPr>
                <w:rFonts w:hint="eastAsia" w:ascii="仿宋_GB2312" w:hAnsi="仿宋_GB2312" w:eastAsia="仿宋_GB2312" w:cs="仿宋_GB2312"/>
                <w:sz w:val="24"/>
                <w:szCs w:val="24"/>
              </w:rPr>
            </w:pPr>
          </w:p>
          <w:p w14:paraId="3D18378E">
            <w:pPr>
              <w:spacing w:line="268" w:lineRule="auto"/>
              <w:rPr>
                <w:rFonts w:hint="eastAsia" w:ascii="仿宋_GB2312" w:hAnsi="仿宋_GB2312" w:eastAsia="仿宋_GB2312" w:cs="仿宋_GB2312"/>
                <w:sz w:val="24"/>
                <w:szCs w:val="24"/>
              </w:rPr>
            </w:pPr>
          </w:p>
          <w:p w14:paraId="3750023B">
            <w:pPr>
              <w:pStyle w:val="5"/>
              <w:spacing w:before="32" w:line="241"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120" w:type="dxa"/>
            <w:vAlign w:val="top"/>
          </w:tcPr>
          <w:p w14:paraId="551F759B">
            <w:pPr>
              <w:spacing w:line="272" w:lineRule="auto"/>
              <w:rPr>
                <w:rFonts w:hint="eastAsia" w:ascii="仿宋_GB2312" w:hAnsi="仿宋_GB2312" w:eastAsia="仿宋_GB2312" w:cs="仿宋_GB2312"/>
                <w:sz w:val="24"/>
                <w:szCs w:val="24"/>
              </w:rPr>
            </w:pPr>
          </w:p>
          <w:p w14:paraId="21BF145A">
            <w:pPr>
              <w:spacing w:line="272" w:lineRule="auto"/>
              <w:rPr>
                <w:rFonts w:hint="eastAsia" w:ascii="仿宋_GB2312" w:hAnsi="仿宋_GB2312" w:eastAsia="仿宋_GB2312" w:cs="仿宋_GB2312"/>
                <w:sz w:val="24"/>
                <w:szCs w:val="24"/>
              </w:rPr>
            </w:pPr>
          </w:p>
          <w:p w14:paraId="490B052D">
            <w:pPr>
              <w:pStyle w:val="5"/>
              <w:spacing w:before="32" w:line="222" w:lineRule="auto"/>
              <w:ind w:right="11"/>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对外国投资者、外商投资企业遵守外商投资信息报告制度的监督检查</w:t>
            </w:r>
          </w:p>
        </w:tc>
        <w:tc>
          <w:tcPr>
            <w:tcW w:w="9370" w:type="dxa"/>
            <w:vAlign w:val="top"/>
          </w:tcPr>
          <w:p w14:paraId="396EE278">
            <w:pPr>
              <w:pStyle w:val="5"/>
              <w:spacing w:before="1" w:line="224" w:lineRule="auto"/>
              <w:ind w:left="13" w:firstLine="9"/>
              <w:rPr>
                <w:rFonts w:hint="eastAsia" w:ascii="仿宋_GB2312" w:hAnsi="仿宋_GB2312" w:eastAsia="仿宋_GB2312" w:cs="仿宋_GB2312"/>
                <w:sz w:val="24"/>
                <w:szCs w:val="24"/>
              </w:rPr>
            </w:pPr>
            <w:r>
              <w:rPr>
                <w:rFonts w:hint="eastAsia" w:ascii="仿宋_GB2312" w:hAnsi="仿宋_GB2312" w:eastAsia="仿宋_GB2312" w:cs="仿宋_GB2312"/>
                <w:spacing w:val="-1"/>
                <w:sz w:val="24"/>
                <w:szCs w:val="24"/>
              </w:rPr>
              <w:t>1.【部委规章】《外商投资信息报告办法》（商务部、市场监管总局令2019年第2号）第二十条“商务主管部门对外国投资者、外商投资企业遵守本办法情况实施监督检查。” ；第二十一条 “商务主管部门采取抽查方式对外国投资者、外商投资企业履行信息报告义务的情况实施监督检查，应当随机抽取检查对象、随机选派执法检查人员，抽查事项及查处结果及时通过外商投资信息报告系统公示平台予以公示。” ; 第二十二条“商务主管部门可采取实地核查、书面检查等方式进行监督检查，可根据需要从其他部门获取信息用于核实外国投资者或者外商投资企业报送的投资信息是否真实、准确、完整、及时。商务主管部门可依法查阅或者要求被检查人提供有关材料，被检查人应当配合检查，如实提供。”</w:t>
            </w:r>
          </w:p>
        </w:tc>
        <w:tc>
          <w:tcPr>
            <w:tcW w:w="3358" w:type="dxa"/>
            <w:vAlign w:val="top"/>
          </w:tcPr>
          <w:p w14:paraId="1B7A795A">
            <w:pPr>
              <w:pStyle w:val="5"/>
              <w:spacing w:before="1" w:line="215" w:lineRule="auto"/>
              <w:ind w:right="25"/>
              <w:jc w:val="center"/>
              <w:rPr>
                <w:rFonts w:hint="eastAsia" w:ascii="仿宋_GB2312" w:hAnsi="仿宋_GB2312" w:eastAsia="仿宋_GB2312" w:cs="仿宋_GB2312"/>
                <w:spacing w:val="-1"/>
                <w:sz w:val="24"/>
                <w:szCs w:val="24"/>
                <w:lang w:val="en-US" w:eastAsia="zh-CN"/>
              </w:rPr>
            </w:pPr>
          </w:p>
          <w:p w14:paraId="1C200E51">
            <w:pPr>
              <w:pStyle w:val="5"/>
              <w:spacing w:before="1" w:line="215" w:lineRule="auto"/>
              <w:ind w:right="25"/>
              <w:jc w:val="center"/>
              <w:rPr>
                <w:rFonts w:hint="eastAsia" w:ascii="仿宋_GB2312" w:hAnsi="仿宋_GB2312" w:eastAsia="仿宋_GB2312" w:cs="仿宋_GB2312"/>
                <w:spacing w:val="-1"/>
                <w:sz w:val="24"/>
                <w:szCs w:val="24"/>
                <w:lang w:val="en-US" w:eastAsia="zh-CN"/>
              </w:rPr>
            </w:pPr>
          </w:p>
          <w:p w14:paraId="1C327EE1">
            <w:pPr>
              <w:pStyle w:val="5"/>
              <w:spacing w:before="1" w:line="215" w:lineRule="auto"/>
              <w:ind w:right="25"/>
              <w:jc w:val="center"/>
              <w:rPr>
                <w:rFonts w:hint="eastAsia" w:ascii="仿宋_GB2312" w:hAnsi="仿宋_GB2312" w:eastAsia="仿宋_GB2312" w:cs="仿宋_GB2312"/>
                <w:spacing w:val="-1"/>
                <w:sz w:val="24"/>
                <w:szCs w:val="24"/>
                <w:lang w:val="en-US" w:eastAsia="zh-CN"/>
              </w:rPr>
            </w:pPr>
          </w:p>
          <w:p w14:paraId="6C0398EB">
            <w:pPr>
              <w:pStyle w:val="5"/>
              <w:spacing w:before="1" w:line="215" w:lineRule="auto"/>
              <w:ind w:right="25"/>
              <w:jc w:val="center"/>
              <w:rPr>
                <w:rFonts w:hint="eastAsia" w:ascii="仿宋_GB2312" w:hAnsi="仿宋_GB2312" w:eastAsia="仿宋_GB2312" w:cs="仿宋_GB2312"/>
                <w:spacing w:val="-1"/>
                <w:sz w:val="24"/>
                <w:szCs w:val="24"/>
                <w:lang w:val="en-US" w:eastAsia="zh-CN"/>
              </w:rPr>
            </w:pPr>
          </w:p>
          <w:p w14:paraId="5CB289A0">
            <w:pPr>
              <w:pStyle w:val="5"/>
              <w:spacing w:before="1" w:line="215" w:lineRule="auto"/>
              <w:ind w:right="25"/>
              <w:jc w:val="center"/>
              <w:rPr>
                <w:rFonts w:hint="default" w:ascii="仿宋_GB2312" w:hAnsi="仿宋_GB2312" w:eastAsia="仿宋_GB2312" w:cs="仿宋_GB2312"/>
                <w:spacing w:val="-1"/>
                <w:sz w:val="24"/>
                <w:szCs w:val="24"/>
                <w:lang w:val="en-US" w:eastAsia="zh-CN"/>
              </w:rPr>
            </w:pPr>
            <w:r>
              <w:rPr>
                <w:rFonts w:hint="eastAsia" w:ascii="仿宋_GB2312" w:hAnsi="仿宋_GB2312" w:eastAsia="仿宋_GB2312" w:cs="仿宋_GB2312"/>
                <w:spacing w:val="-1"/>
                <w:sz w:val="24"/>
                <w:szCs w:val="24"/>
                <w:lang w:val="en-US" w:eastAsia="zh-CN"/>
              </w:rPr>
              <w:t>峄城区商务和投资促进局</w:t>
            </w:r>
          </w:p>
          <w:p w14:paraId="7029B309">
            <w:pPr>
              <w:pStyle w:val="5"/>
              <w:spacing w:before="1" w:line="224" w:lineRule="auto"/>
              <w:ind w:left="13" w:firstLine="9"/>
              <w:jc w:val="center"/>
              <w:rPr>
                <w:rFonts w:hint="eastAsia" w:ascii="仿宋_GB2312" w:hAnsi="仿宋_GB2312" w:eastAsia="仿宋_GB2312" w:cs="仿宋_GB2312"/>
                <w:spacing w:val="-2"/>
                <w:sz w:val="24"/>
                <w:szCs w:val="24"/>
              </w:rPr>
            </w:pPr>
          </w:p>
        </w:tc>
      </w:tr>
    </w:tbl>
    <w:p w14:paraId="55244B49">
      <w:pPr>
        <w:rPr>
          <w:rFonts w:ascii="Arial"/>
          <w:sz w:val="24"/>
          <w:szCs w:val="24"/>
        </w:rPr>
      </w:pPr>
    </w:p>
    <w:sectPr>
      <w:pgSz w:w="16840" w:h="11900" w:orient="landscape"/>
      <w:pgMar w:top="94" w:right="1431" w:bottom="134"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16492F37"/>
    <w:rsid w:val="22A84AE9"/>
    <w:rsid w:val="49AA18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10"/>
      <w:szCs w:val="1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3170</Words>
  <Characters>3328</Characters>
  <TotalTime>28</TotalTime>
  <ScaleCrop>false</ScaleCrop>
  <LinksUpToDate>false</LinksUpToDate>
  <CharactersWithSpaces>3441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2025-04-28T14:52:00Z</dcterms:created>
  <dc:creator>Administrator</dc:creator>
  <cp:lastModifiedBy>旭阳</cp:lastModifiedBy>
  <dcterms:modified xsi:type="dcterms:W3CDTF">2025-04-28T07:46:32Z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2025-04-28T14:52:26Z</vt:filetime>
  </property>
  <property fmtid="{D5CDD505-2E9C-101B-9397-08002B2CF9AE}" pid="4" name="UsrData">
    <vt:lpwstr>680f25a5428e8c002043e8cewl</vt:lpwstr>
  </property>
  <property fmtid="{D5CDD505-2E9C-101B-9397-08002B2CF9AE}" pid="5" name="KSOTemplateDocerSaveRecord">
    <vt:lpwstr>eyJoZGlkIjoiODYxMzRmNWMzZjIxMGMzMzlmNmQ5M2VjNGI5ZjU2ZDciLCJ1c2VySWQiOiI0NjgwODA2MzAifQ==</vt:lpwstr>
  </property>
  <property fmtid="{D5CDD505-2E9C-101B-9397-08002B2CF9AE}" pid="6" name="KSOProductBuildVer">
    <vt:lpwstr>2052-12.1.0.20784</vt:lpwstr>
  </property>
  <property fmtid="{D5CDD505-2E9C-101B-9397-08002B2CF9AE}" pid="7" name="ICV">
    <vt:lpwstr>6D8FD7E222B346B99C610639F4593CEC_13</vt:lpwstr>
  </property>
</Properties>
</file>