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2F" w:rsidRDefault="002B0C2F">
      <w:pPr>
        <w:pStyle w:val="BodyText"/>
        <w:spacing w:before="24" w:line="580" w:lineRule="exact"/>
        <w:rPr>
          <w:rFonts w:ascii="Times New Roman" w:eastAsia="黑体" w:hAnsi="Times New Roman"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bCs/>
          <w:color w:val="000000"/>
          <w:sz w:val="32"/>
          <w:szCs w:val="32"/>
        </w:rPr>
        <w:t>2</w:t>
      </w:r>
    </w:p>
    <w:p w:rsidR="002B0C2F" w:rsidRDefault="002B0C2F">
      <w:pPr>
        <w:pStyle w:val="BodyText"/>
        <w:spacing w:before="24" w:line="580" w:lineRule="exact"/>
        <w:jc w:val="center"/>
        <w:outlineLvl w:val="0"/>
        <w:rPr>
          <w:rFonts w:ascii="Times New Roman" w:eastAsia="方正小标宋简体" w:hAnsi="Times New Roman"/>
          <w:bCs/>
          <w:color w:val="000000"/>
          <w:sz w:val="44"/>
          <w:szCs w:val="44"/>
        </w:rPr>
      </w:pP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健康城市评价指标体系（</w:t>
      </w:r>
      <w:r>
        <w:rPr>
          <w:rFonts w:ascii="Times New Roman" w:eastAsia="方正小标宋简体" w:hAnsi="Times New Roman"/>
          <w:bCs/>
          <w:color w:val="000000"/>
          <w:sz w:val="44"/>
          <w:szCs w:val="44"/>
        </w:rPr>
        <w:t>2018</w:t>
      </w:r>
      <w:r>
        <w:rPr>
          <w:rFonts w:ascii="Times New Roman" w:eastAsia="方正小标宋简体" w:hAnsi="Times New Roman" w:hint="eastAsia"/>
          <w:bCs/>
          <w:color w:val="000000"/>
          <w:sz w:val="44"/>
          <w:szCs w:val="44"/>
        </w:rPr>
        <w:t>版）</w:t>
      </w:r>
    </w:p>
    <w:tbl>
      <w:tblPr>
        <w:tblW w:w="8873" w:type="dxa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20"/>
        <w:gridCol w:w="2033"/>
        <w:gridCol w:w="5220"/>
      </w:tblGrid>
      <w:tr w:rsidR="002B0C2F" w:rsidRPr="00BE5FE5">
        <w:trPr>
          <w:trHeight w:hRule="exact" w:val="510"/>
          <w:jc w:val="center"/>
        </w:trPr>
        <w:tc>
          <w:tcPr>
            <w:tcW w:w="1620" w:type="dxa"/>
            <w:vAlign w:val="center"/>
          </w:tcPr>
          <w:p w:rsidR="002B0C2F" w:rsidRDefault="002B0C2F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2033" w:type="dxa"/>
            <w:vAlign w:val="center"/>
          </w:tcPr>
          <w:p w:rsidR="002B0C2F" w:rsidRDefault="002B0C2F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5220" w:type="dxa"/>
            <w:vAlign w:val="center"/>
          </w:tcPr>
          <w:p w:rsidR="002B0C2F" w:rsidRDefault="002B0C2F">
            <w:pPr>
              <w:jc w:val="center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color w:val="000000"/>
                <w:sz w:val="28"/>
                <w:szCs w:val="28"/>
              </w:rPr>
              <w:t>三级指标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 w:val="restart"/>
            <w:vAlign w:val="center"/>
          </w:tcPr>
          <w:p w:rsidR="002B0C2F" w:rsidRPr="00BE5FE5" w:rsidRDefault="002B0C2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健康环境</w:t>
            </w:r>
          </w:p>
        </w:tc>
        <w:tc>
          <w:tcPr>
            <w:tcW w:w="2033" w:type="dxa"/>
            <w:vMerge w:val="restart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空气质量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）环境空气质量优良天数占比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）重度及以上污染天数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水质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）生活饮用水水质达标率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）集中式饮用水水源地安全保障达标率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垃圾废物处理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）生活垃圾无害化处理率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其他相关环境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）公共厕所设置密度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3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）无害化卫生厕所普及率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农村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）人均公园绿地面积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  <w:lang w:val="en-US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  <w:lang w:val="en-US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9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  <w:lang w:val="en-US"/>
              </w:rPr>
              <w:t>）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病媒生物密度控制水平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）国家卫生县城（乡镇）占比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 w:val="restart"/>
            <w:vAlign w:val="center"/>
          </w:tcPr>
          <w:p w:rsidR="002B0C2F" w:rsidRPr="00BE5FE5" w:rsidRDefault="002B0C2F">
            <w:pPr>
              <w:pStyle w:val="TableParagraph"/>
              <w:ind w:left="38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健康社会</w:t>
            </w:r>
          </w:p>
        </w:tc>
        <w:tc>
          <w:tcPr>
            <w:tcW w:w="2033" w:type="dxa"/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5.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社会保障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）基本医保住院费用实际报销比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6.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健身活动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）城市人均体育场地面积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）每千人拥有社会体育指导员人数比例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7.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职业安全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）职业健康检查覆盖率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8.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食品安全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）食品抽样检验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批次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/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千人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9.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文化教育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）学生体质监测优良率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10.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养老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）每千名老年人口拥有养老床位数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2B0C2F" w:rsidRDefault="002B0C2F">
            <w:pPr>
              <w:pStyle w:val="TableParagraph"/>
              <w:spacing w:line="300" w:lineRule="exact"/>
              <w:ind w:left="0" w:right="196"/>
              <w:rPr>
                <w:rFonts w:ascii="Times New Roman" w:eastAsia="仿宋_GB2312" w:hAnsi="Times New Roman" w:cs="Times New Roman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w w:val="99"/>
                <w:szCs w:val="21"/>
              </w:rPr>
              <w:t>※</w:t>
            </w:r>
          </w:p>
          <w:p w:rsidR="002B0C2F" w:rsidRPr="00BE5FE5" w:rsidRDefault="002B0C2F">
            <w:pPr>
              <w:pStyle w:val="TableParagraph"/>
              <w:spacing w:line="300" w:lineRule="exact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11.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健康细胞工程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）健康社区覆盖率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）健康学校覆盖率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）健康企业覆盖率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2F" w:rsidRPr="00BE5FE5" w:rsidRDefault="002B0C2F">
            <w:pPr>
              <w:pStyle w:val="TableParagraph"/>
              <w:ind w:left="38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健康服务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12.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精神卫生管理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）严重精神障碍患者规范管理率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13.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妇幼卫生服务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）儿童健康管理率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）孕产妇系统管理率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</w:tcBorders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14.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卫生资源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）每万人口全科医生数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）每万人口拥有公共卫生人员数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）每千人口医疗卫生机构床位数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3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）提供中医药服务的基层医疗卫生机构占比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）卫生健康支出占财政支出的比重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 w:val="restart"/>
            <w:vAlign w:val="center"/>
          </w:tcPr>
          <w:p w:rsidR="002B0C2F" w:rsidRPr="00BE5FE5" w:rsidRDefault="002B0C2F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2B0C2F" w:rsidRPr="00BE5FE5" w:rsidRDefault="002B0C2F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2B0C2F" w:rsidRPr="00BE5FE5" w:rsidRDefault="002B0C2F">
            <w:pPr>
              <w:pStyle w:val="TableParagraph"/>
              <w:ind w:left="38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健康人群</w:t>
            </w:r>
          </w:p>
        </w:tc>
        <w:tc>
          <w:tcPr>
            <w:tcW w:w="2033" w:type="dxa"/>
            <w:vMerge w:val="restart"/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15.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健康水平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）人均预期寿命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）婴儿死亡率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岁以下儿童死亡率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）孕产妇死亡率</w:t>
            </w:r>
          </w:p>
        </w:tc>
      </w:tr>
      <w:tr w:rsidR="002B0C2F" w:rsidRPr="00BE5FE5">
        <w:trPr>
          <w:trHeight w:hRule="exact" w:val="635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）城乡居民达到《国民体质测定标准》合格以上的人数比例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16.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传染病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）甲乙类传染病发病率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2B0C2F" w:rsidRPr="00BE5FE5" w:rsidRDefault="002B0C2F">
            <w:pPr>
              <w:pStyle w:val="TableParagraph"/>
              <w:spacing w:before="2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17.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慢性病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5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）重大慢性病过早死亡率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 xml:space="preserve">18-50 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岁人群高血压患病率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pStyle w:val="TableParagraph"/>
              <w:spacing w:before="22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（</w:t>
            </w:r>
            <w:r w:rsidRPr="00BE5FE5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  <w:r w:rsidRPr="00BE5FE5">
              <w:rPr>
                <w:rFonts w:ascii="Times New Roman" w:hAnsi="Times New Roman" w:cs="Times New Roman" w:hint="eastAsia"/>
                <w:color w:val="000000"/>
                <w:sz w:val="24"/>
              </w:rPr>
              <w:t>）肿瘤年龄标化发病率变化幅度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 w:val="restart"/>
            <w:vAlign w:val="center"/>
          </w:tcPr>
          <w:p w:rsidR="002B0C2F" w:rsidRPr="00BE5FE5" w:rsidRDefault="002B0C2F"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健康文化</w:t>
            </w:r>
          </w:p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 w:rsidR="002B0C2F" w:rsidRPr="00BE5FE5" w:rsidRDefault="002B0C2F"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>18.</w:t>
            </w: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健康素养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widowControl/>
              <w:spacing w:before="22"/>
              <w:ind w:left="10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>38</w:t>
            </w: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）居民健康素养水平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2B0C2F" w:rsidRPr="00BE5FE5" w:rsidRDefault="002B0C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>19.</w:t>
            </w: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健康行为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widowControl/>
              <w:spacing w:before="22"/>
              <w:ind w:left="10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>39</w:t>
            </w: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>15</w:t>
            </w: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岁以上人群吸烟率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widowControl/>
              <w:spacing w:before="22"/>
              <w:ind w:left="10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>40</w:t>
            </w: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）经常参加体育锻炼人口比例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 w:val="restart"/>
            <w:vAlign w:val="center"/>
          </w:tcPr>
          <w:p w:rsidR="002B0C2F" w:rsidRPr="00BE5FE5" w:rsidRDefault="002B0C2F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>20.</w:t>
            </w: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健康氛围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widowControl/>
              <w:spacing w:before="22"/>
              <w:ind w:left="10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>41</w:t>
            </w: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）媒体健康科普水平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 w:rsidR="002B0C2F" w:rsidRPr="00BE5FE5">
        <w:trPr>
          <w:trHeight w:hRule="exact" w:val="510"/>
          <w:jc w:val="center"/>
        </w:trPr>
        <w:tc>
          <w:tcPr>
            <w:tcW w:w="1620" w:type="dxa"/>
            <w:vMerge/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33" w:type="dxa"/>
            <w:vMerge/>
            <w:vAlign w:val="center"/>
          </w:tcPr>
          <w:p w:rsidR="002B0C2F" w:rsidRPr="00BE5FE5" w:rsidRDefault="002B0C2F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20" w:type="dxa"/>
            <w:vAlign w:val="center"/>
          </w:tcPr>
          <w:p w:rsidR="002B0C2F" w:rsidRPr="00BE5FE5" w:rsidRDefault="002B0C2F">
            <w:pPr>
              <w:widowControl/>
              <w:spacing w:before="22"/>
              <w:ind w:left="108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</w:t>
            </w:r>
            <w:r w:rsidRPr="00BE5FE5">
              <w:rPr>
                <w:rFonts w:ascii="Times New Roman" w:hAnsi="Times New Roman"/>
                <w:color w:val="000000"/>
                <w:kern w:val="0"/>
                <w:sz w:val="24"/>
              </w:rPr>
              <w:t>42</w:t>
            </w:r>
            <w:r w:rsidRPr="00BE5FE5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）注册志愿者比例</w:t>
            </w:r>
          </w:p>
        </w:tc>
      </w:tr>
    </w:tbl>
    <w:p w:rsidR="002B0C2F" w:rsidRDefault="002B0C2F" w:rsidP="00E57AC5">
      <w:pPr>
        <w:numPr>
          <w:ilvl w:val="0"/>
          <w:numId w:val="1"/>
        </w:numPr>
        <w:spacing w:before="99" w:line="580" w:lineRule="exact"/>
        <w:jc w:val="left"/>
        <w:rPr>
          <w:rFonts w:eastAsia="方正小标宋简体"/>
          <w:sz w:val="44"/>
          <w:szCs w:val="44"/>
        </w:rPr>
      </w:pPr>
      <w:r>
        <w:rPr>
          <w:rFonts w:ascii="Times New Roman" w:eastAsia="仿宋_GB2312" w:hAnsi="Times New Roman" w:hint="eastAsia"/>
          <w:b/>
          <w:color w:val="000000"/>
        </w:rPr>
        <w:t>注释：将根据</w:t>
      </w:r>
      <w:r>
        <w:rPr>
          <w:rFonts w:ascii="Times New Roman" w:eastAsia="仿宋_GB2312" w:hAnsi="Times New Roman"/>
          <w:b/>
          <w:color w:val="000000"/>
        </w:rPr>
        <w:t>“</w:t>
      </w:r>
      <w:r>
        <w:rPr>
          <w:rFonts w:ascii="Times New Roman" w:eastAsia="仿宋_GB2312" w:hAnsi="Times New Roman" w:hint="eastAsia"/>
          <w:b/>
          <w:color w:val="000000"/>
        </w:rPr>
        <w:t>健康细胞</w:t>
      </w:r>
      <w:r>
        <w:rPr>
          <w:rFonts w:ascii="Times New Roman" w:eastAsia="仿宋_GB2312" w:hAnsi="Times New Roman"/>
          <w:b/>
          <w:color w:val="000000"/>
        </w:rPr>
        <w:t>”</w:t>
      </w:r>
      <w:r>
        <w:rPr>
          <w:rFonts w:ascii="Times New Roman" w:eastAsia="仿宋_GB2312" w:hAnsi="Times New Roman" w:hint="eastAsia"/>
          <w:b/>
          <w:color w:val="000000"/>
        </w:rPr>
        <w:t>建设进展情况适时纳入评价。</w:t>
      </w:r>
    </w:p>
    <w:sectPr w:rsidR="002B0C2F" w:rsidSect="005A08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2F" w:rsidRDefault="002B0C2F" w:rsidP="005A0887">
      <w:r>
        <w:separator/>
      </w:r>
    </w:p>
  </w:endnote>
  <w:endnote w:type="continuationSeparator" w:id="1">
    <w:p w:rsidR="002B0C2F" w:rsidRDefault="002B0C2F" w:rsidP="005A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2F" w:rsidRDefault="002B0C2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 filled="f" stroked="f" strokeweight=".5pt">
          <v:textbox style="mso-fit-shape-to-text:t" inset="0,0,0,0">
            <w:txbxContent>
              <w:p w:rsidR="002B0C2F" w:rsidRDefault="002B0C2F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2F" w:rsidRDefault="002B0C2F" w:rsidP="005A0887">
      <w:r>
        <w:separator/>
      </w:r>
    </w:p>
  </w:footnote>
  <w:footnote w:type="continuationSeparator" w:id="1">
    <w:p w:rsidR="002B0C2F" w:rsidRDefault="002B0C2F" w:rsidP="005A0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510B"/>
    <w:multiLevelType w:val="multilevel"/>
    <w:tmpl w:val="35F9510B"/>
    <w:lvl w:ilvl="0">
      <w:start w:val="37"/>
      <w:numFmt w:val="bullet"/>
      <w:lvlText w:val="※"/>
      <w:lvlJc w:val="left"/>
      <w:pPr>
        <w:tabs>
          <w:tab w:val="left" w:pos="578"/>
        </w:tabs>
        <w:ind w:left="578" w:hanging="360"/>
      </w:pPr>
      <w:rPr>
        <w:rFonts w:ascii="仿宋_GB2312" w:eastAsia="仿宋_GB2312" w:hAnsi="仿宋_GB2312" w:hint="eastAsia"/>
      </w:rPr>
    </w:lvl>
    <w:lvl w:ilvl="1">
      <w:start w:val="1"/>
      <w:numFmt w:val="bullet"/>
      <w:lvlText w:val=""/>
      <w:lvlJc w:val="left"/>
      <w:pPr>
        <w:tabs>
          <w:tab w:val="left" w:pos="1058"/>
        </w:tabs>
        <w:ind w:left="1058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78"/>
        </w:tabs>
        <w:ind w:left="14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98"/>
        </w:tabs>
        <w:ind w:left="1898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18"/>
        </w:tabs>
        <w:ind w:left="2318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38"/>
        </w:tabs>
        <w:ind w:left="27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58"/>
        </w:tabs>
        <w:ind w:left="3158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78"/>
        </w:tabs>
        <w:ind w:left="3578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1B273E"/>
    <w:rsid w:val="000D38B1"/>
    <w:rsid w:val="002B0C2F"/>
    <w:rsid w:val="0032233B"/>
    <w:rsid w:val="003C1D7A"/>
    <w:rsid w:val="004F36F5"/>
    <w:rsid w:val="005434DC"/>
    <w:rsid w:val="005632E4"/>
    <w:rsid w:val="005A01DD"/>
    <w:rsid w:val="005A0887"/>
    <w:rsid w:val="005E1E91"/>
    <w:rsid w:val="0062536C"/>
    <w:rsid w:val="00906DAD"/>
    <w:rsid w:val="009964C2"/>
    <w:rsid w:val="00A2124F"/>
    <w:rsid w:val="00B37FFC"/>
    <w:rsid w:val="00BE5FE5"/>
    <w:rsid w:val="00D30B29"/>
    <w:rsid w:val="00D933F8"/>
    <w:rsid w:val="00E57AC5"/>
    <w:rsid w:val="00F637EC"/>
    <w:rsid w:val="00F8541F"/>
    <w:rsid w:val="01626303"/>
    <w:rsid w:val="01842C6A"/>
    <w:rsid w:val="01B03D9A"/>
    <w:rsid w:val="01C94444"/>
    <w:rsid w:val="02004CAB"/>
    <w:rsid w:val="026A0E87"/>
    <w:rsid w:val="02F53A3D"/>
    <w:rsid w:val="034078FA"/>
    <w:rsid w:val="03615477"/>
    <w:rsid w:val="036C644E"/>
    <w:rsid w:val="03B03934"/>
    <w:rsid w:val="04BF590A"/>
    <w:rsid w:val="04C339A7"/>
    <w:rsid w:val="05091BEE"/>
    <w:rsid w:val="051A65B7"/>
    <w:rsid w:val="053B583D"/>
    <w:rsid w:val="055A2343"/>
    <w:rsid w:val="05E32CE8"/>
    <w:rsid w:val="05ED6B15"/>
    <w:rsid w:val="05F435F1"/>
    <w:rsid w:val="06055B09"/>
    <w:rsid w:val="063E5B78"/>
    <w:rsid w:val="067540EE"/>
    <w:rsid w:val="06C34FCD"/>
    <w:rsid w:val="06EE2DF0"/>
    <w:rsid w:val="07351E9D"/>
    <w:rsid w:val="07ED2509"/>
    <w:rsid w:val="07F35BDB"/>
    <w:rsid w:val="08745008"/>
    <w:rsid w:val="09662CB0"/>
    <w:rsid w:val="0A2E450E"/>
    <w:rsid w:val="0A5218BF"/>
    <w:rsid w:val="0B0E1845"/>
    <w:rsid w:val="0B5069D9"/>
    <w:rsid w:val="0BB51380"/>
    <w:rsid w:val="0C1A23DD"/>
    <w:rsid w:val="0C2C546F"/>
    <w:rsid w:val="0C9B4EC9"/>
    <w:rsid w:val="0DAD30D8"/>
    <w:rsid w:val="0DB57959"/>
    <w:rsid w:val="0DCC64D3"/>
    <w:rsid w:val="0EC8029E"/>
    <w:rsid w:val="0ED04F3C"/>
    <w:rsid w:val="0F086135"/>
    <w:rsid w:val="0F517BED"/>
    <w:rsid w:val="0F640B5E"/>
    <w:rsid w:val="0F8B3629"/>
    <w:rsid w:val="0FDC635D"/>
    <w:rsid w:val="100F7064"/>
    <w:rsid w:val="108F7124"/>
    <w:rsid w:val="109E3700"/>
    <w:rsid w:val="10D36213"/>
    <w:rsid w:val="10EF0E65"/>
    <w:rsid w:val="1111040D"/>
    <w:rsid w:val="11884B1D"/>
    <w:rsid w:val="119F4CE6"/>
    <w:rsid w:val="124553FA"/>
    <w:rsid w:val="12653809"/>
    <w:rsid w:val="12CF0FCF"/>
    <w:rsid w:val="13122C8B"/>
    <w:rsid w:val="13234B64"/>
    <w:rsid w:val="13241B27"/>
    <w:rsid w:val="13467B7F"/>
    <w:rsid w:val="13672049"/>
    <w:rsid w:val="146F64DE"/>
    <w:rsid w:val="14D3146B"/>
    <w:rsid w:val="1559619A"/>
    <w:rsid w:val="16411104"/>
    <w:rsid w:val="167371A1"/>
    <w:rsid w:val="16AA5343"/>
    <w:rsid w:val="16C92A5A"/>
    <w:rsid w:val="17042AE0"/>
    <w:rsid w:val="171D6BE4"/>
    <w:rsid w:val="1737615A"/>
    <w:rsid w:val="18446698"/>
    <w:rsid w:val="18B16A19"/>
    <w:rsid w:val="18B7282B"/>
    <w:rsid w:val="18C41B3C"/>
    <w:rsid w:val="18F95EE2"/>
    <w:rsid w:val="18FE5B04"/>
    <w:rsid w:val="1914169E"/>
    <w:rsid w:val="198413E4"/>
    <w:rsid w:val="19DC752C"/>
    <w:rsid w:val="1A723F6E"/>
    <w:rsid w:val="1A815B26"/>
    <w:rsid w:val="1AFE4352"/>
    <w:rsid w:val="1B582413"/>
    <w:rsid w:val="1B5F486B"/>
    <w:rsid w:val="1C1F7AD7"/>
    <w:rsid w:val="1D0926C9"/>
    <w:rsid w:val="1D4D3623"/>
    <w:rsid w:val="1D69542B"/>
    <w:rsid w:val="1E3A0B8A"/>
    <w:rsid w:val="1E5A2B03"/>
    <w:rsid w:val="1EC400AE"/>
    <w:rsid w:val="1F33204D"/>
    <w:rsid w:val="1F5E30FB"/>
    <w:rsid w:val="1FAE42A7"/>
    <w:rsid w:val="202D135E"/>
    <w:rsid w:val="204F259A"/>
    <w:rsid w:val="21580601"/>
    <w:rsid w:val="22605447"/>
    <w:rsid w:val="22634BDB"/>
    <w:rsid w:val="22BF5E7C"/>
    <w:rsid w:val="23C86226"/>
    <w:rsid w:val="24560ABF"/>
    <w:rsid w:val="24AE069E"/>
    <w:rsid w:val="24D547F6"/>
    <w:rsid w:val="251416ED"/>
    <w:rsid w:val="251B4916"/>
    <w:rsid w:val="25D919D4"/>
    <w:rsid w:val="263360D7"/>
    <w:rsid w:val="26423EBE"/>
    <w:rsid w:val="26C548E9"/>
    <w:rsid w:val="26D232F6"/>
    <w:rsid w:val="27803929"/>
    <w:rsid w:val="27E9190F"/>
    <w:rsid w:val="28B5225A"/>
    <w:rsid w:val="28FA71D1"/>
    <w:rsid w:val="299A0D7C"/>
    <w:rsid w:val="29A72651"/>
    <w:rsid w:val="29B87B49"/>
    <w:rsid w:val="29C2213E"/>
    <w:rsid w:val="2A0755D1"/>
    <w:rsid w:val="2B2B4E96"/>
    <w:rsid w:val="2B7F7E6D"/>
    <w:rsid w:val="2C915724"/>
    <w:rsid w:val="2CD3067F"/>
    <w:rsid w:val="2CF60604"/>
    <w:rsid w:val="2D3658DE"/>
    <w:rsid w:val="2DB65207"/>
    <w:rsid w:val="2E00358A"/>
    <w:rsid w:val="2E004A45"/>
    <w:rsid w:val="2E783DB0"/>
    <w:rsid w:val="2E974823"/>
    <w:rsid w:val="2EC85CB8"/>
    <w:rsid w:val="2EFA6BBC"/>
    <w:rsid w:val="2EFE7F3B"/>
    <w:rsid w:val="2FCE3343"/>
    <w:rsid w:val="2FE5504E"/>
    <w:rsid w:val="2FF81B47"/>
    <w:rsid w:val="30612B23"/>
    <w:rsid w:val="31733F3B"/>
    <w:rsid w:val="321861AA"/>
    <w:rsid w:val="328F076A"/>
    <w:rsid w:val="32A15138"/>
    <w:rsid w:val="32C26C8F"/>
    <w:rsid w:val="33107736"/>
    <w:rsid w:val="331B1C01"/>
    <w:rsid w:val="33355562"/>
    <w:rsid w:val="33423457"/>
    <w:rsid w:val="33FE389A"/>
    <w:rsid w:val="347B284D"/>
    <w:rsid w:val="347E37C6"/>
    <w:rsid w:val="34FA1F5B"/>
    <w:rsid w:val="3572629E"/>
    <w:rsid w:val="357817C7"/>
    <w:rsid w:val="35BD2E6C"/>
    <w:rsid w:val="3633524F"/>
    <w:rsid w:val="36455900"/>
    <w:rsid w:val="364A4E30"/>
    <w:rsid w:val="37254947"/>
    <w:rsid w:val="375530DD"/>
    <w:rsid w:val="37E82051"/>
    <w:rsid w:val="38EE5D63"/>
    <w:rsid w:val="390E247E"/>
    <w:rsid w:val="39942154"/>
    <w:rsid w:val="39EB067E"/>
    <w:rsid w:val="3A1D5DDA"/>
    <w:rsid w:val="3A463838"/>
    <w:rsid w:val="3AD64AAD"/>
    <w:rsid w:val="3AF020A4"/>
    <w:rsid w:val="3B2961D5"/>
    <w:rsid w:val="3B857E3D"/>
    <w:rsid w:val="3B8E3FAC"/>
    <w:rsid w:val="3BA034F3"/>
    <w:rsid w:val="3BB001A6"/>
    <w:rsid w:val="3BCB10F1"/>
    <w:rsid w:val="3C315A0F"/>
    <w:rsid w:val="3C6459EB"/>
    <w:rsid w:val="3CF5232C"/>
    <w:rsid w:val="3D480621"/>
    <w:rsid w:val="3EB455F8"/>
    <w:rsid w:val="3EDC11FA"/>
    <w:rsid w:val="3F057563"/>
    <w:rsid w:val="3F534C1E"/>
    <w:rsid w:val="3F5E4179"/>
    <w:rsid w:val="3F8D4E53"/>
    <w:rsid w:val="40910A44"/>
    <w:rsid w:val="40B54403"/>
    <w:rsid w:val="42001CC4"/>
    <w:rsid w:val="42FF5F79"/>
    <w:rsid w:val="43B845EF"/>
    <w:rsid w:val="444E4F72"/>
    <w:rsid w:val="452017E8"/>
    <w:rsid w:val="45ED6FF4"/>
    <w:rsid w:val="466D7333"/>
    <w:rsid w:val="479A6E6C"/>
    <w:rsid w:val="47BE256F"/>
    <w:rsid w:val="481B273E"/>
    <w:rsid w:val="48867822"/>
    <w:rsid w:val="48927587"/>
    <w:rsid w:val="496C6C1A"/>
    <w:rsid w:val="499A15A4"/>
    <w:rsid w:val="4A2D7205"/>
    <w:rsid w:val="4A521D7D"/>
    <w:rsid w:val="4A7429DB"/>
    <w:rsid w:val="4A8146D1"/>
    <w:rsid w:val="4AFB2275"/>
    <w:rsid w:val="4BC84CE9"/>
    <w:rsid w:val="4BEF3107"/>
    <w:rsid w:val="4D5B216E"/>
    <w:rsid w:val="4D982812"/>
    <w:rsid w:val="4DBB7EF3"/>
    <w:rsid w:val="4E8B6F6C"/>
    <w:rsid w:val="4EF47022"/>
    <w:rsid w:val="4F0A69E7"/>
    <w:rsid w:val="4F6412F1"/>
    <w:rsid w:val="4FBA1F90"/>
    <w:rsid w:val="500660B0"/>
    <w:rsid w:val="50863A3C"/>
    <w:rsid w:val="50876628"/>
    <w:rsid w:val="512F2537"/>
    <w:rsid w:val="513C3AB9"/>
    <w:rsid w:val="51BB39D1"/>
    <w:rsid w:val="52130AB7"/>
    <w:rsid w:val="52474010"/>
    <w:rsid w:val="52F751DF"/>
    <w:rsid w:val="536D3EFC"/>
    <w:rsid w:val="537F0D60"/>
    <w:rsid w:val="53B474CF"/>
    <w:rsid w:val="54017AA5"/>
    <w:rsid w:val="54743587"/>
    <w:rsid w:val="54911539"/>
    <w:rsid w:val="55894D9F"/>
    <w:rsid w:val="558F66F6"/>
    <w:rsid w:val="55A44D3F"/>
    <w:rsid w:val="55B92428"/>
    <w:rsid w:val="55E17249"/>
    <w:rsid w:val="55FB2E86"/>
    <w:rsid w:val="568654AD"/>
    <w:rsid w:val="569049EF"/>
    <w:rsid w:val="56E5412E"/>
    <w:rsid w:val="576D3E72"/>
    <w:rsid w:val="58295EFC"/>
    <w:rsid w:val="58F365D1"/>
    <w:rsid w:val="59302863"/>
    <w:rsid w:val="5965207B"/>
    <w:rsid w:val="596E2AFB"/>
    <w:rsid w:val="598A7E8E"/>
    <w:rsid w:val="59E67CBF"/>
    <w:rsid w:val="5B803AB8"/>
    <w:rsid w:val="5C1F03A8"/>
    <w:rsid w:val="5C614E16"/>
    <w:rsid w:val="5D736C02"/>
    <w:rsid w:val="5D99699A"/>
    <w:rsid w:val="5DA97AF1"/>
    <w:rsid w:val="5E4B31B2"/>
    <w:rsid w:val="5E9C785F"/>
    <w:rsid w:val="5EE205B2"/>
    <w:rsid w:val="5F825A2F"/>
    <w:rsid w:val="5F931EF2"/>
    <w:rsid w:val="5F9417BB"/>
    <w:rsid w:val="5FFF1279"/>
    <w:rsid w:val="603B2112"/>
    <w:rsid w:val="606C1D2D"/>
    <w:rsid w:val="6082461E"/>
    <w:rsid w:val="60867613"/>
    <w:rsid w:val="60C01107"/>
    <w:rsid w:val="60E46A99"/>
    <w:rsid w:val="60FF43D2"/>
    <w:rsid w:val="61C725F0"/>
    <w:rsid w:val="61F307FD"/>
    <w:rsid w:val="621329BE"/>
    <w:rsid w:val="625E600F"/>
    <w:rsid w:val="62BC0110"/>
    <w:rsid w:val="62BE7333"/>
    <w:rsid w:val="62CC262D"/>
    <w:rsid w:val="63280FFF"/>
    <w:rsid w:val="63FA78DC"/>
    <w:rsid w:val="64334068"/>
    <w:rsid w:val="645918D5"/>
    <w:rsid w:val="647701F1"/>
    <w:rsid w:val="65771528"/>
    <w:rsid w:val="65B248D5"/>
    <w:rsid w:val="65C025FB"/>
    <w:rsid w:val="662F5EEE"/>
    <w:rsid w:val="667F6949"/>
    <w:rsid w:val="669D61F5"/>
    <w:rsid w:val="678D3454"/>
    <w:rsid w:val="683909ED"/>
    <w:rsid w:val="68551E88"/>
    <w:rsid w:val="6869242B"/>
    <w:rsid w:val="68B13858"/>
    <w:rsid w:val="68DB282E"/>
    <w:rsid w:val="68E71E3F"/>
    <w:rsid w:val="68FD6D0D"/>
    <w:rsid w:val="69064373"/>
    <w:rsid w:val="69382487"/>
    <w:rsid w:val="698A0CBB"/>
    <w:rsid w:val="69DC3DDC"/>
    <w:rsid w:val="6A1E65FE"/>
    <w:rsid w:val="6A2453D2"/>
    <w:rsid w:val="6A387420"/>
    <w:rsid w:val="6B6917F5"/>
    <w:rsid w:val="6C3F7CDD"/>
    <w:rsid w:val="6D466E35"/>
    <w:rsid w:val="6D892D58"/>
    <w:rsid w:val="6D995777"/>
    <w:rsid w:val="6DAC5A71"/>
    <w:rsid w:val="6DC72E5E"/>
    <w:rsid w:val="6E067F16"/>
    <w:rsid w:val="6E4A719E"/>
    <w:rsid w:val="6E4C61C4"/>
    <w:rsid w:val="6E5B0FE9"/>
    <w:rsid w:val="6E6A4C9F"/>
    <w:rsid w:val="6FBF25FA"/>
    <w:rsid w:val="70112777"/>
    <w:rsid w:val="70D95744"/>
    <w:rsid w:val="712649BA"/>
    <w:rsid w:val="71740016"/>
    <w:rsid w:val="71FF1D91"/>
    <w:rsid w:val="723B5B38"/>
    <w:rsid w:val="7262065C"/>
    <w:rsid w:val="72ED0C6C"/>
    <w:rsid w:val="732D21F2"/>
    <w:rsid w:val="73865B5D"/>
    <w:rsid w:val="73D118AF"/>
    <w:rsid w:val="743A506F"/>
    <w:rsid w:val="74B73B07"/>
    <w:rsid w:val="74DE1E67"/>
    <w:rsid w:val="74E21635"/>
    <w:rsid w:val="756861FD"/>
    <w:rsid w:val="7639372F"/>
    <w:rsid w:val="76A33C03"/>
    <w:rsid w:val="773166C0"/>
    <w:rsid w:val="773D36E2"/>
    <w:rsid w:val="77C2139E"/>
    <w:rsid w:val="77F236E3"/>
    <w:rsid w:val="78487437"/>
    <w:rsid w:val="78C1225B"/>
    <w:rsid w:val="78D52AB4"/>
    <w:rsid w:val="790F62E0"/>
    <w:rsid w:val="7941309C"/>
    <w:rsid w:val="796F54A4"/>
    <w:rsid w:val="79827676"/>
    <w:rsid w:val="79A24D7A"/>
    <w:rsid w:val="79AF71C3"/>
    <w:rsid w:val="79B139DE"/>
    <w:rsid w:val="79B97678"/>
    <w:rsid w:val="7A0C73B5"/>
    <w:rsid w:val="7A64503C"/>
    <w:rsid w:val="7AA5411F"/>
    <w:rsid w:val="7AC419FC"/>
    <w:rsid w:val="7B003987"/>
    <w:rsid w:val="7BE04B26"/>
    <w:rsid w:val="7C967CD2"/>
    <w:rsid w:val="7D2939DF"/>
    <w:rsid w:val="7DC0040B"/>
    <w:rsid w:val="7E08580C"/>
    <w:rsid w:val="7E4B6632"/>
    <w:rsid w:val="7EC00734"/>
    <w:rsid w:val="7EC67A44"/>
    <w:rsid w:val="7EF23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87"/>
    <w:pPr>
      <w:widowControl w:val="0"/>
      <w:jc w:val="both"/>
    </w:pPr>
    <w:rPr>
      <w:rFonts w:ascii="Calibri" w:hAnsi="Calibri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887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D5E1B"/>
    <w:rPr>
      <w:rFonts w:ascii="Calibri" w:hAnsi="Calibri"/>
      <w:b/>
      <w:bCs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rsid w:val="005A088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E1B"/>
    <w:rPr>
      <w:rFonts w:ascii="Calibri" w:hAnsi="Calibri"/>
      <w:szCs w:val="24"/>
    </w:rPr>
  </w:style>
  <w:style w:type="paragraph" w:styleId="BodyText">
    <w:name w:val="Body Text"/>
    <w:basedOn w:val="Normal"/>
    <w:link w:val="BodyTextChar"/>
    <w:uiPriority w:val="99"/>
    <w:rsid w:val="005A0887"/>
  </w:style>
  <w:style w:type="character" w:customStyle="1" w:styleId="BodyTextChar">
    <w:name w:val="Body Text Char"/>
    <w:basedOn w:val="DefaultParagraphFont"/>
    <w:link w:val="BodyText"/>
    <w:uiPriority w:val="99"/>
    <w:semiHidden/>
    <w:rsid w:val="006D5E1B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5A088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0887"/>
    <w:rPr>
      <w:rFonts w:ascii="Calibri" w:eastAsia="宋体" w:hAnsi="Calibri" w:cs="Times New Roman"/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5A0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0887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5A0887"/>
    <w:pPr>
      <w:spacing w:beforeAutospacing="1" w:afterAutospacing="1"/>
      <w:jc w:val="left"/>
    </w:pPr>
    <w:rPr>
      <w:kern w:val="0"/>
      <w:sz w:val="24"/>
    </w:rPr>
  </w:style>
  <w:style w:type="character" w:styleId="PageNumber">
    <w:name w:val="page number"/>
    <w:basedOn w:val="DefaultParagraphFont"/>
    <w:uiPriority w:val="99"/>
    <w:rsid w:val="005A088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A088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5A088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A088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三仿"/>
    <w:basedOn w:val="Normal"/>
    <w:uiPriority w:val="99"/>
    <w:rsid w:val="005A0887"/>
    <w:pPr>
      <w:overflowPunct w:val="0"/>
      <w:autoSpaceDE w:val="0"/>
      <w:adjustRightInd w:val="0"/>
      <w:snapToGrid w:val="0"/>
      <w:spacing w:line="567" w:lineRule="atLeast"/>
      <w:ind w:firstLine="646"/>
    </w:pPr>
    <w:rPr>
      <w:rFonts w:ascii="Times New Roman" w:eastAsia="仿宋_GB2312" w:hAnsi="Times New Roman"/>
      <w:color w:val="000000"/>
      <w:spacing w:val="6"/>
      <w:kern w:val="0"/>
      <w:sz w:val="32"/>
      <w:szCs w:val="20"/>
    </w:rPr>
  </w:style>
  <w:style w:type="character" w:customStyle="1" w:styleId="H">
    <w:name w:val="段H"/>
    <w:basedOn w:val="DefaultParagraphFont"/>
    <w:uiPriority w:val="99"/>
    <w:rsid w:val="005A0887"/>
    <w:rPr>
      <w:rFonts w:ascii="Times New Roman" w:eastAsia="黑体" w:hAnsi="Times New Roman" w:cs="Times New Roman"/>
      <w:spacing w:val="6"/>
      <w:w w:val="100"/>
      <w:kern w:val="0"/>
      <w:position w:val="0"/>
    </w:rPr>
  </w:style>
  <w:style w:type="paragraph" w:customStyle="1" w:styleId="TableParagraph">
    <w:name w:val="Table Paragraph"/>
    <w:basedOn w:val="Normal"/>
    <w:uiPriority w:val="99"/>
    <w:rsid w:val="005A0887"/>
    <w:pPr>
      <w:ind w:left="107"/>
    </w:pPr>
    <w:rPr>
      <w:rFonts w:ascii="宋体" w:hAnsi="宋体" w:cs="宋体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150</Words>
  <Characters>857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3</cp:revision>
  <cp:lastPrinted>2019-10-25T00:34:00Z</cp:lastPrinted>
  <dcterms:created xsi:type="dcterms:W3CDTF">2019-11-02T10:05:00Z</dcterms:created>
  <dcterms:modified xsi:type="dcterms:W3CDTF">2020-02-26T03:32:00Z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