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43" w:rsidRDefault="00316143" w:rsidP="00316143">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峄城区生产经营单位安全生产奖励办法考核细则及评分标准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36"/>
        <w:gridCol w:w="5736"/>
        <w:gridCol w:w="6521"/>
        <w:gridCol w:w="425"/>
        <w:gridCol w:w="709"/>
      </w:tblGrid>
      <w:tr w:rsidR="00316143" w:rsidTr="00466BA9">
        <w:trPr>
          <w:cantSplit/>
          <w:tblHeader/>
        </w:trPr>
        <w:tc>
          <w:tcPr>
            <w:tcW w:w="640" w:type="dxa"/>
            <w:vAlign w:val="center"/>
          </w:tcPr>
          <w:p w:rsidR="00316143" w:rsidRDefault="00316143" w:rsidP="00466BA9">
            <w:pPr>
              <w:spacing w:line="300" w:lineRule="exact"/>
              <w:jc w:val="center"/>
              <w:rPr>
                <w:rFonts w:ascii="仿宋_GB2312" w:eastAsia="仿宋_GB2312" w:hAnsi="仿宋_GB2312" w:cs="仿宋_GB2312" w:hint="eastAsia"/>
                <w:b/>
                <w:bCs/>
                <w:color w:val="0D0D0D"/>
                <w:sz w:val="23"/>
                <w:szCs w:val="23"/>
              </w:rPr>
            </w:pPr>
            <w:r>
              <w:rPr>
                <w:rFonts w:ascii="仿宋_GB2312" w:eastAsia="仿宋_GB2312" w:hAnsi="仿宋_GB2312" w:cs="仿宋_GB2312" w:hint="eastAsia"/>
                <w:b/>
                <w:bCs/>
                <w:color w:val="0D0D0D"/>
                <w:sz w:val="23"/>
                <w:szCs w:val="23"/>
              </w:rPr>
              <w:t>项目</w:t>
            </w:r>
          </w:p>
        </w:tc>
        <w:tc>
          <w:tcPr>
            <w:tcW w:w="536" w:type="dxa"/>
            <w:vAlign w:val="center"/>
          </w:tcPr>
          <w:p w:rsidR="00316143" w:rsidRDefault="00316143" w:rsidP="00466BA9">
            <w:pPr>
              <w:spacing w:line="300" w:lineRule="exact"/>
              <w:jc w:val="center"/>
              <w:rPr>
                <w:rFonts w:ascii="仿宋_GB2312" w:eastAsia="仿宋_GB2312" w:hAnsi="仿宋_GB2312" w:cs="仿宋_GB2312" w:hint="eastAsia"/>
                <w:b/>
                <w:bCs/>
                <w:color w:val="0D0D0D"/>
                <w:sz w:val="23"/>
                <w:szCs w:val="23"/>
              </w:rPr>
            </w:pPr>
            <w:r>
              <w:rPr>
                <w:rFonts w:ascii="仿宋_GB2312" w:eastAsia="仿宋_GB2312" w:hAnsi="仿宋_GB2312" w:cs="仿宋_GB2312" w:hint="eastAsia"/>
                <w:b/>
                <w:bCs/>
                <w:color w:val="0D0D0D"/>
                <w:sz w:val="23"/>
                <w:szCs w:val="23"/>
              </w:rPr>
              <w:t>分值</w:t>
            </w:r>
          </w:p>
        </w:tc>
        <w:tc>
          <w:tcPr>
            <w:tcW w:w="5736" w:type="dxa"/>
            <w:vAlign w:val="center"/>
          </w:tcPr>
          <w:p w:rsidR="00316143" w:rsidRDefault="00316143" w:rsidP="00466BA9">
            <w:pPr>
              <w:spacing w:line="300" w:lineRule="exact"/>
              <w:jc w:val="center"/>
              <w:rPr>
                <w:rFonts w:ascii="仿宋_GB2312" w:eastAsia="仿宋_GB2312" w:hAnsi="仿宋_GB2312" w:cs="仿宋_GB2312" w:hint="eastAsia"/>
                <w:b/>
                <w:bCs/>
                <w:color w:val="0D0D0D"/>
                <w:sz w:val="23"/>
                <w:szCs w:val="23"/>
              </w:rPr>
            </w:pPr>
            <w:r>
              <w:rPr>
                <w:rFonts w:ascii="仿宋_GB2312" w:eastAsia="仿宋_GB2312" w:hAnsi="仿宋_GB2312" w:cs="仿宋_GB2312" w:hint="eastAsia"/>
                <w:b/>
                <w:bCs/>
                <w:color w:val="0D0D0D"/>
                <w:sz w:val="23"/>
                <w:szCs w:val="23"/>
              </w:rPr>
              <w:t>考核内容</w:t>
            </w:r>
          </w:p>
        </w:tc>
        <w:tc>
          <w:tcPr>
            <w:tcW w:w="6521" w:type="dxa"/>
            <w:vAlign w:val="center"/>
          </w:tcPr>
          <w:p w:rsidR="00316143" w:rsidRDefault="00316143" w:rsidP="00466BA9">
            <w:pPr>
              <w:spacing w:line="300" w:lineRule="exact"/>
              <w:jc w:val="center"/>
              <w:rPr>
                <w:rFonts w:ascii="仿宋_GB2312" w:eastAsia="仿宋_GB2312" w:hAnsi="仿宋_GB2312" w:cs="仿宋_GB2312" w:hint="eastAsia"/>
                <w:b/>
                <w:bCs/>
                <w:color w:val="0D0D0D"/>
                <w:sz w:val="23"/>
                <w:szCs w:val="23"/>
              </w:rPr>
            </w:pPr>
            <w:r>
              <w:rPr>
                <w:rFonts w:ascii="仿宋_GB2312" w:eastAsia="仿宋_GB2312" w:hAnsi="仿宋_GB2312" w:cs="仿宋_GB2312" w:hint="eastAsia"/>
                <w:b/>
                <w:bCs/>
                <w:color w:val="0D0D0D"/>
                <w:sz w:val="23"/>
                <w:szCs w:val="23"/>
              </w:rPr>
              <w:t>考核方法及评分标准</w:t>
            </w:r>
          </w:p>
        </w:tc>
        <w:tc>
          <w:tcPr>
            <w:tcW w:w="425" w:type="dxa"/>
          </w:tcPr>
          <w:p w:rsidR="00316143" w:rsidRDefault="00316143" w:rsidP="00466BA9">
            <w:pPr>
              <w:spacing w:line="300" w:lineRule="exact"/>
              <w:jc w:val="center"/>
              <w:rPr>
                <w:rFonts w:ascii="仿宋_GB2312" w:eastAsia="仿宋_GB2312" w:hAnsi="仿宋_GB2312" w:cs="仿宋_GB2312" w:hint="eastAsia"/>
                <w:b/>
                <w:bCs/>
                <w:color w:val="0D0D0D"/>
                <w:sz w:val="23"/>
                <w:szCs w:val="23"/>
              </w:rPr>
            </w:pPr>
            <w:r>
              <w:rPr>
                <w:rFonts w:ascii="仿宋_GB2312" w:eastAsia="仿宋_GB2312" w:hAnsi="仿宋_GB2312" w:cs="仿宋_GB2312" w:hint="eastAsia"/>
                <w:b/>
                <w:bCs/>
                <w:color w:val="0D0D0D"/>
                <w:sz w:val="23"/>
                <w:szCs w:val="23"/>
              </w:rPr>
              <w:t>扣分</w:t>
            </w:r>
          </w:p>
        </w:tc>
        <w:tc>
          <w:tcPr>
            <w:tcW w:w="709" w:type="dxa"/>
          </w:tcPr>
          <w:p w:rsidR="00316143" w:rsidRDefault="00316143" w:rsidP="00466BA9">
            <w:pPr>
              <w:spacing w:line="300" w:lineRule="exact"/>
              <w:jc w:val="center"/>
              <w:rPr>
                <w:rFonts w:ascii="仿宋_GB2312" w:eastAsia="仿宋_GB2312" w:hAnsi="仿宋_GB2312" w:cs="仿宋_GB2312" w:hint="eastAsia"/>
                <w:b/>
                <w:bCs/>
                <w:color w:val="0D0D0D"/>
                <w:sz w:val="23"/>
                <w:szCs w:val="23"/>
              </w:rPr>
            </w:pPr>
            <w:r>
              <w:rPr>
                <w:rFonts w:ascii="仿宋_GB2312" w:eastAsia="仿宋_GB2312" w:hAnsi="仿宋_GB2312" w:cs="仿宋_GB2312" w:hint="eastAsia"/>
                <w:b/>
                <w:bCs/>
                <w:color w:val="0D0D0D"/>
                <w:sz w:val="23"/>
                <w:szCs w:val="23"/>
              </w:rPr>
              <w:t>扣分原因</w:t>
            </w:r>
          </w:p>
        </w:tc>
      </w:tr>
      <w:tr w:rsidR="00316143" w:rsidTr="00466BA9">
        <w:trPr>
          <w:cantSplit/>
          <w:trHeight w:val="119"/>
        </w:trPr>
        <w:tc>
          <w:tcPr>
            <w:tcW w:w="640" w:type="dxa"/>
            <w:vMerge w:val="restart"/>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一、责任落实</w:t>
            </w:r>
          </w:p>
        </w:tc>
        <w:tc>
          <w:tcPr>
            <w:tcW w:w="536" w:type="dxa"/>
            <w:vMerge w:val="restart"/>
            <w:vAlign w:val="center"/>
          </w:tcPr>
          <w:p w:rsidR="00316143" w:rsidRDefault="00316143" w:rsidP="00466BA9">
            <w:pPr>
              <w:rPr>
                <w:rFonts w:ascii="仿宋_GB2312" w:hint="eastAsia"/>
                <w:sz w:val="24"/>
              </w:rPr>
            </w:pPr>
            <w:r>
              <w:rPr>
                <w:rFonts w:ascii="仿宋_GB2312" w:hint="eastAsia"/>
                <w:sz w:val="24"/>
              </w:rPr>
              <w:t>20</w:t>
            </w:r>
            <w:r>
              <w:rPr>
                <w:rFonts w:ascii="仿宋_GB2312" w:hint="eastAsia"/>
                <w:sz w:val="24"/>
              </w:rPr>
              <w:t>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1.认真学习习近平总书记关于</w:t>
            </w:r>
            <w:r>
              <w:rPr>
                <w:rFonts w:ascii="仿宋_GB2312" w:eastAsia="仿宋_GB2312" w:hAnsi="仿宋_GB2312" w:cs="仿宋_GB2312" w:hint="eastAsia"/>
                <w:color w:val="000000"/>
                <w:sz w:val="23"/>
                <w:szCs w:val="23"/>
              </w:rPr>
              <w:t>应急管理、安全生产、防灾减灾救灾的重要论述和讲话精神。（5分）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color w:val="000000"/>
                <w:sz w:val="23"/>
                <w:szCs w:val="23"/>
              </w:rPr>
              <w:t>未组织学习习近平总书记在中共中央政治局第十九次集体学习时就我国应急管理体系和能力建设所作的重要讲话等一系列关于应急管理、安全生产、防灾减灾救灾的讲话精神的，扣5分</w:t>
            </w:r>
          </w:p>
        </w:tc>
        <w:tc>
          <w:tcPr>
            <w:tcW w:w="425" w:type="dxa"/>
          </w:tcPr>
          <w:p w:rsidR="00316143" w:rsidRDefault="00316143" w:rsidP="00466BA9">
            <w:pPr>
              <w:spacing w:line="300" w:lineRule="exact"/>
              <w:rPr>
                <w:rFonts w:ascii="仿宋_GB2312" w:eastAsia="仿宋_GB2312" w:hAnsi="仿宋_GB2312" w:cs="仿宋_GB2312" w:hint="eastAsia"/>
                <w:color w:val="000000"/>
                <w:sz w:val="23"/>
                <w:szCs w:val="23"/>
              </w:rPr>
            </w:pPr>
          </w:p>
        </w:tc>
        <w:tc>
          <w:tcPr>
            <w:tcW w:w="709" w:type="dxa"/>
          </w:tcPr>
          <w:p w:rsidR="00316143" w:rsidRDefault="00316143" w:rsidP="00466BA9">
            <w:pPr>
              <w:spacing w:line="300" w:lineRule="exact"/>
              <w:rPr>
                <w:rFonts w:ascii="仿宋_GB2312" w:eastAsia="仿宋_GB2312" w:hAnsi="仿宋_GB2312" w:cs="仿宋_GB2312" w:hint="eastAsia"/>
                <w:color w:val="000000"/>
                <w:sz w:val="23"/>
                <w:szCs w:val="23"/>
              </w:rPr>
            </w:pPr>
          </w:p>
        </w:tc>
      </w:tr>
      <w:tr w:rsidR="00316143" w:rsidTr="00466BA9">
        <w:trPr>
          <w:cantSplit/>
          <w:trHeight w:val="476"/>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2.认真学习贯彻《生产安全事故应急条例》等安全生产法律法规，明确企业事故应急职责。（4分）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未组织学习《生产安全事故应急条例》等安全生产法律法规的，扣4分。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428"/>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3.按照“党政同责、一岗双责、齐抓共管、失职追责”和《安全生产法》、《山东省安全生产条例》要求，落实企业主体责任；建立岗位安全生产责任清单。（5分）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相关文件或资料。未落实“党政同责、一岗双责”的，扣3分；未建立健全安全生产责任制的，每少一项扣1分；未逐级签订安全生产目标责任书的，每发现一处扣1分；未建立岗位安全生产责任清单的，每缺一项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140"/>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4.落实安全生产会议制度，研究解决安全生产问题，部署安全生产工作，为安全生产工作措施落实提供保障。每年向职工代表大会报告安全生产情况。（2分）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查看企业会议记录。未召开会议的，扣1分；不能及时保障安全生产工作措施落实的，扣1分；未向职工代表大会报告安全生产情况的，扣1分。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2080"/>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5.制定实施安全生产经营全过程责任追溯制度，按照《安全生产法》的规定设置安全生产管理机构、配备安全管理人员，并依法履职。（4分）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未制定实施安全生产经营全过程责任追溯制度的，每家扣1分；主要负责人未履行《安全生产法》第18条规定职责的，每家扣1分；未按照《安全生产法》第2一条规定设置安全生产管理机构（或者配备专、兼职安全管理人员）的，每家扣1分；企业安全生产管理机构、安全生产管理人员未履行《安全生产法》第22条规定职责的，每家扣1分；危险物品的生产、储存单位以及矿山、金属冶炼单位安全生产管理人员中未配有注册安全工程师的，每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697"/>
        </w:trPr>
        <w:tc>
          <w:tcPr>
            <w:tcW w:w="640" w:type="dxa"/>
            <w:vMerge w:val="restart"/>
            <w:vAlign w:val="center"/>
          </w:tcPr>
          <w:p w:rsidR="00316143" w:rsidRDefault="00316143" w:rsidP="00466BA9">
            <w:pPr>
              <w:rPr>
                <w:rFonts w:ascii="楷体_GB2312" w:eastAsia="楷体_GB2312" w:hAnsi="宋体" w:hint="eastAsia"/>
                <w:b/>
                <w:bCs/>
                <w:sz w:val="24"/>
              </w:rPr>
            </w:pPr>
            <w:r>
              <w:rPr>
                <w:rFonts w:ascii="楷体_GB2312" w:eastAsia="楷体_GB2312" w:hAnsi="宋体" w:hint="eastAsia"/>
                <w:b/>
                <w:bCs/>
                <w:sz w:val="24"/>
              </w:rPr>
              <w:t>二、市</w:t>
            </w:r>
            <w:r>
              <w:rPr>
                <w:rFonts w:ascii="楷体_GB2312" w:eastAsia="楷体_GB2312" w:hAnsi="宋体" w:hint="eastAsia"/>
                <w:b/>
                <w:bCs/>
                <w:sz w:val="24"/>
              </w:rPr>
              <w:lastRenderedPageBreak/>
              <w:t>场准入</w:t>
            </w:r>
          </w:p>
        </w:tc>
        <w:tc>
          <w:tcPr>
            <w:tcW w:w="536" w:type="dxa"/>
            <w:vMerge w:val="restart"/>
            <w:vAlign w:val="center"/>
          </w:tcPr>
          <w:p w:rsidR="00316143" w:rsidRDefault="00316143" w:rsidP="00466BA9">
            <w:pPr>
              <w:rPr>
                <w:rFonts w:ascii="仿宋_GB2312" w:hint="eastAsia"/>
                <w:sz w:val="24"/>
              </w:rPr>
            </w:pPr>
            <w:r>
              <w:rPr>
                <w:rFonts w:ascii="仿宋_GB2312" w:hint="eastAsia"/>
                <w:sz w:val="24"/>
              </w:rPr>
              <w:lastRenderedPageBreak/>
              <w:t>10</w:t>
            </w:r>
            <w:r>
              <w:rPr>
                <w:rFonts w:ascii="仿宋_GB2312" w:hint="eastAsia"/>
                <w:sz w:val="24"/>
              </w:rPr>
              <w:t>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6.按照安全生产法律法规等规定，严把安全生产准入关。（5分）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查看有关文件或资料。未按要求履行安全许可手续的，不得分。履行安全许可手续不合格的，每发现一件扣1分。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761"/>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7.建设项目严格执行安全生产设施“三同时”制度。（5分）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抽查2个高危企业建设项目，“三同时”审核手续不全的，不得分。抽查2个一般建设项目，查看项目安全论证、安全设计专篇、验收报告等资料，“三同时”落实资料不全的，每发现一个扣1分；材料与事实不符的，每个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721"/>
        </w:trPr>
        <w:tc>
          <w:tcPr>
            <w:tcW w:w="640" w:type="dxa"/>
            <w:vMerge w:val="restart"/>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lastRenderedPageBreak/>
              <w:t>三、安</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全</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投</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入</w:t>
            </w:r>
          </w:p>
        </w:tc>
        <w:tc>
          <w:tcPr>
            <w:tcW w:w="536" w:type="dxa"/>
            <w:vMerge w:val="restart"/>
            <w:vAlign w:val="center"/>
          </w:tcPr>
          <w:p w:rsidR="00316143" w:rsidRDefault="00316143" w:rsidP="00466BA9">
            <w:pPr>
              <w:rPr>
                <w:rFonts w:ascii="仿宋_GB2312" w:hint="eastAsia"/>
                <w:sz w:val="24"/>
              </w:rPr>
            </w:pPr>
            <w:r>
              <w:rPr>
                <w:rFonts w:ascii="仿宋_GB2312" w:hint="eastAsia"/>
                <w:sz w:val="24"/>
              </w:rPr>
              <w:t>15</w:t>
            </w:r>
            <w:r>
              <w:rPr>
                <w:rFonts w:ascii="仿宋_GB2312" w:hint="eastAsia"/>
                <w:sz w:val="24"/>
              </w:rPr>
              <w:t>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8.安全投入纳入本单位年度经费预算，并合理使用。（3分）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查看企业年度预算相关账簿。未纳入年度预算的，不得分。查看企业安全投入列支凭证，现场查验企业购置物品，凭证与物品不符的，不得分。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676"/>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9.生产经营单位按规定提取和使用安全生产专项费用。（4分）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查看会计账簿。未按规定提取的，不得分；没有按规定使用的，每发现一家扣1分。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70"/>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10.生产经营单位按规定参加安全生产责任保险。（4分）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查看会计账簿等相关资料。未按照规定参加保险的，每发现一家扣1分。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70"/>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11.制定并落实安全生产科技研发、转化及成果推广计划，推进实施“机械化换人、自动化减人”工作。（4分）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查文件资料，未制定科技研发、转化及成果推广计划的，扣2分；未推进实施“机械化换人、自动化减人”工作的，扣2分。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695"/>
        </w:trPr>
        <w:tc>
          <w:tcPr>
            <w:tcW w:w="640" w:type="dxa"/>
            <w:vMerge w:val="restart"/>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四、安</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全</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管</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理</w:t>
            </w:r>
          </w:p>
        </w:tc>
        <w:tc>
          <w:tcPr>
            <w:tcW w:w="536" w:type="dxa"/>
            <w:vMerge w:val="restart"/>
            <w:vAlign w:val="center"/>
          </w:tcPr>
          <w:p w:rsidR="00316143" w:rsidRDefault="00316143" w:rsidP="00466BA9">
            <w:pPr>
              <w:rPr>
                <w:rFonts w:ascii="仿宋_GB2312" w:hint="eastAsia"/>
                <w:sz w:val="24"/>
              </w:rPr>
            </w:pPr>
            <w:r>
              <w:rPr>
                <w:rFonts w:ascii="仿宋_GB2312" w:hint="eastAsia"/>
                <w:sz w:val="24"/>
              </w:rPr>
              <w:t>15</w:t>
            </w:r>
            <w:r>
              <w:rPr>
                <w:rFonts w:ascii="仿宋_GB2312" w:hint="eastAsia"/>
                <w:sz w:val="24"/>
              </w:rPr>
              <w:t>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12.建立完善安全风险分级管控体系和隐患排查治理体系，积极推进</w:t>
            </w:r>
            <w:r>
              <w:rPr>
                <w:rFonts w:ascii="仿宋_GB2312" w:eastAsia="仿宋_GB2312" w:hAnsi="仿宋_GB2312" w:cs="仿宋_GB2312"/>
                <w:sz w:val="23"/>
                <w:szCs w:val="23"/>
              </w:rPr>
              <w:t>企业开展风险点排查，建立风险管控档案，形成“一企一册”。</w:t>
            </w:r>
            <w:r>
              <w:rPr>
                <w:rFonts w:ascii="仿宋_GB2312" w:eastAsia="仿宋_GB2312" w:hAnsi="仿宋_GB2312" w:cs="仿宋_GB2312" w:hint="eastAsia"/>
                <w:sz w:val="23"/>
                <w:szCs w:val="23"/>
              </w:rPr>
              <w:t>（4</w:t>
            </w:r>
            <w:r>
              <w:rPr>
                <w:rFonts w:ascii="仿宋_GB2312" w:eastAsia="仿宋_GB2312" w:hAnsi="仿宋_GB2312" w:cs="仿宋_GB2312"/>
                <w:sz w:val="23"/>
                <w:szCs w:val="23"/>
              </w:rPr>
              <w:t>分</w:t>
            </w:r>
            <w:r>
              <w:rPr>
                <w:rFonts w:ascii="仿宋_GB2312" w:eastAsia="仿宋_GB2312" w:hAnsi="仿宋_GB2312" w:cs="仿宋_GB2312" w:hint="eastAsia"/>
                <w:sz w:val="23"/>
                <w:szCs w:val="23"/>
              </w:rPr>
              <w:t>）</w:t>
            </w:r>
          </w:p>
        </w:tc>
        <w:tc>
          <w:tcPr>
            <w:tcW w:w="6521" w:type="dxa"/>
            <w:vAlign w:val="center"/>
          </w:tcPr>
          <w:p w:rsidR="00316143" w:rsidRDefault="00316143" w:rsidP="00466BA9">
            <w:pPr>
              <w:spacing w:line="300" w:lineRule="exact"/>
              <w:rPr>
                <w:rFonts w:ascii="仿宋_GB2312" w:eastAsia="仿宋_GB2312" w:hAnsi="仿宋_GB2312" w:cs="仿宋_GB2312"/>
                <w:sz w:val="23"/>
                <w:szCs w:val="23"/>
              </w:rPr>
            </w:pPr>
            <w:r>
              <w:rPr>
                <w:rFonts w:ascii="仿宋_GB2312" w:eastAsia="仿宋_GB2312" w:hAnsi="仿宋_GB2312" w:cs="仿宋_GB2312" w:hint="eastAsia"/>
                <w:sz w:val="23"/>
                <w:szCs w:val="23"/>
              </w:rPr>
              <w:t>查资料，每发现一家未通过双重预防体系验收的，扣1分；未在安全生产信息平台及时更新填报信息的，每发现一家扣1分；企业未建立风险管控制度、隐患排查治理制度的，扣1分；</w:t>
            </w:r>
            <w:r>
              <w:rPr>
                <w:rFonts w:ascii="仿宋_GB2312" w:eastAsia="仿宋_GB2312" w:hAnsi="仿宋_GB2312" w:cs="仿宋_GB2312"/>
                <w:sz w:val="23"/>
                <w:szCs w:val="23"/>
              </w:rPr>
              <w:t>每发现一家企业未按有关标准规范和行业实施指南开展风险点排查，建立企业安全风险管控档案，报送“一企一册”的，扣1分。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264"/>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13.强化企业隐患排查治理主体责任，扎实开展安全生产专项整治、“打非治违”专项行动和冬季安全生产“打非治违”专项治理行动，并建立隐患排查治理档案；开展安全生产违法行为举报奖励（5分）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文件资料，实地检查。未制定文件的，扣2分；有隐患排查记录，未做到整改时限、责任人、整改措施、整改资金和应急方案“五落实”的，扣2分。未建立安全生产违法行为举报奖励制度的，扣2分；未实施举报奖励的；扣2分；未开展重大事故安全隐患排查整治的，扣2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627"/>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14.做好重大危险源普查登记和监控等工作。（2分）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查看监控记录。无监控记录的，不得分；有监控记录但监控记录无周期性、记录混乱的，扣2分；发现重大危险源未普查登记的，不得分。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70"/>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15.爆破、吊装、动火、进入受限空间等危险作业，严格执行安全管理制度，落实安全措施。（4分）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查看危险作业工作记录。无工作记录的，不得分；工作记录未按规定落实的，每发现一处扣1分。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840"/>
        </w:trPr>
        <w:tc>
          <w:tcPr>
            <w:tcW w:w="640" w:type="dxa"/>
            <w:vMerge w:val="restart"/>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lastRenderedPageBreak/>
              <w:t>五、教</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育</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培</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训</w:t>
            </w:r>
          </w:p>
        </w:tc>
        <w:tc>
          <w:tcPr>
            <w:tcW w:w="536" w:type="dxa"/>
            <w:vMerge w:val="restart"/>
            <w:vAlign w:val="center"/>
          </w:tcPr>
          <w:p w:rsidR="00316143" w:rsidRDefault="00316143" w:rsidP="00466BA9">
            <w:pPr>
              <w:rPr>
                <w:rFonts w:ascii="仿宋_GB2312" w:hint="eastAsia"/>
                <w:sz w:val="24"/>
              </w:rPr>
            </w:pPr>
            <w:r>
              <w:rPr>
                <w:rFonts w:ascii="仿宋_GB2312" w:hint="eastAsia"/>
                <w:sz w:val="24"/>
              </w:rPr>
              <w:t>10</w:t>
            </w:r>
            <w:r>
              <w:rPr>
                <w:rFonts w:ascii="仿宋_GB2312" w:hint="eastAsia"/>
                <w:sz w:val="24"/>
              </w:rPr>
              <w:t>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16.制定年度培训计划并按计划组织实施，保证本单位安全培训工作所需资金，及时向市安办上报年度培训总结。（2分）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查阅资料。没有制定年度培训计划的，不得分；未按计划组织实施的，扣1分；未按规定保证安全培训所需资金的，不得分；未于年底前上报培训总结的，扣1分。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952"/>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17.企业定期组织员工开展安全培训教育，并进行考核，确保每位职工每年接受安全教育培训时间不少于法律法规要求，且培训内容全面、适用。建立健全从业人员安全生产教育和培训档案（2分）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培训、考核记录、培训内容设置，随机找职工座谈。未建立健全从业人员安全生产教育培训档案的，扣1分，未详细、准确记录培训的时间、内容、参加人员以及考核结果的扣1分；培训内容设置不全的扣1分；从业人员安全培训的时间少于《生产经营单位安全培训规定》或者有关标准规定的；扣1分；座谈中发现职工未接受安全培训的，每发现一人扣1分；座谈中发现有培训记录但职工未接受培训的，扣2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383"/>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18.企业主要负责人、安全管理人员、特种作业人员持证上岗，且再培训记录完备。（3分）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查看证件。每发现一人未持证上岗的，扣1分；每发现一人再培训记录不全的，扣1分。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382"/>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19.积极参加区安委会组织的安全培训。（3分）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未按要求参加区安委会组织的教育培训，每发现少一人次扣1分。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054"/>
        </w:trPr>
        <w:tc>
          <w:tcPr>
            <w:tcW w:w="640" w:type="dxa"/>
            <w:vMerge w:val="restart"/>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六、应</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急</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管理</w:t>
            </w:r>
          </w:p>
        </w:tc>
        <w:tc>
          <w:tcPr>
            <w:tcW w:w="536" w:type="dxa"/>
            <w:vMerge w:val="restart"/>
            <w:vAlign w:val="center"/>
          </w:tcPr>
          <w:p w:rsidR="00316143" w:rsidRDefault="00316143" w:rsidP="00466BA9">
            <w:pPr>
              <w:rPr>
                <w:rFonts w:ascii="仿宋_GB2312" w:hint="eastAsia"/>
                <w:sz w:val="24"/>
              </w:rPr>
            </w:pPr>
            <w:r>
              <w:rPr>
                <w:rFonts w:ascii="仿宋_GB2312" w:hint="eastAsia"/>
                <w:sz w:val="24"/>
              </w:rPr>
              <w:t>10</w:t>
            </w:r>
            <w:r>
              <w:rPr>
                <w:rFonts w:ascii="仿宋_GB2312" w:hint="eastAsia"/>
                <w:sz w:val="24"/>
              </w:rPr>
              <w:t>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20.完善公司生产事故应急处置工作的应急值守、信息报送、应急保障、总结评估等制度。（2分）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应急处置工作制度不完善的，每少一项扣1分。所属非煤产业企业未按规定建立应急管理制度的，每发现一家扣1分。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051"/>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21.企业编制预案前应按规定开展风险评估和应急资源调查，并按应急预案规定落实应急物资及装备（2分）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未开展风险评估和应急资源调查或未按应急预案规定落实应急物资及装备的，每发现一项扣1分。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136"/>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22.组织编制应急救援预案，预案经过评审（论证），并组织非煤产业的高危企业每年至少进行一次综合或专项应急救援演练。（2分）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查预案和演练记录。未制定应急救援预案的，扣2分；预案未经过评审（论证）或未组织演练的，每发现一家扣1分。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663"/>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23.完善安全生产应急救援队伍体系建设。（2分）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所管非煤产业的高危大型企业没有建立专职应急救援队伍的，每发现一家扣1分；其他生产经营企业没有建立兼职救援队伍的，每发现一家扣1分。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663"/>
        </w:trPr>
        <w:tc>
          <w:tcPr>
            <w:tcW w:w="640" w:type="dxa"/>
            <w:vMerge/>
            <w:vAlign w:val="center"/>
          </w:tcPr>
          <w:p w:rsidR="00316143" w:rsidRDefault="00316143" w:rsidP="00466BA9">
            <w:pPr>
              <w:jc w:val="center"/>
              <w:rPr>
                <w:rFonts w:ascii="楷体_GB2312" w:eastAsia="楷体_GB2312" w:hAnsi="宋体" w:hint="eastAsia"/>
                <w:b/>
                <w:bCs/>
                <w:sz w:val="24"/>
              </w:rPr>
            </w:pPr>
          </w:p>
        </w:tc>
        <w:tc>
          <w:tcPr>
            <w:tcW w:w="536" w:type="dxa"/>
            <w:vMerge/>
            <w:vAlign w:val="center"/>
          </w:tcPr>
          <w:p w:rsidR="00316143" w:rsidRDefault="00316143" w:rsidP="00466BA9">
            <w:pPr>
              <w:rPr>
                <w:rFonts w:ascii="仿宋_GB2312" w:hint="eastAsia"/>
                <w:sz w:val="24"/>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24.应将应急培训纳入全年安全生产培训计划，开展应急管理基础知识、应急预案、现场处置方案、紧急救护等知识培训。（2分）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未把应急知识培训纳入全年安全生产培训计划的或未开展应急知识培训的，每发现一家扣1分，培训考核资料不完整的，每发现一家扣1分。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962"/>
        </w:trPr>
        <w:tc>
          <w:tcPr>
            <w:tcW w:w="640" w:type="dxa"/>
            <w:vMerge w:val="restart"/>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lastRenderedPageBreak/>
              <w:t>七、事</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故</w:t>
            </w:r>
          </w:p>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情况</w:t>
            </w:r>
          </w:p>
        </w:tc>
        <w:tc>
          <w:tcPr>
            <w:tcW w:w="536" w:type="dxa"/>
            <w:vMerge w:val="restart"/>
            <w:vAlign w:val="center"/>
          </w:tcPr>
          <w:p w:rsidR="00316143" w:rsidRDefault="00316143" w:rsidP="00466BA9">
            <w:pPr>
              <w:rPr>
                <w:rFonts w:ascii="仿宋_GB2312" w:hint="eastAsia"/>
                <w:color w:val="FF0000"/>
                <w:sz w:val="24"/>
              </w:rPr>
            </w:pPr>
            <w:r>
              <w:rPr>
                <w:rFonts w:ascii="宋体" w:hAnsi="宋体" w:hint="eastAsia"/>
                <w:szCs w:val="21"/>
              </w:rPr>
              <w:t>20分</w:t>
            </w: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25.各项指标控制在区政府下达指标之内，年度内无生产安全事故。（12分）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查资料，走访职工。发生生产安全事故的，不得分。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197"/>
        </w:trPr>
        <w:tc>
          <w:tcPr>
            <w:tcW w:w="640" w:type="dxa"/>
            <w:vMerge/>
            <w:vAlign w:val="center"/>
          </w:tcPr>
          <w:p w:rsidR="00316143" w:rsidRDefault="00316143" w:rsidP="00466BA9">
            <w:pPr>
              <w:rPr>
                <w:rFonts w:ascii="仿宋_GB2312" w:hint="eastAsia"/>
              </w:rPr>
            </w:pPr>
          </w:p>
        </w:tc>
        <w:tc>
          <w:tcPr>
            <w:tcW w:w="536" w:type="dxa"/>
            <w:vMerge/>
            <w:vAlign w:val="center"/>
          </w:tcPr>
          <w:p w:rsidR="00316143" w:rsidRDefault="00316143" w:rsidP="00466BA9">
            <w:pPr>
              <w:rPr>
                <w:rFonts w:ascii="仿宋_GB2312" w:hint="eastAsia"/>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26.按规定要求及时上报生产安全事故。（4分）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查看事故报告，走访职工。发现瞒报、迟报、漏报事故的，不得分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489"/>
        </w:trPr>
        <w:tc>
          <w:tcPr>
            <w:tcW w:w="640" w:type="dxa"/>
            <w:vMerge/>
            <w:vAlign w:val="center"/>
          </w:tcPr>
          <w:p w:rsidR="00316143" w:rsidRDefault="00316143" w:rsidP="00466BA9">
            <w:pPr>
              <w:rPr>
                <w:rFonts w:ascii="仿宋_GB2312" w:hint="eastAsia"/>
              </w:rPr>
            </w:pPr>
          </w:p>
        </w:tc>
        <w:tc>
          <w:tcPr>
            <w:tcW w:w="536" w:type="dxa"/>
            <w:vMerge/>
            <w:vAlign w:val="center"/>
          </w:tcPr>
          <w:p w:rsidR="00316143" w:rsidRDefault="00316143" w:rsidP="00466BA9">
            <w:pPr>
              <w:rPr>
                <w:rFonts w:ascii="仿宋_GB2312" w:hint="eastAsia"/>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27.事故伤亡人员赔偿到位。（4分）</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对事故伤亡人员赔偿不到位的，不得分。</w:t>
            </w: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r w:rsidR="00316143" w:rsidTr="00466BA9">
        <w:trPr>
          <w:cantSplit/>
          <w:trHeight w:val="489"/>
        </w:trPr>
        <w:tc>
          <w:tcPr>
            <w:tcW w:w="640" w:type="dxa"/>
            <w:vAlign w:val="center"/>
          </w:tcPr>
          <w:p w:rsidR="00316143" w:rsidRDefault="00316143" w:rsidP="00466BA9">
            <w:pPr>
              <w:jc w:val="center"/>
              <w:rPr>
                <w:rFonts w:ascii="楷体_GB2312" w:eastAsia="楷体_GB2312" w:hAnsi="宋体" w:hint="eastAsia"/>
                <w:b/>
                <w:bCs/>
                <w:sz w:val="24"/>
              </w:rPr>
            </w:pPr>
            <w:r>
              <w:rPr>
                <w:rFonts w:ascii="楷体_GB2312" w:eastAsia="楷体_GB2312" w:hAnsi="宋体" w:hint="eastAsia"/>
                <w:b/>
                <w:bCs/>
                <w:sz w:val="24"/>
              </w:rPr>
              <w:t>八、否决事项</w:t>
            </w:r>
          </w:p>
        </w:tc>
        <w:tc>
          <w:tcPr>
            <w:tcW w:w="536" w:type="dxa"/>
            <w:vAlign w:val="center"/>
          </w:tcPr>
          <w:p w:rsidR="00316143" w:rsidRDefault="00316143" w:rsidP="00466BA9">
            <w:pPr>
              <w:rPr>
                <w:rFonts w:ascii="仿宋_GB2312" w:hint="eastAsia"/>
              </w:rPr>
            </w:pPr>
          </w:p>
        </w:tc>
        <w:tc>
          <w:tcPr>
            <w:tcW w:w="5736"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（一）上一年度行业主管部门实施安全生产行政处罚情况；</w:t>
            </w:r>
          </w:p>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（二）区级以上挂牌督办的重大事故隐患情况；</w:t>
            </w:r>
          </w:p>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（三）一般及以上生产安全事故情况；</w:t>
            </w:r>
          </w:p>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（四）安全生产标准化创建及风险管控和隐患排查双重预防体系完成创建情况。</w:t>
            </w:r>
          </w:p>
        </w:tc>
        <w:tc>
          <w:tcPr>
            <w:tcW w:w="6521" w:type="dxa"/>
            <w:vAlign w:val="center"/>
          </w:tcPr>
          <w:p w:rsidR="00316143" w:rsidRDefault="00316143" w:rsidP="00466BA9">
            <w:pPr>
              <w:spacing w:line="300" w:lineRule="exact"/>
              <w:rPr>
                <w:rFonts w:ascii="仿宋_GB2312" w:eastAsia="仿宋_GB2312" w:hAnsi="仿宋_GB2312" w:cs="仿宋_GB2312" w:hint="eastAsia"/>
                <w:sz w:val="23"/>
                <w:szCs w:val="23"/>
              </w:rPr>
            </w:pPr>
            <w:r>
              <w:rPr>
                <w:rFonts w:ascii="仿宋_GB2312" w:eastAsia="仿宋_GB2312" w:hAnsi="仿宋_GB2312" w:cs="仿宋_GB2312" w:hint="eastAsia"/>
                <w:sz w:val="23"/>
                <w:szCs w:val="23"/>
              </w:rPr>
              <w:t>1、一年内被所属镇街和上级行业主管部门实施安全生产行政处罚；2、一年内有挂牌督办的重大事故隐患；3、三年内发生一般及以上生产安全事故；4、未完成三级及以上安全生产标准化企业或风险管控和隐患排查双重预防体系创建任务。以上事项有任何1项的，均实行“一票否决”。</w:t>
            </w:r>
          </w:p>
          <w:p w:rsidR="00316143" w:rsidRDefault="00316143" w:rsidP="00466BA9">
            <w:pPr>
              <w:spacing w:line="300" w:lineRule="exact"/>
              <w:rPr>
                <w:rFonts w:ascii="仿宋_GB2312" w:eastAsia="仿宋_GB2312" w:hAnsi="仿宋_GB2312" w:cs="仿宋_GB2312" w:hint="eastAsia"/>
                <w:sz w:val="23"/>
                <w:szCs w:val="23"/>
              </w:rPr>
            </w:pPr>
          </w:p>
        </w:tc>
        <w:tc>
          <w:tcPr>
            <w:tcW w:w="425" w:type="dxa"/>
          </w:tcPr>
          <w:p w:rsidR="00316143" w:rsidRDefault="00316143" w:rsidP="00466BA9">
            <w:pPr>
              <w:spacing w:line="300" w:lineRule="exact"/>
              <w:rPr>
                <w:rFonts w:ascii="仿宋_GB2312" w:eastAsia="仿宋_GB2312" w:hAnsi="仿宋_GB2312" w:cs="仿宋_GB2312" w:hint="eastAsia"/>
                <w:sz w:val="23"/>
                <w:szCs w:val="23"/>
              </w:rPr>
            </w:pPr>
          </w:p>
        </w:tc>
        <w:tc>
          <w:tcPr>
            <w:tcW w:w="709" w:type="dxa"/>
          </w:tcPr>
          <w:p w:rsidR="00316143" w:rsidRDefault="00316143" w:rsidP="00466BA9">
            <w:pPr>
              <w:spacing w:line="300" w:lineRule="exact"/>
              <w:rPr>
                <w:rFonts w:ascii="仿宋_GB2312" w:eastAsia="仿宋_GB2312" w:hAnsi="仿宋_GB2312" w:cs="仿宋_GB2312" w:hint="eastAsia"/>
                <w:sz w:val="23"/>
                <w:szCs w:val="23"/>
              </w:rPr>
            </w:pPr>
          </w:p>
        </w:tc>
      </w:tr>
    </w:tbl>
    <w:p w:rsidR="00316143" w:rsidRDefault="00316143" w:rsidP="00316143">
      <w:pPr>
        <w:sectPr w:rsidR="00316143">
          <w:pgSz w:w="16838" w:h="11906" w:orient="landscape"/>
          <w:pgMar w:top="1134" w:right="1418" w:bottom="1134" w:left="1418" w:header="851" w:footer="992" w:gutter="0"/>
          <w:pgNumType w:fmt="numberInDash"/>
          <w:cols w:space="720"/>
          <w:docGrid w:type="linesAndChars" w:linePitch="312"/>
        </w:sectPr>
      </w:pPr>
      <w:r>
        <w:rPr>
          <w:rFonts w:ascii="仿宋_GB2312" w:eastAsia="仿宋_GB2312" w:hint="eastAsia"/>
          <w:sz w:val="24"/>
        </w:rPr>
        <w:t>备注：上述扣分，以扣完本条考核内容确定的分值为止</w:t>
      </w:r>
    </w:p>
    <w:p w:rsidR="003113F0" w:rsidRPr="00316143" w:rsidRDefault="003113F0">
      <w:bookmarkStart w:id="0" w:name="_GoBack"/>
      <w:bookmarkEnd w:id="0"/>
    </w:p>
    <w:sectPr w:rsidR="003113F0" w:rsidRPr="00316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43"/>
    <w:rsid w:val="003113F0"/>
    <w:rsid w:val="0031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FA5C-7458-429E-B537-76EB991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14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550</Words>
  <Characters>3138</Characters>
  <Application>Microsoft Office Word</Application>
  <DocSecurity>0</DocSecurity>
  <Lines>26</Lines>
  <Paragraphs>7</Paragraphs>
  <ScaleCrop>false</ScaleCrop>
  <Company>DoubleOX</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2020-07-13T06:52:00Z</dcterms:created>
  <dcterms:modified xsi:type="dcterms:W3CDTF">2020-07-13T06:52:00Z</dcterms:modified>
</cp:coreProperties>
</file>