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EDB4D">
      <w:pPr>
        <w:pStyle w:val="3"/>
        <w:keepNext w:val="0"/>
        <w:keepLines w:val="0"/>
        <w:widowControl/>
        <w:suppressLineNumbers w:val="0"/>
        <w:shd w:val="clear" w:fill="FFFFFF"/>
        <w:spacing w:line="543" w:lineRule="atLeast"/>
        <w:ind w:left="0" w:firstLine="0"/>
        <w:jc w:val="center"/>
        <w:rPr>
          <w:rFonts w:hint="eastAsia" w:ascii="方正小标宋简体" w:hAnsi="方正小标宋简体" w:eastAsia="方正小标宋简体" w:cs="方正小标宋简体"/>
          <w:b/>
          <w:bCs/>
          <w:i w:val="0"/>
          <w:caps w:val="0"/>
          <w:color w:val="000000"/>
          <w:spacing w:val="0"/>
          <w:sz w:val="36"/>
          <w:szCs w:val="36"/>
        </w:rPr>
      </w:pPr>
      <w:r>
        <w:rPr>
          <w:rFonts w:hint="eastAsia" w:ascii="方正小标宋简体" w:hAnsi="方正小标宋简体" w:eastAsia="方正小标宋简体" w:cs="方正小标宋简体"/>
          <w:b/>
          <w:bCs/>
          <w:i w:val="0"/>
          <w:caps w:val="0"/>
          <w:color w:val="000000"/>
          <w:spacing w:val="0"/>
          <w:sz w:val="36"/>
          <w:szCs w:val="36"/>
          <w:shd w:val="clear" w:fill="FFFFFF"/>
        </w:rPr>
        <w:t>202</w:t>
      </w:r>
      <w:r>
        <w:rPr>
          <w:rFonts w:hint="eastAsia" w:ascii="方正小标宋简体" w:hAnsi="方正小标宋简体" w:eastAsia="方正小标宋简体" w:cs="方正小标宋简体"/>
          <w:b/>
          <w:bCs/>
          <w:i w:val="0"/>
          <w:caps w:val="0"/>
          <w:color w:val="000000"/>
          <w:spacing w:val="0"/>
          <w:sz w:val="36"/>
          <w:szCs w:val="36"/>
          <w:shd w:val="clear" w:fill="FFFFFF"/>
          <w:lang w:val="en-US" w:eastAsia="zh-CN"/>
        </w:rPr>
        <w:t>6</w:t>
      </w:r>
      <w:bookmarkStart w:id="0" w:name="_GoBack"/>
      <w:bookmarkEnd w:id="0"/>
      <w:r>
        <w:rPr>
          <w:rFonts w:hint="eastAsia" w:ascii="方正小标宋简体" w:hAnsi="方正小标宋简体" w:eastAsia="方正小标宋简体" w:cs="方正小标宋简体"/>
          <w:b/>
          <w:bCs/>
          <w:i w:val="0"/>
          <w:caps w:val="0"/>
          <w:color w:val="000000"/>
          <w:spacing w:val="0"/>
          <w:sz w:val="36"/>
          <w:szCs w:val="36"/>
          <w:shd w:val="clear" w:fill="FFFFFF"/>
        </w:rPr>
        <w:t>年峄城区</w:t>
      </w:r>
      <w:r>
        <w:rPr>
          <w:rFonts w:hint="eastAsia" w:ascii="方正小标宋简体" w:hAnsi="方正小标宋简体" w:eastAsia="方正小标宋简体" w:cs="方正小标宋简体"/>
          <w:b/>
          <w:bCs/>
          <w:i w:val="0"/>
          <w:caps w:val="0"/>
          <w:color w:val="000000"/>
          <w:spacing w:val="0"/>
          <w:sz w:val="36"/>
          <w:szCs w:val="36"/>
          <w:shd w:val="clear" w:fill="FFFFFF"/>
          <w:lang w:val="en-US" w:eastAsia="zh-CN"/>
        </w:rPr>
        <w:t>发展和改革</w:t>
      </w:r>
      <w:r>
        <w:rPr>
          <w:rFonts w:hint="eastAsia" w:ascii="方正小标宋简体" w:hAnsi="方正小标宋简体" w:eastAsia="方正小标宋简体" w:cs="方正小标宋简体"/>
          <w:b/>
          <w:bCs/>
          <w:i w:val="0"/>
          <w:caps w:val="0"/>
          <w:color w:val="000000"/>
          <w:spacing w:val="0"/>
          <w:sz w:val="36"/>
          <w:szCs w:val="36"/>
          <w:shd w:val="clear" w:fill="FFFFFF"/>
        </w:rPr>
        <w:t>局行政执法事项清单</w:t>
      </w:r>
    </w:p>
    <w:tbl>
      <w:tblPr>
        <w:tblStyle w:val="7"/>
        <w:tblpPr w:leftFromText="180" w:rightFromText="180" w:vertAnchor="page" w:horzAnchor="page" w:tblpX="716" w:tblpY="1782"/>
        <w:tblOverlap w:val="never"/>
        <w:tblW w:w="10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114"/>
        <w:gridCol w:w="1100"/>
        <w:gridCol w:w="1087"/>
        <w:gridCol w:w="4265"/>
        <w:gridCol w:w="1101"/>
        <w:gridCol w:w="1222"/>
      </w:tblGrid>
      <w:tr w14:paraId="4C13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666" w:type="dxa"/>
            <w:vAlign w:val="center"/>
          </w:tcPr>
          <w:p w14:paraId="0B3394CE">
            <w:pPr>
              <w:jc w:val="center"/>
              <w:rPr>
                <w:rFonts w:hint="eastAsia" w:eastAsiaTheme="minorEastAsia"/>
                <w:b/>
                <w:bCs/>
                <w:vertAlign w:val="baseline"/>
                <w:lang w:val="en-US" w:eastAsia="zh-CN"/>
              </w:rPr>
            </w:pPr>
            <w:r>
              <w:rPr>
                <w:rFonts w:hint="eastAsia"/>
                <w:b/>
                <w:bCs/>
                <w:vertAlign w:val="baseline"/>
                <w:lang w:val="en-US" w:eastAsia="zh-CN"/>
              </w:rPr>
              <w:t>序号</w:t>
            </w:r>
          </w:p>
        </w:tc>
        <w:tc>
          <w:tcPr>
            <w:tcW w:w="1114" w:type="dxa"/>
            <w:vAlign w:val="center"/>
          </w:tcPr>
          <w:p w14:paraId="2A019B24">
            <w:pPr>
              <w:jc w:val="center"/>
              <w:rPr>
                <w:rFonts w:hint="eastAsia" w:eastAsiaTheme="minorEastAsia"/>
                <w:b/>
                <w:bCs/>
                <w:vertAlign w:val="baseline"/>
                <w:lang w:val="en-US" w:eastAsia="zh-CN"/>
              </w:rPr>
            </w:pPr>
            <w:r>
              <w:rPr>
                <w:rFonts w:hint="eastAsia"/>
                <w:b/>
                <w:bCs/>
                <w:vertAlign w:val="baseline"/>
                <w:lang w:val="en-US" w:eastAsia="zh-CN"/>
              </w:rPr>
              <w:t>实施机构</w:t>
            </w:r>
          </w:p>
        </w:tc>
        <w:tc>
          <w:tcPr>
            <w:tcW w:w="1100" w:type="dxa"/>
            <w:vAlign w:val="center"/>
          </w:tcPr>
          <w:p w14:paraId="0B504F7E">
            <w:pPr>
              <w:jc w:val="center"/>
              <w:rPr>
                <w:rFonts w:hint="eastAsia"/>
                <w:b/>
                <w:bCs/>
                <w:vertAlign w:val="baseline"/>
                <w:lang w:val="en-US" w:eastAsia="zh-CN"/>
              </w:rPr>
            </w:pPr>
            <w:r>
              <w:rPr>
                <w:rFonts w:hint="eastAsia"/>
                <w:b/>
                <w:bCs/>
                <w:vertAlign w:val="baseline"/>
                <w:lang w:val="en-US" w:eastAsia="zh-CN"/>
              </w:rPr>
              <w:t>执法职责</w:t>
            </w:r>
          </w:p>
        </w:tc>
        <w:tc>
          <w:tcPr>
            <w:tcW w:w="1087" w:type="dxa"/>
            <w:vAlign w:val="center"/>
          </w:tcPr>
          <w:p w14:paraId="760042BF">
            <w:pPr>
              <w:jc w:val="center"/>
              <w:rPr>
                <w:rFonts w:hint="eastAsia" w:eastAsiaTheme="minorEastAsia"/>
                <w:b/>
                <w:bCs/>
                <w:vertAlign w:val="baseline"/>
                <w:lang w:val="en-US" w:eastAsia="zh-CN"/>
              </w:rPr>
            </w:pPr>
            <w:r>
              <w:rPr>
                <w:rFonts w:hint="eastAsia"/>
                <w:b/>
                <w:bCs/>
                <w:vertAlign w:val="baseline"/>
                <w:lang w:val="en-US" w:eastAsia="zh-CN"/>
              </w:rPr>
              <w:t>实施权限</w:t>
            </w:r>
          </w:p>
        </w:tc>
        <w:tc>
          <w:tcPr>
            <w:tcW w:w="4265" w:type="dxa"/>
            <w:vAlign w:val="center"/>
          </w:tcPr>
          <w:p w14:paraId="02550CE6">
            <w:pPr>
              <w:jc w:val="center"/>
              <w:rPr>
                <w:rFonts w:hint="eastAsia" w:eastAsiaTheme="minorEastAsia"/>
                <w:b/>
                <w:bCs/>
                <w:vertAlign w:val="baseline"/>
                <w:lang w:val="en-US" w:eastAsia="zh-CN"/>
              </w:rPr>
            </w:pPr>
            <w:r>
              <w:rPr>
                <w:rFonts w:hint="eastAsia"/>
                <w:b/>
                <w:bCs/>
                <w:vertAlign w:val="baseline"/>
                <w:lang w:val="en-US" w:eastAsia="zh-CN"/>
              </w:rPr>
              <w:t>实施依据</w:t>
            </w:r>
          </w:p>
        </w:tc>
        <w:tc>
          <w:tcPr>
            <w:tcW w:w="1101" w:type="dxa"/>
            <w:vAlign w:val="center"/>
          </w:tcPr>
          <w:p w14:paraId="1D1CBD83">
            <w:pPr>
              <w:jc w:val="center"/>
              <w:rPr>
                <w:rFonts w:hint="eastAsia" w:eastAsiaTheme="minorEastAsia"/>
                <w:b/>
                <w:bCs/>
                <w:vertAlign w:val="baseline"/>
                <w:lang w:val="en-US" w:eastAsia="zh-CN"/>
              </w:rPr>
            </w:pPr>
            <w:r>
              <w:rPr>
                <w:rFonts w:hint="eastAsia"/>
                <w:b/>
                <w:bCs/>
                <w:vertAlign w:val="baseline"/>
                <w:lang w:val="en-US" w:eastAsia="zh-CN"/>
              </w:rPr>
              <w:t>执法程序</w:t>
            </w:r>
          </w:p>
        </w:tc>
        <w:tc>
          <w:tcPr>
            <w:tcW w:w="1222" w:type="dxa"/>
            <w:vAlign w:val="center"/>
          </w:tcPr>
          <w:p w14:paraId="1A91F359">
            <w:pPr>
              <w:jc w:val="center"/>
              <w:rPr>
                <w:rFonts w:hint="eastAsia" w:eastAsiaTheme="minorEastAsia"/>
                <w:b/>
                <w:bCs/>
                <w:vertAlign w:val="baseline"/>
                <w:lang w:val="en-US" w:eastAsia="zh-CN"/>
              </w:rPr>
            </w:pPr>
            <w:r>
              <w:rPr>
                <w:rFonts w:hint="eastAsia"/>
                <w:b/>
                <w:bCs/>
                <w:vertAlign w:val="baseline"/>
                <w:lang w:val="en-US" w:eastAsia="zh-CN"/>
              </w:rPr>
              <w:t>监督途径</w:t>
            </w:r>
          </w:p>
        </w:tc>
      </w:tr>
      <w:tr w14:paraId="7C82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666" w:type="dxa"/>
            <w:vAlign w:val="center"/>
          </w:tcPr>
          <w:p w14:paraId="6D036534">
            <w:pPr>
              <w:jc w:val="center"/>
              <w:rPr>
                <w:rFonts w:hint="eastAsia" w:eastAsiaTheme="minorEastAsia"/>
                <w:vertAlign w:val="baseline"/>
                <w:lang w:val="en-US" w:eastAsia="zh-CN"/>
              </w:rPr>
            </w:pPr>
            <w:r>
              <w:rPr>
                <w:rFonts w:hint="eastAsia"/>
                <w:vertAlign w:val="baseline"/>
                <w:lang w:val="en-US" w:eastAsia="zh-CN"/>
              </w:rPr>
              <w:t>1</w:t>
            </w:r>
          </w:p>
        </w:tc>
        <w:tc>
          <w:tcPr>
            <w:tcW w:w="1114" w:type="dxa"/>
            <w:vAlign w:val="center"/>
          </w:tcPr>
          <w:p w14:paraId="4B992C09">
            <w:pPr>
              <w:jc w:val="center"/>
              <w:rPr>
                <w:vertAlign w:val="baseline"/>
              </w:rPr>
            </w:pPr>
            <w:r>
              <w:rPr>
                <w:rFonts w:hint="eastAsia"/>
                <w:vertAlign w:val="baseline"/>
                <w:lang w:val="en-US" w:eastAsia="zh-CN"/>
              </w:rPr>
              <w:t>区发展和改革局</w:t>
            </w:r>
          </w:p>
        </w:tc>
        <w:tc>
          <w:tcPr>
            <w:tcW w:w="1100" w:type="dxa"/>
            <w:vAlign w:val="center"/>
          </w:tcPr>
          <w:p w14:paraId="6CF9E784">
            <w:pPr>
              <w:jc w:val="center"/>
              <w:rPr>
                <w:vertAlign w:val="baseline"/>
              </w:rPr>
            </w:pPr>
            <w:r>
              <w:rPr>
                <w:rFonts w:hint="eastAsia" w:ascii="宋体" w:hAnsi="宋体" w:eastAsia="宋体" w:cs="宋体"/>
                <w:i w:val="0"/>
                <w:caps w:val="0"/>
                <w:color w:val="000000"/>
                <w:spacing w:val="0"/>
                <w:kern w:val="0"/>
                <w:sz w:val="16"/>
                <w:szCs w:val="16"/>
                <w:lang w:val="en-US" w:eastAsia="zh-CN" w:bidi="ar"/>
              </w:rPr>
              <w:t>对企业投资项目未按规定核准的处罚</w:t>
            </w:r>
          </w:p>
        </w:tc>
        <w:tc>
          <w:tcPr>
            <w:tcW w:w="1087" w:type="dxa"/>
            <w:vAlign w:val="center"/>
          </w:tcPr>
          <w:p w14:paraId="77FD1D81">
            <w:pPr>
              <w:jc w:val="center"/>
              <w:rPr>
                <w:vertAlign w:val="baseline"/>
                <w:lang w:val="en-US"/>
              </w:rPr>
            </w:pPr>
            <w:r>
              <w:rPr>
                <w:rFonts w:hint="eastAsia" w:ascii="宋体" w:hAnsi="宋体" w:eastAsia="宋体" w:cs="宋体"/>
                <w:i w:val="0"/>
                <w:caps w:val="0"/>
                <w:color w:val="000000"/>
                <w:spacing w:val="0"/>
                <w:kern w:val="0"/>
                <w:sz w:val="16"/>
                <w:szCs w:val="16"/>
                <w:lang w:val="en-US" w:eastAsia="zh-CN" w:bidi="ar"/>
              </w:rPr>
              <w:t>警告,责令停止建设或者责令停产,罚款</w:t>
            </w:r>
          </w:p>
        </w:tc>
        <w:tc>
          <w:tcPr>
            <w:tcW w:w="4265" w:type="dxa"/>
            <w:vAlign w:val="center"/>
          </w:tcPr>
          <w:p w14:paraId="01AA9BC2">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企业投资项目核准和备案管理条例》（国务院令第673号）第十八条：“实行核准管理的项目，企业未依法办理核准手续开工建设或者未按照核准的建设地点、建设规模、建设内容等进行建设的，由核准机关责令停止建设或者责令停产，对企业处项目总投资额1‰以上5‰以下的罚款；对直接负责的主管人员和其他直接责任人员处2万元以上5万元以下的罚款，属于国家工作人员的，依法给予处分。以欺骗、贿赂等不正当手段取得项目核准文件，尚未开工建设的，由核准机关撤销核准文件，处项目总投资额1‰以上5‰以下的罚款；已经开工建设的，依照前款规定予以处罚；构成犯罪的，依法追究刑事责任”。</w:t>
            </w:r>
          </w:p>
          <w:p w14:paraId="2952CE29">
            <w:pPr>
              <w:jc w:val="center"/>
              <w:rPr>
                <w:vertAlign w:val="baseline"/>
              </w:rPr>
            </w:pPr>
            <w:r>
              <w:rPr>
                <w:rFonts w:hint="eastAsia" w:ascii="宋体" w:hAnsi="宋体" w:eastAsia="宋体" w:cs="宋体"/>
                <w:i w:val="0"/>
                <w:caps w:val="0"/>
                <w:color w:val="000000"/>
                <w:spacing w:val="0"/>
                <w:kern w:val="0"/>
                <w:sz w:val="16"/>
                <w:szCs w:val="16"/>
                <w:lang w:val="en-US" w:eastAsia="zh-CN" w:bidi="ar"/>
              </w:rPr>
              <w:t>《企业投资项目核准和备案管理办法》（国家发改委2017年第2号令）第五十五条：“企业以分拆项目、隐瞒有关情况或者提供虚假申报材料等不正当手段申请核准、备案的，项目核准机关不予受理或者不予核准、备案，并给予警告”。第五十六条：“实行核准管理的项目，企业未依法办理核准手续开工建设或者未按照核准的建设地点、建设规模、建设内容等进行建设的，由核准机关责令停止建设或者责令停产，对企业处项目总投资额1‰以上5‰以下的罚款；对直接负责的主管人员和其他直接责任人员处2万元以上5万元以下的罚款，属于国家工作人员的，依法给予处分。项目应视情况予以拆除或者补办相关手续。以欺骗、贿赂等不正当手段取得项目核准文件，尚未开工建设的，由核准机关撤销核准文件，处项目总投资额1‰以上5‰以下的罚款；已经开工建设的，依照前款规定予以处罚；构成犯罪的，依法追究刑事责任”。</w:t>
            </w:r>
          </w:p>
        </w:tc>
        <w:tc>
          <w:tcPr>
            <w:tcW w:w="1101" w:type="dxa"/>
            <w:vAlign w:val="center"/>
          </w:tcPr>
          <w:p w14:paraId="261B9049">
            <w:pPr>
              <w:jc w:val="center"/>
              <w:rPr>
                <w:vertAlign w:val="baseline"/>
              </w:rPr>
            </w:pPr>
            <w:r>
              <w:rPr>
                <w:rFonts w:hint="eastAsia"/>
                <w:vertAlign w:val="baseline"/>
                <w:lang w:val="en-US" w:eastAsia="zh-CN"/>
              </w:rPr>
              <w:t>一般程序</w:t>
            </w:r>
          </w:p>
        </w:tc>
        <w:tc>
          <w:tcPr>
            <w:tcW w:w="1222" w:type="dxa"/>
            <w:vAlign w:val="center"/>
          </w:tcPr>
          <w:p w14:paraId="3CBD6531">
            <w:pPr>
              <w:jc w:val="center"/>
              <w:rPr>
                <w:rFonts w:hint="eastAsia"/>
                <w:vertAlign w:val="baseline"/>
                <w:lang w:val="en-US" w:eastAsia="zh-CN"/>
              </w:rPr>
            </w:pPr>
            <w:r>
              <w:rPr>
                <w:rFonts w:hint="eastAsia"/>
                <w:vertAlign w:val="baseline"/>
                <w:lang w:val="en-US" w:eastAsia="zh-CN"/>
              </w:rPr>
              <w:t>0632-</w:t>
            </w:r>
          </w:p>
          <w:p w14:paraId="43C6EE11">
            <w:pPr>
              <w:jc w:val="center"/>
              <w:rPr>
                <w:rFonts w:hint="default"/>
                <w:vertAlign w:val="baseline"/>
                <w:lang w:val="en-US"/>
              </w:rPr>
            </w:pPr>
            <w:r>
              <w:rPr>
                <w:rFonts w:hint="eastAsia"/>
                <w:vertAlign w:val="baseline"/>
                <w:lang w:val="en-US" w:eastAsia="zh-CN"/>
              </w:rPr>
              <w:t>7711658</w:t>
            </w:r>
          </w:p>
        </w:tc>
      </w:tr>
      <w:tr w14:paraId="3773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666" w:type="dxa"/>
            <w:vAlign w:val="center"/>
          </w:tcPr>
          <w:p w14:paraId="5F28067E">
            <w:pPr>
              <w:jc w:val="center"/>
              <w:rPr>
                <w:rFonts w:hint="eastAsia" w:eastAsiaTheme="minorEastAsia"/>
                <w:vertAlign w:val="baseline"/>
                <w:lang w:val="en-US" w:eastAsia="zh-CN"/>
              </w:rPr>
            </w:pPr>
            <w:r>
              <w:rPr>
                <w:rFonts w:hint="eastAsia"/>
                <w:vertAlign w:val="baseline"/>
                <w:lang w:val="en-US" w:eastAsia="zh-CN"/>
              </w:rPr>
              <w:t>2</w:t>
            </w:r>
          </w:p>
        </w:tc>
        <w:tc>
          <w:tcPr>
            <w:tcW w:w="1114" w:type="dxa"/>
            <w:vAlign w:val="center"/>
          </w:tcPr>
          <w:p w14:paraId="5E5CBA39">
            <w:pPr>
              <w:jc w:val="center"/>
              <w:rPr>
                <w:vertAlign w:val="baseline"/>
              </w:rPr>
            </w:pPr>
            <w:r>
              <w:rPr>
                <w:rFonts w:hint="eastAsia"/>
                <w:vertAlign w:val="baseline"/>
                <w:lang w:val="en-US" w:eastAsia="zh-CN"/>
              </w:rPr>
              <w:t>区发展和改革局</w:t>
            </w:r>
          </w:p>
        </w:tc>
        <w:tc>
          <w:tcPr>
            <w:tcW w:w="1100" w:type="dxa"/>
            <w:vAlign w:val="center"/>
          </w:tcPr>
          <w:p w14:paraId="69D7D026">
            <w:pPr>
              <w:jc w:val="center"/>
              <w:rPr>
                <w:vertAlign w:val="baseline"/>
              </w:rPr>
            </w:pPr>
            <w:r>
              <w:rPr>
                <w:rFonts w:hint="eastAsia" w:ascii="宋体" w:hAnsi="宋体" w:eastAsia="宋体" w:cs="宋体"/>
                <w:i w:val="0"/>
                <w:caps w:val="0"/>
                <w:color w:val="000000"/>
                <w:spacing w:val="0"/>
                <w:kern w:val="0"/>
                <w:sz w:val="16"/>
                <w:szCs w:val="16"/>
                <w:lang w:val="en-US" w:eastAsia="zh-CN" w:bidi="ar"/>
              </w:rPr>
              <w:t>对企业投资项目未按规定备案的处罚</w:t>
            </w:r>
          </w:p>
        </w:tc>
        <w:tc>
          <w:tcPr>
            <w:tcW w:w="1087" w:type="dxa"/>
            <w:vAlign w:val="center"/>
          </w:tcPr>
          <w:p w14:paraId="465B9746">
            <w:pPr>
              <w:jc w:val="center"/>
              <w:rPr>
                <w:vertAlign w:val="baseline"/>
              </w:rPr>
            </w:pPr>
            <w:r>
              <w:rPr>
                <w:rFonts w:hint="eastAsia" w:ascii="宋体" w:hAnsi="宋体" w:eastAsia="宋体" w:cs="宋体"/>
                <w:i w:val="0"/>
                <w:caps w:val="0"/>
                <w:color w:val="000000"/>
                <w:spacing w:val="0"/>
                <w:kern w:val="0"/>
                <w:sz w:val="16"/>
                <w:szCs w:val="16"/>
                <w:lang w:val="en-US" w:eastAsia="zh-CN" w:bidi="ar"/>
              </w:rPr>
              <w:t>警告，责令限期改正，罚款</w:t>
            </w:r>
          </w:p>
        </w:tc>
        <w:tc>
          <w:tcPr>
            <w:tcW w:w="4265" w:type="dxa"/>
            <w:vAlign w:val="center"/>
          </w:tcPr>
          <w:p w14:paraId="3D5411E6">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企业投资项目核准和备案管理条例》（国务院令第673号）第十九条：“实行备案管理的项目，企业未依照本条例规定将项目信息或者已备案项目信息变更情况报送备案机关，或者向备案机关报送虚假信息的，由备案机关责令限期改正；逾期不改正的，处2万元以上5万元以下的罚款”。</w:t>
            </w:r>
          </w:p>
          <w:p w14:paraId="1CBB69F2">
            <w:pPr>
              <w:jc w:val="center"/>
              <w:rPr>
                <w:vertAlign w:val="baseline"/>
              </w:rPr>
            </w:pPr>
            <w:r>
              <w:rPr>
                <w:rFonts w:hint="eastAsia" w:ascii="宋体" w:hAnsi="宋体" w:eastAsia="宋体" w:cs="宋体"/>
                <w:i w:val="0"/>
                <w:caps w:val="0"/>
                <w:color w:val="000000"/>
                <w:spacing w:val="0"/>
                <w:kern w:val="0"/>
                <w:sz w:val="16"/>
                <w:szCs w:val="16"/>
                <w:lang w:val="en-US" w:eastAsia="zh-CN" w:bidi="ar"/>
              </w:rPr>
              <w:t>《企业投资项目核准和备案管理办法》（国家发改委2017年第2号令）第五十五条：“企业以分拆项目、隐瞒有关情况或者提供虚假申报材料等不正当手段申请核准、备案的，项目核准机关不予受理或者不予核准、备案，并给予警告”。第五十七条：“实行备案管理的项目，企业未依法将项目信息或者已备案项目信息变更情况报送备案机关，或者向备案机关报送虚假信息的，由备案机关责令限期改正；逾期不改正的，处2万元以上5万元以下的罚款”。</w:t>
            </w:r>
          </w:p>
        </w:tc>
        <w:tc>
          <w:tcPr>
            <w:tcW w:w="1101" w:type="dxa"/>
            <w:vAlign w:val="center"/>
          </w:tcPr>
          <w:p w14:paraId="6FE678AA">
            <w:pPr>
              <w:jc w:val="center"/>
              <w:rPr>
                <w:vertAlign w:val="baseline"/>
              </w:rPr>
            </w:pPr>
            <w:r>
              <w:rPr>
                <w:rFonts w:hint="eastAsia"/>
                <w:vertAlign w:val="baseline"/>
                <w:lang w:val="en-US" w:eastAsia="zh-CN"/>
              </w:rPr>
              <w:t>一般程序</w:t>
            </w:r>
          </w:p>
        </w:tc>
        <w:tc>
          <w:tcPr>
            <w:tcW w:w="1222" w:type="dxa"/>
            <w:vAlign w:val="center"/>
          </w:tcPr>
          <w:p w14:paraId="09DA9A8D">
            <w:pPr>
              <w:jc w:val="center"/>
              <w:rPr>
                <w:rFonts w:hint="eastAsia"/>
                <w:vertAlign w:val="baseline"/>
                <w:lang w:val="en-US" w:eastAsia="zh-CN"/>
              </w:rPr>
            </w:pPr>
            <w:r>
              <w:rPr>
                <w:rFonts w:hint="eastAsia"/>
                <w:vertAlign w:val="baseline"/>
                <w:lang w:val="en-US" w:eastAsia="zh-CN"/>
              </w:rPr>
              <w:t>0632-</w:t>
            </w:r>
          </w:p>
          <w:p w14:paraId="3E60F161">
            <w:pPr>
              <w:jc w:val="center"/>
              <w:rPr>
                <w:rFonts w:hint="default"/>
                <w:vertAlign w:val="baseline"/>
                <w:lang w:val="en-US"/>
              </w:rPr>
            </w:pPr>
            <w:r>
              <w:rPr>
                <w:rFonts w:hint="eastAsia"/>
                <w:vertAlign w:val="baseline"/>
                <w:lang w:val="en-US" w:eastAsia="zh-CN"/>
              </w:rPr>
              <w:t>7711658</w:t>
            </w:r>
          </w:p>
        </w:tc>
      </w:tr>
      <w:tr w14:paraId="510E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9" w:hRule="atLeast"/>
        </w:trPr>
        <w:tc>
          <w:tcPr>
            <w:tcW w:w="666" w:type="dxa"/>
            <w:vAlign w:val="center"/>
          </w:tcPr>
          <w:p w14:paraId="64F579C1">
            <w:pPr>
              <w:jc w:val="center"/>
              <w:rPr>
                <w:rFonts w:hint="eastAsia" w:eastAsiaTheme="minorEastAsia"/>
                <w:vertAlign w:val="baseline"/>
                <w:lang w:val="en-US" w:eastAsia="zh-CN"/>
              </w:rPr>
            </w:pPr>
            <w:r>
              <w:rPr>
                <w:rFonts w:hint="eastAsia"/>
                <w:vertAlign w:val="baseline"/>
                <w:lang w:val="en-US" w:eastAsia="zh-CN"/>
              </w:rPr>
              <w:t>3</w:t>
            </w:r>
          </w:p>
        </w:tc>
        <w:tc>
          <w:tcPr>
            <w:tcW w:w="1114" w:type="dxa"/>
            <w:vAlign w:val="center"/>
          </w:tcPr>
          <w:p w14:paraId="7B657100">
            <w:pPr>
              <w:jc w:val="center"/>
              <w:rPr>
                <w:vertAlign w:val="baseline"/>
              </w:rPr>
            </w:pPr>
            <w:r>
              <w:rPr>
                <w:rFonts w:hint="eastAsia"/>
                <w:vertAlign w:val="baseline"/>
                <w:lang w:val="en-US" w:eastAsia="zh-CN"/>
              </w:rPr>
              <w:t>区发展和改革局</w:t>
            </w:r>
          </w:p>
        </w:tc>
        <w:tc>
          <w:tcPr>
            <w:tcW w:w="1100" w:type="dxa"/>
            <w:vAlign w:val="center"/>
          </w:tcPr>
          <w:p w14:paraId="27CD66A1">
            <w:pPr>
              <w:jc w:val="center"/>
              <w:rPr>
                <w:vertAlign w:val="baseline"/>
              </w:rPr>
            </w:pPr>
            <w:r>
              <w:rPr>
                <w:rFonts w:hint="eastAsia" w:ascii="宋体" w:hAnsi="宋体" w:eastAsia="宋体" w:cs="宋体"/>
                <w:i w:val="0"/>
                <w:caps w:val="0"/>
                <w:color w:val="000000"/>
                <w:spacing w:val="0"/>
                <w:kern w:val="0"/>
                <w:sz w:val="16"/>
                <w:szCs w:val="16"/>
                <w:lang w:val="en-US" w:eastAsia="zh-CN" w:bidi="ar"/>
              </w:rPr>
              <w:t>对企业投资建设产业政策禁止投资建设项目的处罚</w:t>
            </w:r>
          </w:p>
        </w:tc>
        <w:tc>
          <w:tcPr>
            <w:tcW w:w="1087" w:type="dxa"/>
            <w:vAlign w:val="center"/>
          </w:tcPr>
          <w:p w14:paraId="06081588">
            <w:pPr>
              <w:jc w:val="center"/>
              <w:rPr>
                <w:vertAlign w:val="baseline"/>
              </w:rPr>
            </w:pPr>
            <w:r>
              <w:rPr>
                <w:rFonts w:hint="eastAsia" w:ascii="宋体" w:hAnsi="宋体" w:eastAsia="宋体" w:cs="宋体"/>
                <w:i w:val="0"/>
                <w:caps w:val="0"/>
                <w:color w:val="000000"/>
                <w:spacing w:val="0"/>
                <w:kern w:val="0"/>
                <w:sz w:val="16"/>
                <w:szCs w:val="16"/>
                <w:lang w:val="en-US" w:eastAsia="zh-CN" w:bidi="ar"/>
              </w:rPr>
              <w:t>警告,责令停止建设或者责令停产,罚款</w:t>
            </w:r>
          </w:p>
        </w:tc>
        <w:tc>
          <w:tcPr>
            <w:tcW w:w="4265" w:type="dxa"/>
            <w:vAlign w:val="center"/>
          </w:tcPr>
          <w:p w14:paraId="046D8B3D">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企业投资项目核准和备案管理条例》（国务院令第673号）第二十条：“企业投资建设产业政策禁止投资建设项目的，由县级以上人民政府投资主管部门责令停止建设或者责令停产并恢复原状，对企业处项目总投资额5‰以上10‰以下的罚款；对直接负责的主管人员和其他直接责任人员处5万元以上10万元以下的罚款，属于国家工作人员的，依法给予处分。法律、行政法规另有规定的，依照其规定”。</w:t>
            </w:r>
          </w:p>
          <w:p w14:paraId="07B50BE4">
            <w:pPr>
              <w:jc w:val="center"/>
              <w:rPr>
                <w:vertAlign w:val="baseline"/>
              </w:rPr>
            </w:pPr>
            <w:r>
              <w:rPr>
                <w:rFonts w:hint="eastAsia" w:ascii="宋体" w:hAnsi="宋体" w:eastAsia="宋体" w:cs="宋体"/>
                <w:i w:val="0"/>
                <w:caps w:val="0"/>
                <w:color w:val="000000"/>
                <w:spacing w:val="0"/>
                <w:kern w:val="0"/>
                <w:sz w:val="16"/>
                <w:szCs w:val="16"/>
                <w:lang w:val="en-US" w:eastAsia="zh-CN" w:bidi="ar"/>
              </w:rPr>
              <w:t>《企业投资项目核准和备案管理办法》（国家发改委2017年第2号令）第五十八条：“企业投资建设产业政策禁止投资建设项目的，由县级以上人民政府投资主管部门责令停止建设或者责令停产并恢复原状，对企业处项目总投资额5‰以上10‰以下的罚款；对直接负责的主管人员和其他直接责任人员处5万元以上10万元以下的罚款，属于国家工作人员的，依法给予处分。法律、行政法规另有规定的，依照其规定”。</w:t>
            </w:r>
          </w:p>
        </w:tc>
        <w:tc>
          <w:tcPr>
            <w:tcW w:w="1101" w:type="dxa"/>
            <w:vAlign w:val="center"/>
          </w:tcPr>
          <w:p w14:paraId="2AA675A0">
            <w:pPr>
              <w:jc w:val="center"/>
              <w:rPr>
                <w:vertAlign w:val="baseline"/>
              </w:rPr>
            </w:pPr>
            <w:r>
              <w:rPr>
                <w:rFonts w:hint="eastAsia"/>
                <w:vertAlign w:val="baseline"/>
                <w:lang w:val="en-US" w:eastAsia="zh-CN"/>
              </w:rPr>
              <w:t>一般程序</w:t>
            </w:r>
          </w:p>
        </w:tc>
        <w:tc>
          <w:tcPr>
            <w:tcW w:w="1222" w:type="dxa"/>
            <w:vAlign w:val="center"/>
          </w:tcPr>
          <w:p w14:paraId="7AE6D39D">
            <w:pPr>
              <w:jc w:val="center"/>
              <w:rPr>
                <w:rFonts w:hint="eastAsia"/>
                <w:vertAlign w:val="baseline"/>
                <w:lang w:val="en-US" w:eastAsia="zh-CN"/>
              </w:rPr>
            </w:pPr>
            <w:r>
              <w:rPr>
                <w:rFonts w:hint="eastAsia"/>
                <w:vertAlign w:val="baseline"/>
                <w:lang w:val="en-US" w:eastAsia="zh-CN"/>
              </w:rPr>
              <w:t>0632-</w:t>
            </w:r>
          </w:p>
          <w:p w14:paraId="52F3789F">
            <w:pPr>
              <w:jc w:val="center"/>
              <w:rPr>
                <w:rFonts w:hint="default"/>
                <w:vertAlign w:val="baseline"/>
                <w:lang w:val="en-US"/>
              </w:rPr>
            </w:pPr>
            <w:r>
              <w:rPr>
                <w:rFonts w:hint="eastAsia"/>
                <w:vertAlign w:val="baseline"/>
                <w:lang w:val="en-US" w:eastAsia="zh-CN"/>
              </w:rPr>
              <w:t>7711658</w:t>
            </w:r>
          </w:p>
        </w:tc>
      </w:tr>
      <w:tr w14:paraId="7E48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666" w:type="dxa"/>
            <w:vAlign w:val="center"/>
          </w:tcPr>
          <w:p w14:paraId="2AC376D9">
            <w:pPr>
              <w:jc w:val="center"/>
              <w:rPr>
                <w:rFonts w:hint="eastAsia" w:eastAsiaTheme="minorEastAsia"/>
                <w:vertAlign w:val="baseline"/>
                <w:lang w:val="en-US" w:eastAsia="zh-CN"/>
              </w:rPr>
            </w:pPr>
            <w:r>
              <w:rPr>
                <w:rFonts w:hint="eastAsia"/>
                <w:vertAlign w:val="baseline"/>
                <w:lang w:val="en-US" w:eastAsia="zh-CN"/>
              </w:rPr>
              <w:t>4</w:t>
            </w:r>
          </w:p>
        </w:tc>
        <w:tc>
          <w:tcPr>
            <w:tcW w:w="1114" w:type="dxa"/>
            <w:vAlign w:val="center"/>
          </w:tcPr>
          <w:p w14:paraId="70F8510F">
            <w:pPr>
              <w:jc w:val="center"/>
              <w:rPr>
                <w:vertAlign w:val="baseline"/>
              </w:rPr>
            </w:pPr>
            <w:r>
              <w:rPr>
                <w:rFonts w:hint="eastAsia"/>
                <w:vertAlign w:val="baseline"/>
                <w:lang w:val="en-US" w:eastAsia="zh-CN"/>
              </w:rPr>
              <w:t>区发展和改革局</w:t>
            </w:r>
          </w:p>
        </w:tc>
        <w:tc>
          <w:tcPr>
            <w:tcW w:w="1100" w:type="dxa"/>
            <w:vAlign w:val="center"/>
          </w:tcPr>
          <w:p w14:paraId="1FA64772">
            <w:pPr>
              <w:jc w:val="center"/>
              <w:rPr>
                <w:vertAlign w:val="baseline"/>
              </w:rPr>
            </w:pPr>
            <w:r>
              <w:rPr>
                <w:rFonts w:hint="eastAsia" w:ascii="宋体" w:hAnsi="宋体" w:eastAsia="宋体" w:cs="宋体"/>
                <w:i w:val="0"/>
                <w:caps w:val="0"/>
                <w:color w:val="000000"/>
                <w:spacing w:val="0"/>
                <w:kern w:val="0"/>
                <w:sz w:val="16"/>
                <w:szCs w:val="16"/>
                <w:lang w:val="en-US" w:eastAsia="zh-CN" w:bidi="ar"/>
              </w:rPr>
              <w:t>对违反固定资产投资项目节能审查规定的处罚</w:t>
            </w:r>
          </w:p>
        </w:tc>
        <w:tc>
          <w:tcPr>
            <w:tcW w:w="1087" w:type="dxa"/>
            <w:vAlign w:val="center"/>
          </w:tcPr>
          <w:p w14:paraId="3637A1F8">
            <w:pPr>
              <w:jc w:val="center"/>
              <w:rPr>
                <w:vertAlign w:val="baseline"/>
              </w:rPr>
            </w:pPr>
            <w:r>
              <w:rPr>
                <w:rFonts w:hint="eastAsia" w:ascii="宋体" w:hAnsi="宋体" w:eastAsia="宋体" w:cs="宋体"/>
                <w:i w:val="0"/>
                <w:caps w:val="0"/>
                <w:color w:val="000000"/>
                <w:spacing w:val="0"/>
                <w:kern w:val="0"/>
                <w:sz w:val="16"/>
                <w:szCs w:val="16"/>
                <w:lang w:val="en-US" w:eastAsia="zh-CN" w:bidi="ar"/>
              </w:rPr>
              <w:t>责令建设单位限期整改或者责令停产,</w:t>
            </w:r>
          </w:p>
        </w:tc>
        <w:tc>
          <w:tcPr>
            <w:tcW w:w="4265" w:type="dxa"/>
            <w:vAlign w:val="center"/>
          </w:tcPr>
          <w:p w14:paraId="10C7EFF1">
            <w:pPr>
              <w:jc w:val="center"/>
              <w:rPr>
                <w:vertAlign w:val="baseline"/>
              </w:rPr>
            </w:pPr>
            <w:r>
              <w:rPr>
                <w:rFonts w:hint="eastAsia" w:ascii="宋体" w:hAnsi="宋体" w:eastAsia="宋体" w:cs="宋体"/>
                <w:i w:val="0"/>
                <w:caps w:val="0"/>
                <w:color w:val="000000"/>
                <w:spacing w:val="0"/>
                <w:kern w:val="0"/>
                <w:sz w:val="16"/>
                <w:szCs w:val="16"/>
                <w:lang w:val="en-US" w:eastAsia="zh-CN" w:bidi="ar"/>
              </w:rPr>
              <w:t>《中华人民共和国节约能源法》（2016年7月修订）第六十八条：“负责审批政府投资项目的机关违反本法规定，对不符合强制性节能标准的项目予以批准建设的，对直接负责的主管人员和其他直接责任人员依法给予处分。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r>
              <w:rPr>
                <w:rFonts w:hint="eastAsia" w:ascii="宋体" w:hAnsi="宋体" w:eastAsia="宋体" w:cs="宋体"/>
                <w:i w:val="0"/>
                <w:caps w:val="0"/>
                <w:color w:val="000000"/>
                <w:spacing w:val="0"/>
                <w:kern w:val="0"/>
                <w:sz w:val="16"/>
                <w:szCs w:val="16"/>
                <w:lang w:val="en-US" w:eastAsia="zh-CN" w:bidi="ar"/>
              </w:rPr>
              <w:br w:type="textWrapping"/>
            </w:r>
            <w:r>
              <w:rPr>
                <w:rFonts w:hint="eastAsia" w:ascii="宋体" w:hAnsi="宋体" w:eastAsia="宋体" w:cs="宋体"/>
                <w:i w:val="0"/>
                <w:caps w:val="0"/>
                <w:color w:val="000000"/>
                <w:spacing w:val="0"/>
                <w:kern w:val="0"/>
                <w:sz w:val="16"/>
                <w:szCs w:val="16"/>
                <w:lang w:val="en-US" w:eastAsia="zh-CN" w:bidi="ar"/>
              </w:rPr>
              <w:t>《固定资产投资项目节能审查办法》（国家发改委2016年第44号令）第十三条：“对未按本办法规定进行节能审查，或节能审查未获通过，擅自开工建设或擅自投入生产、使用的固定资产投资项目，由节能审查机关责令停止建设或停止生产、使用，限期改造；不能改造或逾期不改造的生产性项目，由节能审查机关报请本级人民政府按照国务院规定的权限责令关闭，并依法追究有关责任人的责任。以拆分项目、提供虚假材料等不正当手段通过节能审查的固定资产投资项目，由节能审查机关撤销项目的节能审查意见。未落实节能审查意见要求的固定资产投资项目，节能审查机关责令建设单位限期整改。不能改正或逾期不改正的，节能审查机关按照法律法规的有关规定进行处罚。未落实节能审查意见要求的固定资产投资项目，节能审查机关责令建设单位限期整改。不能改正或逾期不改正的，节能审查机关按照法律法规的有关规定进行处罚”。</w:t>
            </w:r>
          </w:p>
        </w:tc>
        <w:tc>
          <w:tcPr>
            <w:tcW w:w="1101" w:type="dxa"/>
            <w:vAlign w:val="center"/>
          </w:tcPr>
          <w:p w14:paraId="41032C77">
            <w:pPr>
              <w:jc w:val="center"/>
              <w:rPr>
                <w:vertAlign w:val="baseline"/>
              </w:rPr>
            </w:pPr>
            <w:r>
              <w:rPr>
                <w:rFonts w:hint="eastAsia"/>
                <w:vertAlign w:val="baseline"/>
                <w:lang w:val="en-US" w:eastAsia="zh-CN"/>
              </w:rPr>
              <w:t>一般程序</w:t>
            </w:r>
          </w:p>
        </w:tc>
        <w:tc>
          <w:tcPr>
            <w:tcW w:w="1222" w:type="dxa"/>
            <w:vAlign w:val="center"/>
          </w:tcPr>
          <w:p w14:paraId="624FBD31">
            <w:pPr>
              <w:jc w:val="center"/>
              <w:rPr>
                <w:rFonts w:hint="eastAsia"/>
                <w:vertAlign w:val="baseline"/>
                <w:lang w:val="en-US" w:eastAsia="zh-CN"/>
              </w:rPr>
            </w:pPr>
            <w:r>
              <w:rPr>
                <w:rFonts w:hint="eastAsia"/>
                <w:vertAlign w:val="baseline"/>
                <w:lang w:val="en-US" w:eastAsia="zh-CN"/>
              </w:rPr>
              <w:t>0632-</w:t>
            </w:r>
          </w:p>
          <w:p w14:paraId="0938AC4F">
            <w:pPr>
              <w:jc w:val="center"/>
              <w:rPr>
                <w:rFonts w:hint="default"/>
                <w:vertAlign w:val="baseline"/>
                <w:lang w:val="en-US"/>
              </w:rPr>
            </w:pPr>
            <w:r>
              <w:rPr>
                <w:rFonts w:hint="eastAsia"/>
                <w:vertAlign w:val="baseline"/>
                <w:lang w:val="en-US" w:eastAsia="zh-CN"/>
              </w:rPr>
              <w:t>7755058</w:t>
            </w:r>
          </w:p>
        </w:tc>
      </w:tr>
      <w:tr w14:paraId="76E2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666" w:type="dxa"/>
            <w:vAlign w:val="center"/>
          </w:tcPr>
          <w:p w14:paraId="6B05620B">
            <w:pPr>
              <w:jc w:val="center"/>
              <w:rPr>
                <w:rFonts w:hint="eastAsia"/>
                <w:vertAlign w:val="baseline"/>
                <w:lang w:val="en-US" w:eastAsia="zh-CN"/>
              </w:rPr>
            </w:pPr>
            <w:r>
              <w:rPr>
                <w:rFonts w:hint="eastAsia"/>
                <w:vertAlign w:val="baseline"/>
                <w:lang w:val="en-US" w:eastAsia="zh-CN"/>
              </w:rPr>
              <w:t>5</w:t>
            </w:r>
          </w:p>
        </w:tc>
        <w:tc>
          <w:tcPr>
            <w:tcW w:w="1114" w:type="dxa"/>
            <w:vAlign w:val="center"/>
          </w:tcPr>
          <w:p w14:paraId="2EAF7D13">
            <w:pPr>
              <w:jc w:val="center"/>
              <w:rPr>
                <w:rFonts w:hint="eastAsia"/>
                <w:vertAlign w:val="baseline"/>
                <w:lang w:val="en-US" w:eastAsia="zh-CN"/>
              </w:rPr>
            </w:pPr>
            <w:r>
              <w:rPr>
                <w:rFonts w:hint="eastAsia"/>
                <w:vertAlign w:val="baseline"/>
                <w:lang w:val="en-US" w:eastAsia="zh-CN"/>
              </w:rPr>
              <w:t>区能源事务服务中心</w:t>
            </w:r>
          </w:p>
        </w:tc>
        <w:tc>
          <w:tcPr>
            <w:tcW w:w="1100" w:type="dxa"/>
            <w:vAlign w:val="center"/>
          </w:tcPr>
          <w:p w14:paraId="47BC1689">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fldChar w:fldCharType="begin"/>
            </w:r>
            <w:r>
              <w:rPr>
                <w:rFonts w:hint="eastAsia" w:ascii="宋体" w:hAnsi="宋体" w:eastAsia="宋体" w:cs="宋体"/>
                <w:i w:val="0"/>
                <w:caps w:val="0"/>
                <w:color w:val="000000"/>
                <w:spacing w:val="0"/>
                <w:kern w:val="0"/>
                <w:sz w:val="16"/>
                <w:szCs w:val="16"/>
                <w:lang w:val="en-US" w:eastAsia="zh-CN" w:bidi="ar"/>
              </w:rPr>
              <w:instrText xml:space="preserve"> HYPERLINK "http://zzyczwfw.sd.gov.cn/yc/icity/powerduty/qzInfo?id=2308284F7DB34152AB6D94DEE13B42D1&amp;type=0" \t "http://zzyczwfw.sd.gov.cn/yc/icity/powerduty/_blank" </w:instrText>
            </w:r>
            <w:r>
              <w:rPr>
                <w:rFonts w:hint="eastAsia" w:ascii="宋体" w:hAnsi="宋体" w:eastAsia="宋体" w:cs="宋体"/>
                <w:i w:val="0"/>
                <w:caps w:val="0"/>
                <w:color w:val="000000"/>
                <w:spacing w:val="0"/>
                <w:kern w:val="0"/>
                <w:sz w:val="16"/>
                <w:szCs w:val="16"/>
                <w:lang w:val="en-US" w:eastAsia="zh-CN" w:bidi="ar"/>
              </w:rPr>
              <w:fldChar w:fldCharType="separate"/>
            </w:r>
            <w:r>
              <w:rPr>
                <w:rFonts w:hint="default" w:ascii="宋体" w:hAnsi="宋体" w:eastAsia="宋体" w:cs="宋体"/>
                <w:i w:val="0"/>
                <w:caps w:val="0"/>
                <w:color w:val="000000"/>
                <w:spacing w:val="0"/>
                <w:kern w:val="0"/>
                <w:sz w:val="16"/>
                <w:szCs w:val="16"/>
                <w:lang w:val="en-US" w:eastAsia="zh-CN" w:bidi="ar"/>
              </w:rPr>
              <w:t>对未经批准或者未采取安全措施进行作业，危及电力设施安全的处罚</w:t>
            </w:r>
            <w:r>
              <w:rPr>
                <w:rFonts w:hint="default" w:ascii="宋体" w:hAnsi="宋体" w:eastAsia="宋体" w:cs="宋体"/>
                <w:i w:val="0"/>
                <w:caps w:val="0"/>
                <w:color w:val="000000"/>
                <w:spacing w:val="0"/>
                <w:kern w:val="0"/>
                <w:sz w:val="16"/>
                <w:szCs w:val="16"/>
                <w:lang w:val="en-US" w:eastAsia="zh-CN" w:bidi="ar"/>
              </w:rPr>
              <w:fldChar w:fldCharType="end"/>
            </w:r>
          </w:p>
        </w:tc>
        <w:tc>
          <w:tcPr>
            <w:tcW w:w="1087" w:type="dxa"/>
            <w:vAlign w:val="center"/>
          </w:tcPr>
          <w:p w14:paraId="1D0DFAA8">
            <w:pPr>
              <w:jc w:val="center"/>
              <w:rPr>
                <w:rFonts w:hint="eastAsia" w:ascii="宋体" w:hAnsi="宋体" w:eastAsia="宋体" w:cs="宋体"/>
                <w:i w:val="0"/>
                <w:caps w:val="0"/>
                <w:color w:val="000000"/>
                <w:spacing w:val="0"/>
                <w:kern w:val="0"/>
                <w:sz w:val="16"/>
                <w:szCs w:val="16"/>
                <w:lang w:val="en-US" w:eastAsia="zh-CN" w:bidi="ar"/>
              </w:rPr>
            </w:pPr>
          </w:p>
        </w:tc>
        <w:tc>
          <w:tcPr>
            <w:tcW w:w="4265" w:type="dxa"/>
            <w:vAlign w:val="center"/>
          </w:tcPr>
          <w:p w14:paraId="3B8B243F">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《电力设施保护条例》(国家经济贸易委员会、公安部令第8号发布，国家发展和改革委员会令第10号修改)第二十六条 ：违反本条例规定，未经批准或未采取安全措施，在电力设施周围或在依法划定的电力设施保护区内进行爆破或其他作业，危及电力设施安全的，由电力管理部门责令停止作业、恢复原状并赔偿损失。</w:t>
            </w:r>
          </w:p>
          <w:p w14:paraId="2A5C8FD8">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《山东省电力设施和电能保护条例》(2010年11月通过)</w:t>
            </w:r>
          </w:p>
          <w:p w14:paraId="400A9CC3">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第五十一条：违反本条例第十六条规定，未经批准或者未采取安全措施进行作业，危及电力设施安全的，由电力行政管理部门责令停止作业、恢复原状并赔偿损失。</w:t>
            </w:r>
          </w:p>
        </w:tc>
        <w:tc>
          <w:tcPr>
            <w:tcW w:w="1101" w:type="dxa"/>
            <w:vAlign w:val="center"/>
          </w:tcPr>
          <w:p w14:paraId="0FDD5592">
            <w:pPr>
              <w:jc w:val="center"/>
              <w:rPr>
                <w:rFonts w:hint="eastAsia"/>
                <w:vertAlign w:val="baseline"/>
                <w:lang w:val="en-US" w:eastAsia="zh-CN"/>
              </w:rPr>
            </w:pPr>
            <w:r>
              <w:rPr>
                <w:rFonts w:hint="eastAsia"/>
                <w:vertAlign w:val="baseline"/>
                <w:lang w:val="en-US" w:eastAsia="zh-CN"/>
              </w:rPr>
              <w:t>一般程序</w:t>
            </w:r>
          </w:p>
        </w:tc>
        <w:tc>
          <w:tcPr>
            <w:tcW w:w="1222" w:type="dxa"/>
            <w:vAlign w:val="center"/>
          </w:tcPr>
          <w:p w14:paraId="1CEE11B4">
            <w:pPr>
              <w:jc w:val="center"/>
              <w:rPr>
                <w:rFonts w:hint="eastAsia"/>
                <w:vertAlign w:val="baseline"/>
                <w:lang w:val="en-US" w:eastAsia="zh-CN"/>
              </w:rPr>
            </w:pPr>
            <w:r>
              <w:rPr>
                <w:rFonts w:hint="eastAsia"/>
                <w:vertAlign w:val="baseline"/>
                <w:lang w:val="en-US" w:eastAsia="zh-CN"/>
              </w:rPr>
              <w:t>0632-</w:t>
            </w:r>
          </w:p>
          <w:p w14:paraId="73623C08">
            <w:pPr>
              <w:jc w:val="center"/>
              <w:rPr>
                <w:rFonts w:hint="eastAsia"/>
                <w:vertAlign w:val="baseline"/>
                <w:lang w:val="en-US" w:eastAsia="zh-CN"/>
              </w:rPr>
            </w:pPr>
            <w:r>
              <w:rPr>
                <w:rFonts w:hint="eastAsia"/>
                <w:vertAlign w:val="baseline"/>
                <w:lang w:val="en-US" w:eastAsia="zh-CN"/>
              </w:rPr>
              <w:t>7755058</w:t>
            </w:r>
          </w:p>
        </w:tc>
      </w:tr>
      <w:tr w14:paraId="5E71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666" w:type="dxa"/>
            <w:vAlign w:val="center"/>
          </w:tcPr>
          <w:p w14:paraId="42022509">
            <w:pPr>
              <w:jc w:val="center"/>
              <w:rPr>
                <w:rFonts w:hint="eastAsia"/>
                <w:vertAlign w:val="baseline"/>
                <w:lang w:val="en-US" w:eastAsia="zh-CN"/>
              </w:rPr>
            </w:pPr>
            <w:r>
              <w:rPr>
                <w:rFonts w:hint="eastAsia"/>
                <w:vertAlign w:val="baseline"/>
                <w:lang w:val="en-US" w:eastAsia="zh-CN"/>
              </w:rPr>
              <w:t>6</w:t>
            </w:r>
          </w:p>
        </w:tc>
        <w:tc>
          <w:tcPr>
            <w:tcW w:w="1114" w:type="dxa"/>
            <w:vAlign w:val="center"/>
          </w:tcPr>
          <w:p w14:paraId="2F35EA94">
            <w:pPr>
              <w:jc w:val="center"/>
              <w:rPr>
                <w:rFonts w:hint="eastAsia"/>
                <w:vertAlign w:val="baseline"/>
                <w:lang w:val="en-US" w:eastAsia="zh-CN"/>
              </w:rPr>
            </w:pPr>
            <w:r>
              <w:rPr>
                <w:rFonts w:hint="eastAsia"/>
                <w:vertAlign w:val="baseline"/>
                <w:lang w:val="en-US" w:eastAsia="zh-CN"/>
              </w:rPr>
              <w:t>区能源事务服务中心</w:t>
            </w:r>
          </w:p>
        </w:tc>
        <w:tc>
          <w:tcPr>
            <w:tcW w:w="1100" w:type="dxa"/>
            <w:vAlign w:val="center"/>
          </w:tcPr>
          <w:p w14:paraId="45C7993F">
            <w:pPr>
              <w:jc w:val="center"/>
              <w:rPr>
                <w:rFonts w:ascii="Helvetica" w:hAnsi="Helvetica" w:eastAsia="Helvetica" w:cs="Helvetica"/>
                <w:i w:val="0"/>
                <w:caps w:val="0"/>
                <w:color w:val="333333"/>
                <w:spacing w:val="0"/>
                <w:sz w:val="21"/>
                <w:szCs w:val="21"/>
                <w:u w:val="none"/>
                <w:shd w:val="clear" w:fill="EFEFEF"/>
              </w:rPr>
            </w:pPr>
            <w:r>
              <w:rPr>
                <w:rFonts w:hint="eastAsia" w:ascii="宋体" w:hAnsi="宋体" w:eastAsia="宋体" w:cs="宋体"/>
                <w:i w:val="0"/>
                <w:caps w:val="0"/>
                <w:color w:val="000000"/>
                <w:spacing w:val="0"/>
                <w:kern w:val="0"/>
                <w:sz w:val="16"/>
                <w:szCs w:val="16"/>
                <w:lang w:val="en-US" w:eastAsia="zh-CN" w:bidi="ar"/>
              </w:rPr>
              <w:t>对煤矿企业（煤矿）主要负责人及安全管理人员未履行《安全生产法》规定的安全生产管理职责的处罚</w:t>
            </w:r>
          </w:p>
        </w:tc>
        <w:tc>
          <w:tcPr>
            <w:tcW w:w="1087" w:type="dxa"/>
            <w:vAlign w:val="center"/>
          </w:tcPr>
          <w:p w14:paraId="2E0A2592">
            <w:pPr>
              <w:jc w:val="center"/>
              <w:rPr>
                <w:rFonts w:hint="eastAsia" w:ascii="宋体" w:hAnsi="宋体" w:eastAsia="宋体" w:cs="宋体"/>
                <w:i w:val="0"/>
                <w:caps w:val="0"/>
                <w:color w:val="000000"/>
                <w:spacing w:val="0"/>
                <w:kern w:val="0"/>
                <w:sz w:val="16"/>
                <w:szCs w:val="16"/>
                <w:lang w:val="en-US" w:eastAsia="zh-CN" w:bidi="ar"/>
              </w:rPr>
            </w:pPr>
          </w:p>
        </w:tc>
        <w:tc>
          <w:tcPr>
            <w:tcW w:w="4265" w:type="dxa"/>
            <w:vAlign w:val="center"/>
          </w:tcPr>
          <w:p w14:paraId="15EFEB1A">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《安全生产法》(2002年6月通过，2021年6月修订)</w:t>
            </w:r>
          </w:p>
          <w:p w14:paraId="03B406A4">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第九十四条：生产经营单位的主要负责人未履行本法规定的安全生产管理职责的，责令限期改正，处二万元以上五万元以下的罚款；逾期未改正的，处五万元以上十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第九十五条：生产经营单位的主要负责人未履行本法规定的安全生产管理职责，导致发生生产安全事故的，由应急管理部门依照下列规定处以罚款:（一）发生一般事故的，处上一年年收入百分之四十的罚款；（二）发生较大事故的，处上一年年收入百分之六十的罚款；（三）发生重大事故的，处上一年年收入百分之八十的罚款；（四）发生特别重大事故的，处上一年年收入百分之一百的罚款。第一百一十四条：发生生产安全事故，对负有责任的生产经营单位除要求其依法承担相应的赔偿等责任外，由应急管理部门依照下列规定处以罚款:（一）发生一般事故的，处三十万元以上一百万元以下的罚款；（二）发生较大事故的，处一百万元以上二百万元以下的罚款；（三）发生重大事故的，处二百万元以上一千万元以下的罚款；（四）发生特别重大事故的，处一千万元以上二千万元以下的罚款。发生生产安全事故，情节特别严重、影响特别恶劣的，应急管理部门可以按照前款罚款数额的二倍以上五倍以下对负有责任的生产经营单位处以罚款。第一百一十五条：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tc>
        <w:tc>
          <w:tcPr>
            <w:tcW w:w="1101" w:type="dxa"/>
            <w:vAlign w:val="center"/>
          </w:tcPr>
          <w:p w14:paraId="59AD6184">
            <w:pPr>
              <w:jc w:val="center"/>
              <w:rPr>
                <w:rFonts w:hint="eastAsia"/>
                <w:vertAlign w:val="baseline"/>
                <w:lang w:val="en-US" w:eastAsia="zh-CN"/>
              </w:rPr>
            </w:pPr>
            <w:r>
              <w:rPr>
                <w:rFonts w:hint="eastAsia"/>
                <w:vertAlign w:val="baseline"/>
                <w:lang w:val="en-US" w:eastAsia="zh-CN"/>
              </w:rPr>
              <w:t>一般程序</w:t>
            </w:r>
          </w:p>
        </w:tc>
        <w:tc>
          <w:tcPr>
            <w:tcW w:w="1222" w:type="dxa"/>
            <w:vAlign w:val="center"/>
          </w:tcPr>
          <w:p w14:paraId="5CC24A01">
            <w:pPr>
              <w:jc w:val="center"/>
              <w:rPr>
                <w:rFonts w:hint="eastAsia"/>
                <w:vertAlign w:val="baseline"/>
                <w:lang w:val="en-US" w:eastAsia="zh-CN"/>
              </w:rPr>
            </w:pPr>
            <w:r>
              <w:rPr>
                <w:rFonts w:hint="eastAsia"/>
                <w:vertAlign w:val="baseline"/>
                <w:lang w:val="en-US" w:eastAsia="zh-CN"/>
              </w:rPr>
              <w:t>0632-</w:t>
            </w:r>
          </w:p>
          <w:p w14:paraId="66C8E33D">
            <w:pPr>
              <w:jc w:val="center"/>
              <w:rPr>
                <w:rFonts w:hint="eastAsia"/>
                <w:vertAlign w:val="baseline"/>
                <w:lang w:val="en-US" w:eastAsia="zh-CN"/>
              </w:rPr>
            </w:pPr>
            <w:r>
              <w:rPr>
                <w:rFonts w:hint="eastAsia"/>
                <w:vertAlign w:val="baseline"/>
                <w:lang w:val="en-US" w:eastAsia="zh-CN"/>
              </w:rPr>
              <w:t>7755058</w:t>
            </w:r>
          </w:p>
        </w:tc>
      </w:tr>
      <w:tr w14:paraId="4509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666" w:type="dxa"/>
            <w:vAlign w:val="center"/>
          </w:tcPr>
          <w:p w14:paraId="5EC0E453">
            <w:pPr>
              <w:jc w:val="center"/>
              <w:rPr>
                <w:rFonts w:hint="eastAsia"/>
                <w:vertAlign w:val="baseline"/>
                <w:lang w:val="en-US" w:eastAsia="zh-CN"/>
              </w:rPr>
            </w:pPr>
            <w:r>
              <w:rPr>
                <w:rFonts w:hint="eastAsia"/>
                <w:vertAlign w:val="baseline"/>
                <w:lang w:val="en-US" w:eastAsia="zh-CN"/>
              </w:rPr>
              <w:t>7</w:t>
            </w:r>
          </w:p>
        </w:tc>
        <w:tc>
          <w:tcPr>
            <w:tcW w:w="1114" w:type="dxa"/>
            <w:vAlign w:val="center"/>
          </w:tcPr>
          <w:p w14:paraId="2149776D">
            <w:pPr>
              <w:jc w:val="center"/>
              <w:rPr>
                <w:rFonts w:hint="eastAsia"/>
                <w:vertAlign w:val="baseline"/>
                <w:lang w:val="en-US" w:eastAsia="zh-CN"/>
              </w:rPr>
            </w:pPr>
            <w:r>
              <w:rPr>
                <w:rFonts w:hint="eastAsia"/>
                <w:vertAlign w:val="baseline"/>
                <w:lang w:val="en-US" w:eastAsia="zh-CN"/>
              </w:rPr>
              <w:t>区能源事务服务中心</w:t>
            </w:r>
          </w:p>
        </w:tc>
        <w:tc>
          <w:tcPr>
            <w:tcW w:w="1100" w:type="dxa"/>
            <w:vAlign w:val="center"/>
          </w:tcPr>
          <w:p w14:paraId="14F6A325">
            <w:pPr>
              <w:jc w:val="center"/>
              <w:rPr>
                <w:rFonts w:hint="eastAsia" w:ascii="Helvetica" w:hAnsi="Helvetica" w:eastAsia="Helvetica" w:cs="Helvetica"/>
                <w:i w:val="0"/>
                <w:caps w:val="0"/>
                <w:color w:val="333333"/>
                <w:spacing w:val="0"/>
                <w:sz w:val="21"/>
                <w:szCs w:val="21"/>
                <w:u w:val="none"/>
                <w:shd w:val="clear" w:fill="EFEFEF"/>
              </w:rPr>
            </w:pPr>
            <w:r>
              <w:rPr>
                <w:rFonts w:hint="eastAsia" w:ascii="宋体" w:hAnsi="宋体" w:eastAsia="宋体" w:cs="宋体"/>
                <w:i w:val="0"/>
                <w:caps w:val="0"/>
                <w:color w:val="000000"/>
                <w:spacing w:val="0"/>
                <w:kern w:val="0"/>
                <w:sz w:val="16"/>
                <w:szCs w:val="16"/>
                <w:lang w:val="en-US" w:eastAsia="zh-CN" w:bidi="ar"/>
              </w:rPr>
              <w:t>对煤矿企业（煤矿）存在重大安全生产隐患和行为的处罚</w:t>
            </w:r>
          </w:p>
        </w:tc>
        <w:tc>
          <w:tcPr>
            <w:tcW w:w="1087" w:type="dxa"/>
            <w:vAlign w:val="center"/>
          </w:tcPr>
          <w:p w14:paraId="27FA9267">
            <w:pPr>
              <w:jc w:val="center"/>
              <w:rPr>
                <w:rFonts w:hint="eastAsia" w:ascii="宋体" w:hAnsi="宋体" w:eastAsia="宋体" w:cs="宋体"/>
                <w:i w:val="0"/>
                <w:caps w:val="0"/>
                <w:color w:val="000000"/>
                <w:spacing w:val="0"/>
                <w:kern w:val="0"/>
                <w:sz w:val="16"/>
                <w:szCs w:val="16"/>
                <w:lang w:val="en-US" w:eastAsia="zh-CN" w:bidi="ar"/>
              </w:rPr>
            </w:pPr>
          </w:p>
        </w:tc>
        <w:tc>
          <w:tcPr>
            <w:tcW w:w="4265" w:type="dxa"/>
            <w:vAlign w:val="center"/>
          </w:tcPr>
          <w:p w14:paraId="464B7631">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《安全生产法》(2002年6月通过，2021年6月修订)</w:t>
            </w:r>
          </w:p>
          <w:p w14:paraId="0A0B2BCF">
            <w:pPr>
              <w:jc w:val="center"/>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第一百零五条：生产经营单位有下列行为之一的，责令限期改正，处五万元以下的罚款，对其直接负责的主管人员和其他直接责任人员处一万元以下的罚款；逾期未改正的，责令停产停业整顿；构成犯罪的，依照刑法有关规定追究刑事责任:（一）生产、经营、储存、使用危险物品的车间、商店、仓库与员工宿舍在同一座建筑内，或者与员工宿舍的距离不符合安全要求的；（二）生产经营场所和员工宿舍未设有符合紧急疏散需要、标志明显、保持畅通的出口、疏散通道，或者占用、锁闭、封堵生产经营场所或者员工宿舍出口、疏散通道的。第一百一十五条：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14:paraId="5D8FA511">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国务院关于预防煤矿生产安全事故的特别规定》(2005年9月国务院令第446号，2013年7月修订)第四条：县级以上地方人民政府负责煤矿安全生产监督管理的部门、国家煤矿安全监察机构设在省、自治区、直辖市的煤矿安全监察机构（以下简称煤矿安全监察机构），对所辖区域的煤矿重大安全生产隐患和违法行为负有检查和依法查处的职责。第八条：煤矿有下列重大安全生产隐患和行为的，应当立即停止生产，排除隐患：（一）超能力、超强度或者超定员组织生产的（十五）有其他重大安全生产隐患的。第十条：煤矿有本规定第八条第二款所列情形之一，仍然进行生产的，由县级以上地方人民政府负责煤矿安全生产监督管理的部门或者煤矿安全监察机构责令停产整顿，提出整顿的内容、时间等具体要求，处50万元以上200万元以下的罚款；对煤矿企业负责人处3万元以上15万元以下的罚款。对3个月内2次或者2次以上发现有重大安全生产隐患，仍然进行生产的煤矿，县级以上地方人民政府负责煤矿安全生产监督管理的部门、煤矿安全监察机构应当提请有关地方人民政府关闭该煤矿，并由颁发证照的部门立即吊销矿长资格证和矿长安全资格证，该煤矿的法定代表人和矿长5年内不得再担任任何煤矿的法定代表人或者矿长。第十五条：煤矿存在瓦斯突出、自然发火、冲击地压、水害威胁等重大安全生产隐患，该煤矿在现有技术条件下难以有效防治的，县级以上地方人民政府负责煤矿安全生产监督管理的部门、煤矿安全监察机构应当责令其立即停止生产，并提请有关地方人民政府组织专家进行论证。专家论证应当客观、公正、科学。有关地方人民政府应当根据论证结论，作出是否关闭煤矿的决定，并组织实施。《防治煤与瓦斯突出规定》(2009年5月国家安全生产监督管理总局令第19号)第十条： 经评估认为有突出危险的新建矿井，建井期间应当对开采煤层及其他可能对采掘活动造成威胁的煤层进行突出危险性鉴定。第十一条： 矿井有下列情况之一的，应当立即进行突出煤层鉴定；鉴定未完成前，应当按照突出煤层管理。第十八条 突出矿井开采的非突出煤层和高瓦斯矿井的开采煤层，在延深达到或超过50m或开拓新采区时，必须测定煤层瓦斯压力、瓦斯含量及其他与突出危险性相关的参数。第一百一十三条 ：煤矿企业违反本规定第十条、第十一条、第十八条规定的，责令停止施工或停产整顿，处100万元以上150万元以下的罚款，提出限期改正的要求；对煤矿企业负责人处9万元以上12万元以下的罚款。逾期未改正的，提请地方人民政府予以关闭。</w:t>
            </w:r>
          </w:p>
        </w:tc>
        <w:tc>
          <w:tcPr>
            <w:tcW w:w="1101" w:type="dxa"/>
            <w:vAlign w:val="center"/>
          </w:tcPr>
          <w:p w14:paraId="54E45386">
            <w:pPr>
              <w:jc w:val="center"/>
              <w:rPr>
                <w:rFonts w:hint="eastAsia"/>
                <w:vertAlign w:val="baseline"/>
                <w:lang w:val="en-US" w:eastAsia="zh-CN"/>
              </w:rPr>
            </w:pPr>
            <w:r>
              <w:rPr>
                <w:rFonts w:hint="eastAsia"/>
                <w:vertAlign w:val="baseline"/>
                <w:lang w:val="en-US" w:eastAsia="zh-CN"/>
              </w:rPr>
              <w:t>一般程序</w:t>
            </w:r>
          </w:p>
        </w:tc>
        <w:tc>
          <w:tcPr>
            <w:tcW w:w="1222" w:type="dxa"/>
            <w:vAlign w:val="center"/>
          </w:tcPr>
          <w:p w14:paraId="1A5AF7F2">
            <w:pPr>
              <w:jc w:val="center"/>
              <w:rPr>
                <w:rFonts w:hint="eastAsia"/>
                <w:vertAlign w:val="baseline"/>
                <w:lang w:val="en-US" w:eastAsia="zh-CN"/>
              </w:rPr>
            </w:pPr>
            <w:r>
              <w:rPr>
                <w:rFonts w:hint="eastAsia"/>
                <w:vertAlign w:val="baseline"/>
                <w:lang w:val="en-US" w:eastAsia="zh-CN"/>
              </w:rPr>
              <w:t>0632-</w:t>
            </w:r>
          </w:p>
          <w:p w14:paraId="287B2CCD">
            <w:pPr>
              <w:jc w:val="center"/>
              <w:rPr>
                <w:rFonts w:hint="eastAsia"/>
                <w:vertAlign w:val="baseline"/>
                <w:lang w:val="en-US" w:eastAsia="zh-CN"/>
              </w:rPr>
            </w:pPr>
            <w:r>
              <w:rPr>
                <w:rFonts w:hint="eastAsia"/>
                <w:vertAlign w:val="baseline"/>
                <w:lang w:val="en-US" w:eastAsia="zh-CN"/>
              </w:rPr>
              <w:t>7755058</w:t>
            </w:r>
          </w:p>
        </w:tc>
      </w:tr>
      <w:tr w14:paraId="0E7D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666" w:type="dxa"/>
            <w:vAlign w:val="center"/>
          </w:tcPr>
          <w:p w14:paraId="6B5D371F">
            <w:pPr>
              <w:jc w:val="center"/>
              <w:rPr>
                <w:rFonts w:hint="eastAsia"/>
                <w:vertAlign w:val="baseline"/>
                <w:lang w:val="en-US" w:eastAsia="zh-CN"/>
              </w:rPr>
            </w:pPr>
            <w:r>
              <w:rPr>
                <w:rFonts w:hint="eastAsia"/>
                <w:vertAlign w:val="baseline"/>
                <w:lang w:val="en-US" w:eastAsia="zh-CN"/>
              </w:rPr>
              <w:t>8</w:t>
            </w:r>
          </w:p>
        </w:tc>
        <w:tc>
          <w:tcPr>
            <w:tcW w:w="1114" w:type="dxa"/>
            <w:vAlign w:val="center"/>
          </w:tcPr>
          <w:p w14:paraId="53FF926A">
            <w:pPr>
              <w:jc w:val="center"/>
              <w:rPr>
                <w:rFonts w:hint="eastAsia"/>
                <w:vertAlign w:val="baseline"/>
                <w:lang w:val="en-US" w:eastAsia="zh-CN"/>
              </w:rPr>
            </w:pPr>
            <w:r>
              <w:rPr>
                <w:rFonts w:hint="eastAsia"/>
                <w:vertAlign w:val="baseline"/>
                <w:lang w:val="en-US" w:eastAsia="zh-CN"/>
              </w:rPr>
              <w:t>区粮食和物资储备中心</w:t>
            </w:r>
          </w:p>
        </w:tc>
        <w:tc>
          <w:tcPr>
            <w:tcW w:w="1100" w:type="dxa"/>
            <w:vAlign w:val="center"/>
          </w:tcPr>
          <w:p w14:paraId="7855E0F6">
            <w:pPr>
              <w:jc w:val="center"/>
              <w:rPr>
                <w:rFonts w:ascii="Helvetica" w:hAnsi="Helvetica" w:eastAsia="Helvetica" w:cs="Helvetica"/>
                <w:i w:val="0"/>
                <w:caps w:val="0"/>
                <w:color w:val="333333"/>
                <w:spacing w:val="0"/>
                <w:sz w:val="21"/>
                <w:szCs w:val="21"/>
                <w:u w:val="none"/>
                <w:shd w:val="clear" w:fill="EFEFEF"/>
              </w:rPr>
            </w:pPr>
            <w:r>
              <w:rPr>
                <w:rFonts w:hint="eastAsia" w:ascii="宋体" w:hAnsi="宋体" w:eastAsia="宋体" w:cs="宋体"/>
                <w:i w:val="0"/>
                <w:caps w:val="0"/>
                <w:color w:val="000000"/>
                <w:spacing w:val="0"/>
                <w:kern w:val="0"/>
                <w:sz w:val="16"/>
                <w:szCs w:val="16"/>
                <w:lang w:val="en-US" w:eastAsia="zh-CN" w:bidi="ar"/>
              </w:rPr>
              <w:fldChar w:fldCharType="begin"/>
            </w:r>
            <w:r>
              <w:rPr>
                <w:rFonts w:hint="eastAsia" w:ascii="宋体" w:hAnsi="宋体" w:eastAsia="宋体" w:cs="宋体"/>
                <w:i w:val="0"/>
                <w:caps w:val="0"/>
                <w:color w:val="000000"/>
                <w:spacing w:val="0"/>
                <w:kern w:val="0"/>
                <w:sz w:val="16"/>
                <w:szCs w:val="16"/>
                <w:lang w:val="en-US" w:eastAsia="zh-CN" w:bidi="ar"/>
              </w:rPr>
              <w:instrText xml:space="preserve"> HYPERLINK "http://zzyczwfw.sd.gov.cn/yc/icity/powerduty/qzInfo?id=5F5BCC621D5645C28F2F032106BD3A81&amp;type=0" \t "http://zzyczwfw.sd.gov.cn/yc/icity/powerduty/_blank" </w:instrText>
            </w:r>
            <w:r>
              <w:rPr>
                <w:rFonts w:hint="eastAsia" w:ascii="宋体" w:hAnsi="宋体" w:eastAsia="宋体" w:cs="宋体"/>
                <w:i w:val="0"/>
                <w:caps w:val="0"/>
                <w:color w:val="000000"/>
                <w:spacing w:val="0"/>
                <w:kern w:val="0"/>
                <w:sz w:val="16"/>
                <w:szCs w:val="16"/>
                <w:lang w:val="en-US" w:eastAsia="zh-CN" w:bidi="ar"/>
              </w:rPr>
              <w:fldChar w:fldCharType="separate"/>
            </w:r>
            <w:r>
              <w:rPr>
                <w:rFonts w:hint="default" w:ascii="宋体" w:hAnsi="宋体" w:eastAsia="宋体" w:cs="宋体"/>
                <w:i w:val="0"/>
                <w:caps w:val="0"/>
                <w:color w:val="000000"/>
                <w:spacing w:val="0"/>
                <w:kern w:val="0"/>
                <w:sz w:val="16"/>
                <w:szCs w:val="16"/>
                <w:lang w:val="en-US" w:eastAsia="zh-CN" w:bidi="ar"/>
              </w:rPr>
              <w:t>对违反粮食经营质量安全管理有关规定的处罚</w:t>
            </w:r>
            <w:r>
              <w:rPr>
                <w:rFonts w:hint="default" w:ascii="宋体" w:hAnsi="宋体" w:eastAsia="宋体" w:cs="宋体"/>
                <w:i w:val="0"/>
                <w:caps w:val="0"/>
                <w:color w:val="000000"/>
                <w:spacing w:val="0"/>
                <w:kern w:val="0"/>
                <w:sz w:val="16"/>
                <w:szCs w:val="16"/>
                <w:lang w:val="en-US" w:eastAsia="zh-CN" w:bidi="ar"/>
              </w:rPr>
              <w:fldChar w:fldCharType="end"/>
            </w:r>
          </w:p>
        </w:tc>
        <w:tc>
          <w:tcPr>
            <w:tcW w:w="1087" w:type="dxa"/>
            <w:vAlign w:val="center"/>
          </w:tcPr>
          <w:p w14:paraId="14DA4A89">
            <w:pPr>
              <w:jc w:val="center"/>
              <w:rPr>
                <w:rFonts w:hint="eastAsia" w:ascii="宋体" w:hAnsi="宋体" w:eastAsia="宋体" w:cs="宋体"/>
                <w:i w:val="0"/>
                <w:caps w:val="0"/>
                <w:color w:val="000000"/>
                <w:spacing w:val="0"/>
                <w:kern w:val="0"/>
                <w:sz w:val="16"/>
                <w:szCs w:val="16"/>
                <w:lang w:val="en-US" w:eastAsia="zh-CN" w:bidi="ar"/>
              </w:rPr>
            </w:pPr>
          </w:p>
        </w:tc>
        <w:tc>
          <w:tcPr>
            <w:tcW w:w="4265" w:type="dxa"/>
            <w:vAlign w:val="center"/>
          </w:tcPr>
          <w:p w14:paraId="5B0A08E6">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粮食质量安全监管办法》(2016年9月国家发展和改革委员会令第42号)第四十三条：“违反本办法第十一条、第十四条第二、第三、第四、第五款、第十七条第一款、第十九条、第二十二条、第二十三条、第二十五条规定的，由县级以上粮食行政管理部门责令改正，予以警告。”</w:t>
            </w:r>
          </w:p>
        </w:tc>
        <w:tc>
          <w:tcPr>
            <w:tcW w:w="1101" w:type="dxa"/>
            <w:vAlign w:val="center"/>
          </w:tcPr>
          <w:p w14:paraId="1C23880C">
            <w:pPr>
              <w:jc w:val="center"/>
              <w:rPr>
                <w:rFonts w:hint="eastAsia"/>
                <w:vertAlign w:val="baseline"/>
                <w:lang w:val="en-US" w:eastAsia="zh-CN"/>
              </w:rPr>
            </w:pPr>
            <w:r>
              <w:rPr>
                <w:rFonts w:hint="eastAsia"/>
                <w:vertAlign w:val="baseline"/>
                <w:lang w:val="en-US" w:eastAsia="zh-CN"/>
              </w:rPr>
              <w:t>一般程序</w:t>
            </w:r>
          </w:p>
        </w:tc>
        <w:tc>
          <w:tcPr>
            <w:tcW w:w="1222" w:type="dxa"/>
            <w:vAlign w:val="center"/>
          </w:tcPr>
          <w:p w14:paraId="3D2E4B54">
            <w:pPr>
              <w:jc w:val="center"/>
              <w:rPr>
                <w:rFonts w:hint="eastAsia"/>
                <w:vertAlign w:val="baseline"/>
                <w:lang w:val="en-US" w:eastAsia="zh-CN"/>
              </w:rPr>
            </w:pPr>
            <w:r>
              <w:rPr>
                <w:rFonts w:hint="eastAsia"/>
                <w:vertAlign w:val="baseline"/>
                <w:lang w:val="en-US" w:eastAsia="zh-CN"/>
              </w:rPr>
              <w:t>7958819</w:t>
            </w:r>
          </w:p>
        </w:tc>
      </w:tr>
      <w:tr w14:paraId="2739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666" w:type="dxa"/>
            <w:vAlign w:val="center"/>
          </w:tcPr>
          <w:p w14:paraId="7E6C5EED">
            <w:pPr>
              <w:jc w:val="center"/>
              <w:rPr>
                <w:rFonts w:hint="eastAsia"/>
                <w:vertAlign w:val="baseline"/>
                <w:lang w:val="en-US" w:eastAsia="zh-CN"/>
              </w:rPr>
            </w:pPr>
            <w:r>
              <w:rPr>
                <w:rFonts w:hint="eastAsia"/>
                <w:vertAlign w:val="baseline"/>
                <w:lang w:val="en-US" w:eastAsia="zh-CN"/>
              </w:rPr>
              <w:t>9</w:t>
            </w:r>
          </w:p>
        </w:tc>
        <w:tc>
          <w:tcPr>
            <w:tcW w:w="1114" w:type="dxa"/>
            <w:vAlign w:val="center"/>
          </w:tcPr>
          <w:p w14:paraId="5D4BC6D8">
            <w:pPr>
              <w:jc w:val="center"/>
              <w:rPr>
                <w:rFonts w:hint="eastAsia"/>
                <w:vertAlign w:val="baseline"/>
                <w:lang w:val="en-US" w:eastAsia="zh-CN"/>
              </w:rPr>
            </w:pPr>
            <w:r>
              <w:rPr>
                <w:rFonts w:hint="eastAsia"/>
                <w:vertAlign w:val="baseline"/>
                <w:lang w:val="en-US" w:eastAsia="zh-CN"/>
              </w:rPr>
              <w:t>区粮食和物资储备中心</w:t>
            </w:r>
          </w:p>
        </w:tc>
        <w:tc>
          <w:tcPr>
            <w:tcW w:w="1100" w:type="dxa"/>
            <w:vAlign w:val="center"/>
          </w:tcPr>
          <w:p w14:paraId="7C92F7D0">
            <w:pPr>
              <w:jc w:val="center"/>
              <w:rPr>
                <w:rFonts w:ascii="Helvetica" w:hAnsi="Helvetica" w:eastAsia="Helvetica" w:cs="Helvetica"/>
                <w:i w:val="0"/>
                <w:caps w:val="0"/>
                <w:color w:val="29588C"/>
                <w:spacing w:val="0"/>
                <w:sz w:val="21"/>
                <w:szCs w:val="21"/>
                <w:shd w:val="clear" w:fill="FFFFFF"/>
              </w:rPr>
            </w:pPr>
            <w:r>
              <w:rPr>
                <w:rFonts w:hint="eastAsia" w:ascii="宋体" w:hAnsi="宋体" w:eastAsia="宋体" w:cs="宋体"/>
                <w:i w:val="0"/>
                <w:caps w:val="0"/>
                <w:color w:val="000000"/>
                <w:spacing w:val="0"/>
                <w:kern w:val="0"/>
                <w:sz w:val="16"/>
                <w:szCs w:val="16"/>
                <w:lang w:val="en-US" w:eastAsia="zh-CN" w:bidi="ar"/>
              </w:rPr>
              <w:t>对承储企业违反地方储备粮管理规定的处罚</w:t>
            </w:r>
          </w:p>
        </w:tc>
        <w:tc>
          <w:tcPr>
            <w:tcW w:w="1087" w:type="dxa"/>
            <w:vAlign w:val="center"/>
          </w:tcPr>
          <w:p w14:paraId="273D1564">
            <w:pPr>
              <w:jc w:val="center"/>
              <w:rPr>
                <w:rFonts w:hint="eastAsia" w:ascii="宋体" w:hAnsi="宋体" w:eastAsia="宋体" w:cs="宋体"/>
                <w:i w:val="0"/>
                <w:caps w:val="0"/>
                <w:color w:val="000000"/>
                <w:spacing w:val="0"/>
                <w:kern w:val="0"/>
                <w:sz w:val="16"/>
                <w:szCs w:val="16"/>
                <w:lang w:val="en-US" w:eastAsia="zh-CN" w:bidi="ar"/>
              </w:rPr>
            </w:pPr>
          </w:p>
        </w:tc>
        <w:tc>
          <w:tcPr>
            <w:tcW w:w="4265" w:type="dxa"/>
            <w:vAlign w:val="center"/>
          </w:tcPr>
          <w:p w14:paraId="1321A9A7">
            <w:pPr>
              <w:jc w:val="both"/>
              <w:rPr>
                <w:rFonts w:hint="eastAsia" w:ascii="宋体" w:hAnsi="宋体" w:eastAsia="宋体" w:cs="宋体"/>
                <w:i w:val="0"/>
                <w:caps w:val="0"/>
                <w:color w:val="000000"/>
                <w:spacing w:val="0"/>
                <w:kern w:val="0"/>
                <w:sz w:val="16"/>
                <w:szCs w:val="16"/>
                <w:lang w:val="en-US" w:eastAsia="zh-CN" w:bidi="ar"/>
              </w:rPr>
            </w:pPr>
            <w:r>
              <w:rPr>
                <w:rFonts w:hint="eastAsia" w:ascii="宋体" w:hAnsi="宋体" w:eastAsia="宋体" w:cs="宋体"/>
                <w:i w:val="0"/>
                <w:caps w:val="0"/>
                <w:color w:val="000000"/>
                <w:spacing w:val="0"/>
                <w:kern w:val="0"/>
                <w:sz w:val="16"/>
                <w:szCs w:val="16"/>
                <w:lang w:val="en-US" w:eastAsia="zh-CN" w:bidi="ar"/>
              </w:rPr>
              <w:t>《山东省地方储备粮管理办法》(2006年6月山东省人民政府令第186号)第三十三条：“承储企业违反本办法规定，有下列行为之一的，由粮食行政管理部门责令限期改正，并可处以1万元以上3万元以下的罚款；对直接负责的主管人员给予降级直至开除的处分；对其他直接责任人员给予警告直至开除的处分；构成犯罪的，依法追究刑事责任：（一）虚报、瞒报地方储备粮数量的；（二）在地方储备粮中掺杂掺假、以次充好的；（三）擅自串换地方储备粮品种或者变更储存地点的；（四）造成地方储备粮陈化、霉变的；（五）拒不执行或者擅自改变地方储备粮收购、年度轮换计划和动用命令的；（六）擅自动用地方储备粮的；（七）以地方储备粮对外进行担保或者清偿债务的。”</w:t>
            </w:r>
          </w:p>
        </w:tc>
        <w:tc>
          <w:tcPr>
            <w:tcW w:w="1101" w:type="dxa"/>
            <w:vAlign w:val="center"/>
          </w:tcPr>
          <w:p w14:paraId="1194DAA2">
            <w:pPr>
              <w:jc w:val="center"/>
              <w:rPr>
                <w:rFonts w:hint="eastAsia"/>
                <w:vertAlign w:val="baseline"/>
                <w:lang w:val="en-US" w:eastAsia="zh-CN"/>
              </w:rPr>
            </w:pPr>
            <w:r>
              <w:rPr>
                <w:rFonts w:hint="eastAsia"/>
                <w:vertAlign w:val="baseline"/>
                <w:lang w:val="en-US" w:eastAsia="zh-CN"/>
              </w:rPr>
              <w:t>一般程序</w:t>
            </w:r>
          </w:p>
        </w:tc>
        <w:tc>
          <w:tcPr>
            <w:tcW w:w="1222" w:type="dxa"/>
            <w:vAlign w:val="center"/>
          </w:tcPr>
          <w:p w14:paraId="36C9063A">
            <w:pPr>
              <w:jc w:val="center"/>
              <w:rPr>
                <w:rFonts w:hint="eastAsia"/>
                <w:vertAlign w:val="baseline"/>
                <w:lang w:val="en-US" w:eastAsia="zh-CN"/>
              </w:rPr>
            </w:pPr>
            <w:r>
              <w:rPr>
                <w:rFonts w:hint="eastAsia"/>
                <w:vertAlign w:val="baseline"/>
                <w:lang w:val="en-US" w:eastAsia="zh-CN"/>
              </w:rPr>
              <w:t>7958819</w:t>
            </w:r>
          </w:p>
        </w:tc>
      </w:tr>
    </w:tbl>
    <w:p w14:paraId="58B82C67"/>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00000000000000000"/>
    <w:charset w:val="86"/>
    <w:family w:val="auto"/>
    <w:pitch w:val="default"/>
    <w:sig w:usb0="A00002BF" w:usb1="184F6CFA" w:usb2="00000012" w:usb3="00000000" w:csb0="00040001"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zZjViZjJhYTE0ZTI3MTVjMWI0NGU2NDI0OTNhMjIifQ=="/>
  </w:docVars>
  <w:rsids>
    <w:rsidRoot w:val="00C03BB0"/>
    <w:rsid w:val="00C03BB0"/>
    <w:rsid w:val="060B6E81"/>
    <w:rsid w:val="07106964"/>
    <w:rsid w:val="0E9B5CBF"/>
    <w:rsid w:val="1EE50E2F"/>
    <w:rsid w:val="298023FC"/>
    <w:rsid w:val="3537038C"/>
    <w:rsid w:val="37226C4E"/>
    <w:rsid w:val="4D7B16EF"/>
    <w:rsid w:val="56562605"/>
    <w:rsid w:val="58D20A84"/>
    <w:rsid w:val="7F68375D"/>
    <w:rsid w:val="9C6641D1"/>
    <w:rsid w:val="E7FF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2173</Words>
  <Characters>2242</Characters>
  <Lines>0</Lines>
  <Paragraphs>0</Paragraphs>
  <TotalTime>3</TotalTime>
  <ScaleCrop>false</ScaleCrop>
  <LinksUpToDate>false</LinksUpToDate>
  <CharactersWithSpaces>2242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2022-05-07T21:09:00Z</dcterms:created>
  <dc:creator>zz01</dc:creator>
  <cp:lastModifiedBy>fgj</cp:lastModifiedBy>
  <cp:lastPrinted>2023-02-15T18:39:00Z</cp:lastPrinted>
  <dcterms:modified xsi:type="dcterms:W3CDTF">2026-07-31T11:50:46Z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BBD1CB5A706C439280B8AA326F52A6CB</vt:lpwstr>
  </property>
</Properties>
</file>