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0"/>
        <w:rPr>
          <w:color w:val="auto"/>
          <w:highlight w:val="none"/>
        </w:rPr>
      </w:pPr>
    </w:p>
    <w:p>
      <w:pPr>
        <w:ind w:firstLine="480"/>
        <w:rPr>
          <w:color w:val="auto"/>
          <w:highlight w:val="none"/>
        </w:rPr>
      </w:pPr>
    </w:p>
    <w:p>
      <w:pPr>
        <w:ind w:firstLine="480"/>
        <w:rPr>
          <w:color w:val="auto"/>
          <w:highlight w:val="none"/>
        </w:rPr>
      </w:pPr>
    </w:p>
    <w:p>
      <w:pPr>
        <w:ind w:firstLine="480"/>
        <w:rPr>
          <w:color w:val="auto"/>
          <w:highlight w:val="none"/>
        </w:rPr>
      </w:pPr>
    </w:p>
    <w:p>
      <w:pPr>
        <w:ind w:firstLine="480"/>
        <w:rPr>
          <w:color w:val="auto"/>
          <w:highlight w:val="none"/>
        </w:rPr>
      </w:pPr>
    </w:p>
    <w:p>
      <w:pPr>
        <w:spacing w:before="156" w:beforeLines="50" w:after="156" w:afterLines="50"/>
        <w:ind w:firstLine="0" w:firstLineChars="0"/>
        <w:jc w:val="center"/>
        <w:rPr>
          <w:rFonts w:ascii="黑体" w:hAnsi="黑体" w:eastAsia="黑体"/>
          <w:b/>
          <w:bCs/>
          <w:color w:val="auto"/>
          <w:sz w:val="52"/>
          <w:szCs w:val="52"/>
          <w:highlight w:val="none"/>
        </w:rPr>
      </w:pPr>
      <w:r>
        <w:rPr>
          <w:rFonts w:hint="eastAsia" w:ascii="黑体" w:hAnsi="黑体" w:eastAsia="黑体"/>
          <w:b/>
          <w:bCs/>
          <w:color w:val="auto"/>
          <w:sz w:val="52"/>
          <w:szCs w:val="52"/>
          <w:highlight w:val="none"/>
        </w:rPr>
        <w:t>峄城区城乡供水一体化工程</w:t>
      </w:r>
    </w:p>
    <w:p>
      <w:pPr>
        <w:spacing w:before="156" w:beforeLines="50" w:after="156" w:afterLines="50"/>
        <w:ind w:firstLine="0" w:firstLineChars="0"/>
        <w:jc w:val="center"/>
        <w:rPr>
          <w:rFonts w:ascii="黑体" w:hAnsi="黑体" w:eastAsia="黑体"/>
          <w:b/>
          <w:bCs/>
          <w:color w:val="auto"/>
          <w:sz w:val="52"/>
          <w:szCs w:val="52"/>
          <w:highlight w:val="none"/>
        </w:rPr>
      </w:pPr>
      <w:r>
        <w:rPr>
          <w:rFonts w:hint="eastAsia" w:ascii="黑体" w:hAnsi="黑体" w:eastAsia="黑体"/>
          <w:b/>
          <w:bCs/>
          <w:color w:val="auto"/>
          <w:sz w:val="52"/>
          <w:szCs w:val="52"/>
          <w:highlight w:val="none"/>
        </w:rPr>
        <w:t>可行性研究报告</w:t>
      </w:r>
    </w:p>
    <w:p>
      <w:pPr>
        <w:ind w:firstLine="480"/>
        <w:rPr>
          <w:color w:val="auto"/>
          <w:highlight w:val="none"/>
        </w:rPr>
      </w:pPr>
    </w:p>
    <w:p>
      <w:pPr>
        <w:ind w:firstLine="480"/>
        <w:rPr>
          <w:color w:val="auto"/>
          <w:highlight w:val="none"/>
        </w:rPr>
      </w:pPr>
    </w:p>
    <w:p>
      <w:pPr>
        <w:ind w:firstLine="480"/>
        <w:jc w:val="center"/>
        <w:rPr>
          <w:color w:val="auto"/>
          <w:highlight w:val="none"/>
        </w:rPr>
      </w:pPr>
    </w:p>
    <w:p>
      <w:pPr>
        <w:ind w:firstLine="480"/>
        <w:rPr>
          <w:color w:val="auto"/>
          <w:highlight w:val="none"/>
        </w:rPr>
      </w:pPr>
    </w:p>
    <w:p>
      <w:pPr>
        <w:ind w:firstLine="480"/>
        <w:rPr>
          <w:color w:val="auto"/>
          <w:highlight w:val="none"/>
        </w:rPr>
      </w:pPr>
    </w:p>
    <w:p>
      <w:pPr>
        <w:ind w:firstLine="480"/>
        <w:rPr>
          <w:color w:val="auto"/>
          <w:highlight w:val="none"/>
        </w:rPr>
      </w:pPr>
    </w:p>
    <w:p>
      <w:pPr>
        <w:ind w:firstLine="480"/>
        <w:rPr>
          <w:color w:val="auto"/>
          <w:highlight w:val="none"/>
        </w:rPr>
      </w:pPr>
    </w:p>
    <w:p>
      <w:pPr>
        <w:ind w:firstLine="480"/>
        <w:rPr>
          <w:color w:val="auto"/>
          <w:highlight w:val="none"/>
        </w:rPr>
      </w:pPr>
    </w:p>
    <w:p>
      <w:pPr>
        <w:ind w:firstLine="480"/>
        <w:rPr>
          <w:color w:val="auto"/>
          <w:highlight w:val="none"/>
        </w:rPr>
      </w:pPr>
    </w:p>
    <w:p>
      <w:pPr>
        <w:ind w:firstLine="480"/>
        <w:rPr>
          <w:color w:val="auto"/>
          <w:highlight w:val="none"/>
        </w:rPr>
      </w:pPr>
    </w:p>
    <w:p>
      <w:pPr>
        <w:ind w:firstLine="480"/>
        <w:rPr>
          <w:color w:val="auto"/>
          <w:highlight w:val="none"/>
        </w:rPr>
      </w:pPr>
    </w:p>
    <w:p>
      <w:pPr>
        <w:ind w:firstLine="480"/>
        <w:rPr>
          <w:color w:val="auto"/>
          <w:highlight w:val="none"/>
        </w:rPr>
      </w:pPr>
    </w:p>
    <w:p>
      <w:pPr>
        <w:ind w:firstLine="480"/>
        <w:rPr>
          <w:color w:val="auto"/>
          <w:highlight w:val="none"/>
        </w:rPr>
      </w:pPr>
    </w:p>
    <w:p>
      <w:pPr>
        <w:ind w:firstLine="480"/>
        <w:rPr>
          <w:color w:val="auto"/>
          <w:highlight w:val="none"/>
        </w:rPr>
      </w:pPr>
    </w:p>
    <w:p>
      <w:pPr>
        <w:ind w:firstLine="0" w:firstLineChars="0"/>
        <w:jc w:val="center"/>
        <w:rPr>
          <w:rFonts w:ascii="黑体" w:hAnsi="黑体" w:eastAsia="黑体" w:cs="Times New Roman"/>
          <w:b/>
          <w:color w:val="auto"/>
          <w:sz w:val="32"/>
          <w:szCs w:val="32"/>
          <w:highlight w:val="none"/>
        </w:rPr>
      </w:pPr>
      <w:r>
        <w:rPr>
          <w:rFonts w:hint="eastAsia" w:ascii="黑体" w:hAnsi="黑体" w:eastAsia="黑体" w:cs="Times New Roman"/>
          <w:b/>
          <w:color w:val="auto"/>
          <w:sz w:val="32"/>
          <w:szCs w:val="32"/>
          <w:highlight w:val="none"/>
        </w:rPr>
        <w:t>上海市水利工程设计研究院有限公司</w:t>
      </w:r>
    </w:p>
    <w:p>
      <w:pPr>
        <w:ind w:firstLine="0" w:firstLineChars="0"/>
        <w:jc w:val="center"/>
        <w:rPr>
          <w:b/>
          <w:color w:val="auto"/>
          <w:sz w:val="32"/>
          <w:szCs w:val="32"/>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851" w:footer="992" w:gutter="0"/>
          <w:pgNumType w:fmt="numberInDash" w:start="1"/>
          <w:cols w:space="720" w:num="1"/>
          <w:titlePg/>
          <w:docGrid w:type="lines" w:linePitch="312" w:charSpace="0"/>
        </w:sectPr>
      </w:pPr>
      <w:r>
        <w:rPr>
          <w:rFonts w:ascii="黑体" w:hAnsi="黑体" w:eastAsia="黑体" w:cs="Times New Roman"/>
          <w:b/>
          <w:color w:val="auto"/>
          <w:sz w:val="32"/>
          <w:szCs w:val="32"/>
          <w:highlight w:val="none"/>
        </w:rPr>
        <w:t>二〇二〇年</w:t>
      </w:r>
      <w:r>
        <w:rPr>
          <w:rFonts w:hint="eastAsia" w:ascii="黑体" w:hAnsi="黑体" w:eastAsia="黑体" w:cs="Times New Roman"/>
          <w:b/>
          <w:color w:val="auto"/>
          <w:sz w:val="32"/>
          <w:szCs w:val="32"/>
          <w:highlight w:val="none"/>
        </w:rPr>
        <w:t>三</w:t>
      </w:r>
      <w:r>
        <w:rPr>
          <w:rFonts w:ascii="黑体" w:hAnsi="黑体" w:eastAsia="黑体" w:cs="Times New Roman"/>
          <w:b/>
          <w:color w:val="auto"/>
          <w:sz w:val="32"/>
          <w:szCs w:val="32"/>
          <w:highlight w:val="none"/>
        </w:rPr>
        <w:t>月</w:t>
      </w:r>
      <w:r>
        <w:rPr>
          <w:b/>
          <w:color w:val="auto"/>
          <w:sz w:val="32"/>
          <w:szCs w:val="32"/>
          <w:highlight w:val="none"/>
        </w:rPr>
        <w:br w:type="page"/>
      </w:r>
    </w:p>
    <w:p>
      <w:pPr>
        <w:ind w:firstLine="0" w:firstLineChars="0"/>
        <w:jc w:val="left"/>
        <w:rPr>
          <w:rFonts w:eastAsia="黑体"/>
          <w:color w:val="auto"/>
          <w:sz w:val="30"/>
          <w:szCs w:val="30"/>
          <w:highlight w:val="none"/>
        </w:rPr>
      </w:pPr>
      <w:r>
        <w:rPr>
          <w:rFonts w:hint="eastAsia" w:eastAsia="黑体"/>
          <w:color w:val="auto"/>
          <w:sz w:val="30"/>
          <w:szCs w:val="30"/>
          <w:highlight w:val="none"/>
        </w:rPr>
        <w:t>工程名称：峄城区城乡供水一体化工程可行性研究报告</w:t>
      </w:r>
    </w:p>
    <w:p>
      <w:pPr>
        <w:tabs>
          <w:tab w:val="left" w:pos="2520"/>
          <w:tab w:val="left" w:pos="5940"/>
          <w:tab w:val="left" w:pos="7200"/>
        </w:tabs>
        <w:ind w:firstLine="0" w:firstLineChars="0"/>
        <w:jc w:val="left"/>
        <w:rPr>
          <w:rFonts w:eastAsia="黑体"/>
          <w:color w:val="auto"/>
          <w:sz w:val="30"/>
          <w:szCs w:val="30"/>
          <w:highlight w:val="none"/>
        </w:rPr>
      </w:pPr>
      <w:r>
        <w:rPr>
          <w:rFonts w:hint="eastAsia" w:eastAsia="黑体"/>
          <w:color w:val="auto"/>
          <w:sz w:val="30"/>
          <w:szCs w:val="30"/>
          <w:highlight w:val="none"/>
        </w:rPr>
        <w:t>设计单位：上海市水利工程设计研究院有限公司</w:t>
      </w:r>
    </w:p>
    <w:p>
      <w:pPr>
        <w:tabs>
          <w:tab w:val="left" w:pos="2520"/>
          <w:tab w:val="left" w:pos="5940"/>
          <w:tab w:val="left" w:pos="7200"/>
        </w:tabs>
        <w:ind w:firstLine="0" w:firstLineChars="0"/>
        <w:jc w:val="left"/>
        <w:rPr>
          <w:color w:val="auto"/>
          <w:sz w:val="30"/>
          <w:szCs w:val="30"/>
          <w:highlight w:val="none"/>
        </w:rPr>
      </w:pPr>
    </w:p>
    <w:p>
      <w:pPr>
        <w:tabs>
          <w:tab w:val="left" w:pos="2520"/>
          <w:tab w:val="left" w:pos="5940"/>
          <w:tab w:val="left" w:pos="7200"/>
        </w:tabs>
        <w:ind w:firstLine="0" w:firstLineChars="0"/>
        <w:jc w:val="left"/>
        <w:rPr>
          <w:color w:val="auto"/>
          <w:sz w:val="30"/>
          <w:szCs w:val="30"/>
          <w:highlight w:val="none"/>
        </w:rPr>
      </w:pPr>
    </w:p>
    <w:p>
      <w:pPr>
        <w:tabs>
          <w:tab w:val="left" w:pos="2520"/>
          <w:tab w:val="left" w:pos="5940"/>
          <w:tab w:val="left" w:pos="7200"/>
        </w:tabs>
        <w:ind w:firstLine="0" w:firstLineChars="0"/>
        <w:jc w:val="left"/>
        <w:rPr>
          <w:color w:val="auto"/>
          <w:sz w:val="30"/>
          <w:szCs w:val="30"/>
          <w:highlight w:val="none"/>
        </w:rPr>
      </w:pPr>
    </w:p>
    <w:p>
      <w:pPr>
        <w:ind w:firstLine="0" w:firstLineChars="0"/>
        <w:jc w:val="left"/>
        <w:rPr>
          <w:rFonts w:eastAsia="黑体"/>
          <w:color w:val="auto"/>
          <w:sz w:val="30"/>
          <w:highlight w:val="none"/>
        </w:rPr>
      </w:pPr>
      <w:r>
        <w:rPr>
          <w:rFonts w:hint="eastAsia" w:eastAsia="黑体"/>
          <w:color w:val="auto"/>
          <w:sz w:val="30"/>
          <w:highlight w:val="none"/>
        </w:rPr>
        <w:t xml:space="preserve">批    准： </w:t>
      </w:r>
    </w:p>
    <w:p>
      <w:pPr>
        <w:ind w:firstLine="0" w:firstLineChars="0"/>
        <w:jc w:val="left"/>
        <w:rPr>
          <w:rFonts w:eastAsia="黑体"/>
          <w:color w:val="auto"/>
          <w:sz w:val="30"/>
          <w:highlight w:val="none"/>
        </w:rPr>
      </w:pPr>
      <w:r>
        <w:rPr>
          <w:rFonts w:hint="eastAsia" w:eastAsia="黑体"/>
          <w:color w:val="auto"/>
          <w:sz w:val="30"/>
          <w:highlight w:val="none"/>
        </w:rPr>
        <w:t xml:space="preserve">核    定： </w:t>
      </w:r>
    </w:p>
    <w:p>
      <w:pPr>
        <w:ind w:firstLine="0" w:firstLineChars="0"/>
        <w:jc w:val="left"/>
        <w:rPr>
          <w:rFonts w:eastAsia="黑体"/>
          <w:color w:val="auto"/>
          <w:sz w:val="30"/>
          <w:highlight w:val="none"/>
        </w:rPr>
      </w:pPr>
      <w:r>
        <w:rPr>
          <w:rFonts w:hint="eastAsia" w:eastAsia="黑体"/>
          <w:color w:val="auto"/>
          <w:sz w:val="30"/>
          <w:highlight w:val="none"/>
        </w:rPr>
        <w:t>审    查：</w:t>
      </w:r>
    </w:p>
    <w:p>
      <w:pPr>
        <w:ind w:firstLine="0" w:firstLineChars="0"/>
        <w:jc w:val="left"/>
        <w:rPr>
          <w:rFonts w:eastAsia="黑体"/>
          <w:color w:val="auto"/>
          <w:sz w:val="30"/>
          <w:highlight w:val="none"/>
        </w:rPr>
      </w:pPr>
      <w:r>
        <w:rPr>
          <w:rFonts w:hint="eastAsia" w:eastAsia="黑体"/>
          <w:color w:val="auto"/>
          <w:sz w:val="30"/>
          <w:highlight w:val="none"/>
        </w:rPr>
        <w:t xml:space="preserve">校    核： </w:t>
      </w:r>
    </w:p>
    <w:p>
      <w:pPr>
        <w:ind w:firstLine="0" w:firstLineChars="0"/>
        <w:jc w:val="left"/>
        <w:rPr>
          <w:rFonts w:eastAsia="黑体"/>
          <w:color w:val="auto"/>
          <w:sz w:val="30"/>
          <w:highlight w:val="none"/>
        </w:rPr>
      </w:pPr>
      <w:r>
        <w:rPr>
          <w:rFonts w:hint="eastAsia" w:eastAsia="黑体"/>
          <w:color w:val="auto"/>
          <w:sz w:val="30"/>
          <w:highlight w:val="none"/>
        </w:rPr>
        <w:t>项目负责：</w:t>
      </w:r>
    </w:p>
    <w:p>
      <w:pPr>
        <w:ind w:firstLine="0" w:firstLineChars="0"/>
        <w:jc w:val="left"/>
        <w:rPr>
          <w:rFonts w:eastAsia="黑体"/>
          <w:color w:val="auto"/>
          <w:sz w:val="30"/>
          <w:highlight w:val="none"/>
        </w:rPr>
      </w:pPr>
      <w:r>
        <w:rPr>
          <w:rFonts w:hint="eastAsia" w:eastAsia="黑体"/>
          <w:color w:val="auto"/>
          <w:sz w:val="30"/>
          <w:highlight w:val="none"/>
        </w:rPr>
        <w:t xml:space="preserve">参加人员： </w:t>
      </w:r>
    </w:p>
    <w:p>
      <w:pPr>
        <w:ind w:firstLine="0" w:firstLineChars="0"/>
        <w:jc w:val="left"/>
        <w:rPr>
          <w:rFonts w:eastAsia="黑体"/>
          <w:color w:val="auto"/>
          <w:sz w:val="30"/>
          <w:highlight w:val="none"/>
        </w:rPr>
      </w:pPr>
      <w:r>
        <w:rPr>
          <w:rFonts w:hint="eastAsia" w:eastAsia="黑体"/>
          <w:color w:val="auto"/>
          <w:sz w:val="30"/>
          <w:highlight w:val="none"/>
        </w:rPr>
        <w:t xml:space="preserve">           </w:t>
      </w:r>
    </w:p>
    <w:p>
      <w:pPr>
        <w:widowControl/>
        <w:spacing w:line="240" w:lineRule="auto"/>
        <w:ind w:firstLine="0" w:firstLineChars="0"/>
        <w:jc w:val="left"/>
        <w:rPr>
          <w:b/>
          <w:color w:val="auto"/>
          <w:sz w:val="32"/>
          <w:szCs w:val="32"/>
          <w:highlight w:val="none"/>
        </w:rPr>
        <w:sectPr>
          <w:headerReference r:id="rId11" w:type="first"/>
          <w:pgSz w:w="11906" w:h="16838"/>
          <w:pgMar w:top="1440" w:right="1797" w:bottom="1440" w:left="1797" w:header="851" w:footer="992" w:gutter="0"/>
          <w:pgNumType w:fmt="numberInDash" w:start="1"/>
          <w:cols w:space="720" w:num="1"/>
          <w:titlePg/>
          <w:docGrid w:type="lines" w:linePitch="312" w:charSpace="0"/>
        </w:sectPr>
      </w:pPr>
      <w:r>
        <w:rPr>
          <w:b/>
          <w:color w:val="auto"/>
          <w:sz w:val="32"/>
          <w:szCs w:val="32"/>
          <w:highlight w:val="none"/>
        </w:rPr>
        <w:br w:type="page"/>
      </w:r>
    </w:p>
    <w:p>
      <w:pPr>
        <w:ind w:firstLine="0" w:firstLineChars="0"/>
        <w:jc w:val="center"/>
        <w:rPr>
          <w:color w:val="auto"/>
          <w:highlight w:val="none"/>
        </w:rPr>
      </w:pPr>
      <w:r>
        <w:rPr>
          <w:rFonts w:hint="eastAsia"/>
          <w:b/>
          <w:color w:val="auto"/>
          <w:sz w:val="32"/>
          <w:szCs w:val="32"/>
          <w:highlight w:val="none"/>
        </w:rPr>
        <w:t>目 录</w:t>
      </w:r>
    </w:p>
    <w:p>
      <w:pPr>
        <w:pStyle w:val="24"/>
        <w:tabs>
          <w:tab w:val="right" w:leader="dot" w:pos="8312"/>
        </w:tabs>
      </w:pPr>
      <w:r>
        <w:rPr>
          <w:color w:val="auto"/>
          <w:szCs w:val="24"/>
          <w:highlight w:val="none"/>
        </w:rPr>
        <w:fldChar w:fldCharType="begin"/>
      </w:r>
      <w:r>
        <w:rPr>
          <w:rFonts w:hint="eastAsia"/>
          <w:color w:val="auto"/>
          <w:szCs w:val="24"/>
          <w:highlight w:val="none"/>
        </w:rPr>
        <w:instrText xml:space="preserve">TOC \o "1-2" \h \z \u</w:instrText>
      </w:r>
      <w:r>
        <w:rPr>
          <w:color w:val="auto"/>
          <w:szCs w:val="24"/>
          <w:highlight w:val="none"/>
        </w:rPr>
        <w:fldChar w:fldCharType="separate"/>
      </w:r>
      <w:r>
        <w:rPr>
          <w:color w:val="auto"/>
          <w:szCs w:val="24"/>
          <w:highlight w:val="none"/>
        </w:rPr>
        <w:fldChar w:fldCharType="begin"/>
      </w:r>
      <w:r>
        <w:rPr>
          <w:szCs w:val="24"/>
          <w:highlight w:val="none"/>
        </w:rPr>
        <w:instrText xml:space="preserve"> HYPERLINK \l _Toc15988 </w:instrText>
      </w:r>
      <w:r>
        <w:rPr>
          <w:szCs w:val="24"/>
          <w:highlight w:val="none"/>
        </w:rPr>
        <w:fldChar w:fldCharType="separate"/>
      </w:r>
      <w:r>
        <w:rPr>
          <w:rFonts w:hint="eastAsia"/>
          <w:highlight w:val="none"/>
        </w:rPr>
        <w:t>1总论</w:t>
      </w:r>
      <w:r>
        <w:tab/>
      </w:r>
      <w:r>
        <w:fldChar w:fldCharType="begin"/>
      </w:r>
      <w:r>
        <w:instrText xml:space="preserve"> PAGEREF _Toc15988 \h </w:instrText>
      </w:r>
      <w:r>
        <w:fldChar w:fldCharType="separate"/>
      </w:r>
      <w:r>
        <w:t>1</w:t>
      </w:r>
      <w:r>
        <w:fldChar w:fldCharType="end"/>
      </w:r>
      <w:r>
        <w:rPr>
          <w:color w:val="auto"/>
          <w:szCs w:val="24"/>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_Toc26068 </w:instrText>
      </w:r>
      <w:r>
        <w:rPr>
          <w:highlight w:val="none"/>
        </w:rPr>
        <w:fldChar w:fldCharType="separate"/>
      </w:r>
      <w:r>
        <w:rPr>
          <w:rFonts w:hint="eastAsia"/>
          <w:highlight w:val="none"/>
        </w:rPr>
        <w:t>1.1项目单位概述</w:t>
      </w:r>
      <w:r>
        <w:tab/>
      </w:r>
      <w:r>
        <w:fldChar w:fldCharType="begin"/>
      </w:r>
      <w:r>
        <w:instrText xml:space="preserve"> PAGEREF _Toc26068 \h </w:instrText>
      </w:r>
      <w:r>
        <w:fldChar w:fldCharType="separate"/>
      </w:r>
      <w:r>
        <w:t>1</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_Toc24845 </w:instrText>
      </w:r>
      <w:r>
        <w:rPr>
          <w:highlight w:val="none"/>
        </w:rPr>
        <w:fldChar w:fldCharType="separate"/>
      </w:r>
      <w:r>
        <w:rPr>
          <w:rFonts w:hint="eastAsia"/>
          <w:highlight w:val="none"/>
        </w:rPr>
        <w:t>1.2</w:t>
      </w:r>
      <w:r>
        <w:rPr>
          <w:highlight w:val="none"/>
        </w:rPr>
        <w:t>编制依据、原则和目的</w:t>
      </w:r>
      <w:r>
        <w:tab/>
      </w:r>
      <w:r>
        <w:fldChar w:fldCharType="begin"/>
      </w:r>
      <w:r>
        <w:instrText xml:space="preserve"> PAGEREF _Toc24845 \h </w:instrText>
      </w:r>
      <w:r>
        <w:fldChar w:fldCharType="separate"/>
      </w:r>
      <w:r>
        <w:t>1</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_Toc26947 </w:instrText>
      </w:r>
      <w:r>
        <w:rPr>
          <w:highlight w:val="none"/>
        </w:rPr>
        <w:fldChar w:fldCharType="separate"/>
      </w:r>
      <w:r>
        <w:rPr>
          <w:rFonts w:hint="eastAsia"/>
          <w:highlight w:val="none"/>
        </w:rPr>
        <w:t>1.3</w:t>
      </w:r>
      <w:r>
        <w:rPr>
          <w:highlight w:val="none"/>
        </w:rPr>
        <w:t>研究结论</w:t>
      </w:r>
      <w:r>
        <w:tab/>
      </w:r>
      <w:r>
        <w:fldChar w:fldCharType="begin"/>
      </w:r>
      <w:r>
        <w:instrText xml:space="preserve"> PAGEREF _Toc26947 \h </w:instrText>
      </w:r>
      <w:r>
        <w:fldChar w:fldCharType="separate"/>
      </w:r>
      <w:r>
        <w:t>3</w:t>
      </w:r>
      <w:r>
        <w:fldChar w:fldCharType="end"/>
      </w:r>
      <w:r>
        <w:rPr>
          <w:color w:val="auto"/>
          <w:highlight w:val="none"/>
        </w:rPr>
        <w:fldChar w:fldCharType="end"/>
      </w:r>
    </w:p>
    <w:p>
      <w:pPr>
        <w:pStyle w:val="24"/>
        <w:tabs>
          <w:tab w:val="right" w:leader="dot" w:pos="8312"/>
        </w:tabs>
      </w:pPr>
      <w:r>
        <w:rPr>
          <w:color w:val="auto"/>
          <w:highlight w:val="none"/>
        </w:rPr>
        <w:fldChar w:fldCharType="begin"/>
      </w:r>
      <w:r>
        <w:rPr>
          <w:highlight w:val="none"/>
        </w:rPr>
        <w:instrText xml:space="preserve"> HYPERLINK \l _Toc14641 </w:instrText>
      </w:r>
      <w:r>
        <w:rPr>
          <w:highlight w:val="none"/>
        </w:rPr>
        <w:fldChar w:fldCharType="separate"/>
      </w:r>
      <w:r>
        <w:rPr>
          <w:rFonts w:hint="eastAsia"/>
          <w:highlight w:val="none"/>
        </w:rPr>
        <w:t>2工程建设的必要性</w:t>
      </w:r>
      <w:r>
        <w:tab/>
      </w:r>
      <w:r>
        <w:fldChar w:fldCharType="begin"/>
      </w:r>
      <w:r>
        <w:instrText xml:space="preserve"> PAGEREF _Toc14641 \h </w:instrText>
      </w:r>
      <w:r>
        <w:fldChar w:fldCharType="separate"/>
      </w:r>
      <w:r>
        <w:t>6</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_Toc19750 </w:instrText>
      </w:r>
      <w:r>
        <w:rPr>
          <w:highlight w:val="none"/>
        </w:rPr>
        <w:fldChar w:fldCharType="separate"/>
      </w:r>
      <w:r>
        <w:rPr>
          <w:rFonts w:hint="eastAsia"/>
          <w:highlight w:val="none"/>
        </w:rPr>
        <w:t>2.1工程提出的背景</w:t>
      </w:r>
      <w:r>
        <w:tab/>
      </w:r>
      <w:r>
        <w:fldChar w:fldCharType="begin"/>
      </w:r>
      <w:r>
        <w:instrText xml:space="preserve"> PAGEREF _Toc19750 \h </w:instrText>
      </w:r>
      <w:r>
        <w:fldChar w:fldCharType="separate"/>
      </w:r>
      <w:r>
        <w:t>6</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_Toc3516 </w:instrText>
      </w:r>
      <w:r>
        <w:rPr>
          <w:highlight w:val="none"/>
        </w:rPr>
        <w:fldChar w:fldCharType="separate"/>
      </w:r>
      <w:r>
        <w:rPr>
          <w:rFonts w:hint="eastAsia"/>
          <w:highlight w:val="none"/>
        </w:rPr>
        <w:t>2.2工程建设的必要性</w:t>
      </w:r>
      <w:r>
        <w:tab/>
      </w:r>
      <w:r>
        <w:fldChar w:fldCharType="begin"/>
      </w:r>
      <w:r>
        <w:instrText xml:space="preserve"> PAGEREF _Toc3516 \h </w:instrText>
      </w:r>
      <w:r>
        <w:fldChar w:fldCharType="separate"/>
      </w:r>
      <w:r>
        <w:t>6</w:t>
      </w:r>
      <w:r>
        <w:fldChar w:fldCharType="end"/>
      </w:r>
      <w:r>
        <w:rPr>
          <w:color w:val="auto"/>
          <w:highlight w:val="none"/>
        </w:rPr>
        <w:fldChar w:fldCharType="end"/>
      </w:r>
    </w:p>
    <w:p>
      <w:pPr>
        <w:pStyle w:val="24"/>
        <w:tabs>
          <w:tab w:val="right" w:leader="dot" w:pos="8312"/>
        </w:tabs>
      </w:pPr>
      <w:r>
        <w:rPr>
          <w:color w:val="auto"/>
          <w:highlight w:val="none"/>
        </w:rPr>
        <w:fldChar w:fldCharType="begin"/>
      </w:r>
      <w:r>
        <w:rPr>
          <w:highlight w:val="none"/>
        </w:rPr>
        <w:instrText xml:space="preserve"> HYPERLINK \l _Toc32650 </w:instrText>
      </w:r>
      <w:r>
        <w:rPr>
          <w:highlight w:val="none"/>
        </w:rPr>
        <w:fldChar w:fldCharType="separate"/>
      </w:r>
      <w:r>
        <w:rPr>
          <w:rFonts w:hint="eastAsia"/>
          <w:highlight w:val="none"/>
        </w:rPr>
        <w:t>3建设条件</w:t>
      </w:r>
      <w:r>
        <w:tab/>
      </w:r>
      <w:r>
        <w:fldChar w:fldCharType="begin"/>
      </w:r>
      <w:r>
        <w:instrText xml:space="preserve"> PAGEREF _Toc32650 \h </w:instrText>
      </w:r>
      <w:r>
        <w:fldChar w:fldCharType="separate"/>
      </w:r>
      <w:r>
        <w:t>9</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_Toc21664 </w:instrText>
      </w:r>
      <w:r>
        <w:rPr>
          <w:highlight w:val="none"/>
        </w:rPr>
        <w:fldChar w:fldCharType="separate"/>
      </w:r>
      <w:r>
        <w:rPr>
          <w:rFonts w:hint="eastAsia"/>
          <w:highlight w:val="none"/>
        </w:rPr>
        <w:t>3.1地理位置</w:t>
      </w:r>
      <w:r>
        <w:tab/>
      </w:r>
      <w:r>
        <w:fldChar w:fldCharType="begin"/>
      </w:r>
      <w:r>
        <w:instrText xml:space="preserve"> PAGEREF _Toc21664 \h </w:instrText>
      </w:r>
      <w:r>
        <w:fldChar w:fldCharType="separate"/>
      </w:r>
      <w:r>
        <w:t>9</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_Toc17995 </w:instrText>
      </w:r>
      <w:r>
        <w:rPr>
          <w:highlight w:val="none"/>
        </w:rPr>
        <w:fldChar w:fldCharType="separate"/>
      </w:r>
      <w:r>
        <w:rPr>
          <w:rFonts w:hint="eastAsia"/>
          <w:highlight w:val="none"/>
        </w:rPr>
        <w:t>3.2自然条件</w:t>
      </w:r>
      <w:r>
        <w:tab/>
      </w:r>
      <w:r>
        <w:fldChar w:fldCharType="begin"/>
      </w:r>
      <w:r>
        <w:instrText xml:space="preserve"> PAGEREF _Toc17995 \h </w:instrText>
      </w:r>
      <w:r>
        <w:fldChar w:fldCharType="separate"/>
      </w:r>
      <w:r>
        <w:t>9</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_Toc3382 </w:instrText>
      </w:r>
      <w:r>
        <w:rPr>
          <w:highlight w:val="none"/>
        </w:rPr>
        <w:fldChar w:fldCharType="separate"/>
      </w:r>
      <w:r>
        <w:rPr>
          <w:rFonts w:hint="eastAsia"/>
          <w:highlight w:val="none"/>
        </w:rPr>
        <w:t>3.3社会经济概况</w:t>
      </w:r>
      <w:r>
        <w:tab/>
      </w:r>
      <w:r>
        <w:fldChar w:fldCharType="begin"/>
      </w:r>
      <w:r>
        <w:instrText xml:space="preserve"> PAGEREF _Toc3382 \h </w:instrText>
      </w:r>
      <w:r>
        <w:fldChar w:fldCharType="separate"/>
      </w:r>
      <w:r>
        <w:t>11</w:t>
      </w:r>
      <w:r>
        <w:fldChar w:fldCharType="end"/>
      </w:r>
      <w:r>
        <w:rPr>
          <w:color w:val="auto"/>
          <w:highlight w:val="none"/>
        </w:rPr>
        <w:fldChar w:fldCharType="end"/>
      </w:r>
    </w:p>
    <w:p>
      <w:pPr>
        <w:pStyle w:val="24"/>
        <w:tabs>
          <w:tab w:val="right" w:leader="dot" w:pos="8312"/>
        </w:tabs>
      </w:pPr>
      <w:r>
        <w:rPr>
          <w:color w:val="auto"/>
          <w:highlight w:val="none"/>
        </w:rPr>
        <w:fldChar w:fldCharType="begin"/>
      </w:r>
      <w:r>
        <w:rPr>
          <w:highlight w:val="none"/>
        </w:rPr>
        <w:instrText xml:space="preserve"> HYPERLINK \l _Toc22689 </w:instrText>
      </w:r>
      <w:r>
        <w:rPr>
          <w:highlight w:val="none"/>
        </w:rPr>
        <w:fldChar w:fldCharType="separate"/>
      </w:r>
      <w:r>
        <w:rPr>
          <w:rFonts w:hint="eastAsia"/>
          <w:highlight w:val="none"/>
        </w:rPr>
        <w:t>4工程建设总体布局</w:t>
      </w:r>
      <w:r>
        <w:tab/>
      </w:r>
      <w:r>
        <w:fldChar w:fldCharType="begin"/>
      </w:r>
      <w:r>
        <w:instrText xml:space="preserve"> PAGEREF _Toc22689 \h </w:instrText>
      </w:r>
      <w:r>
        <w:fldChar w:fldCharType="separate"/>
      </w:r>
      <w:r>
        <w:t>12</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_Toc31245 </w:instrText>
      </w:r>
      <w:r>
        <w:rPr>
          <w:highlight w:val="none"/>
        </w:rPr>
        <w:fldChar w:fldCharType="separate"/>
      </w:r>
      <w:r>
        <w:rPr>
          <w:rFonts w:hint="eastAsia"/>
          <w:highlight w:val="none"/>
        </w:rPr>
        <w:t>4.1工程设计标准</w:t>
      </w:r>
      <w:r>
        <w:tab/>
      </w:r>
      <w:r>
        <w:fldChar w:fldCharType="begin"/>
      </w:r>
      <w:r>
        <w:instrText xml:space="preserve"> PAGEREF _Toc31245 \h </w:instrText>
      </w:r>
      <w:r>
        <w:fldChar w:fldCharType="separate"/>
      </w:r>
      <w:r>
        <w:t>12</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_Toc7728 </w:instrText>
      </w:r>
      <w:r>
        <w:rPr>
          <w:highlight w:val="none"/>
        </w:rPr>
        <w:fldChar w:fldCharType="separate"/>
      </w:r>
      <w:r>
        <w:rPr>
          <w:rFonts w:hint="eastAsia"/>
          <w:highlight w:val="none"/>
        </w:rPr>
        <w:t>4.2工程任务和规模</w:t>
      </w:r>
      <w:r>
        <w:tab/>
      </w:r>
      <w:r>
        <w:fldChar w:fldCharType="begin"/>
      </w:r>
      <w:r>
        <w:instrText xml:space="preserve"> PAGEREF _Toc7728 \h </w:instrText>
      </w:r>
      <w:r>
        <w:fldChar w:fldCharType="separate"/>
      </w:r>
      <w:r>
        <w:t>12</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_Toc7750 </w:instrText>
      </w:r>
      <w:r>
        <w:rPr>
          <w:highlight w:val="none"/>
        </w:rPr>
        <w:fldChar w:fldCharType="separate"/>
      </w:r>
      <w:r>
        <w:rPr>
          <w:rFonts w:hint="eastAsia"/>
          <w:highlight w:val="none"/>
        </w:rPr>
        <w:t>4.3工程总体布局</w:t>
      </w:r>
      <w:r>
        <w:tab/>
      </w:r>
      <w:r>
        <w:fldChar w:fldCharType="begin"/>
      </w:r>
      <w:r>
        <w:instrText xml:space="preserve"> PAGEREF _Toc7750 \h </w:instrText>
      </w:r>
      <w:r>
        <w:fldChar w:fldCharType="separate"/>
      </w:r>
      <w:r>
        <w:t>15</w:t>
      </w:r>
      <w:r>
        <w:fldChar w:fldCharType="end"/>
      </w:r>
      <w:r>
        <w:rPr>
          <w:color w:val="auto"/>
          <w:highlight w:val="none"/>
        </w:rPr>
        <w:fldChar w:fldCharType="end"/>
      </w:r>
    </w:p>
    <w:p>
      <w:pPr>
        <w:pStyle w:val="24"/>
        <w:tabs>
          <w:tab w:val="right" w:leader="dot" w:pos="8312"/>
        </w:tabs>
      </w:pPr>
      <w:r>
        <w:rPr>
          <w:color w:val="auto"/>
          <w:highlight w:val="none"/>
        </w:rPr>
        <w:fldChar w:fldCharType="begin"/>
      </w:r>
      <w:r>
        <w:rPr>
          <w:highlight w:val="none"/>
        </w:rPr>
        <w:instrText xml:space="preserve"> HYPERLINK \l _Toc1909 </w:instrText>
      </w:r>
      <w:r>
        <w:rPr>
          <w:highlight w:val="none"/>
        </w:rPr>
        <w:fldChar w:fldCharType="separate"/>
      </w:r>
      <w:r>
        <w:rPr>
          <w:rFonts w:hint="eastAsia"/>
          <w:highlight w:val="none"/>
        </w:rPr>
        <w:t>5工程设计</w:t>
      </w:r>
      <w:r>
        <w:tab/>
      </w:r>
      <w:r>
        <w:fldChar w:fldCharType="begin"/>
      </w:r>
      <w:r>
        <w:instrText xml:space="preserve"> PAGEREF _Toc1909 \h </w:instrText>
      </w:r>
      <w:r>
        <w:fldChar w:fldCharType="separate"/>
      </w:r>
      <w:r>
        <w:t>16</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_Toc17088 </w:instrText>
      </w:r>
      <w:r>
        <w:rPr>
          <w:highlight w:val="none"/>
        </w:rPr>
        <w:fldChar w:fldCharType="separate"/>
      </w:r>
      <w:r>
        <w:rPr>
          <w:rFonts w:hint="eastAsia"/>
          <w:highlight w:val="none"/>
        </w:rPr>
        <w:t>5.1设计依据</w:t>
      </w:r>
      <w:r>
        <w:tab/>
      </w:r>
      <w:r>
        <w:fldChar w:fldCharType="begin"/>
      </w:r>
      <w:r>
        <w:instrText xml:space="preserve"> PAGEREF _Toc17088 \h </w:instrText>
      </w:r>
      <w:r>
        <w:fldChar w:fldCharType="separate"/>
      </w:r>
      <w:r>
        <w:t>16</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_Toc21195 </w:instrText>
      </w:r>
      <w:r>
        <w:rPr>
          <w:highlight w:val="none"/>
        </w:rPr>
        <w:fldChar w:fldCharType="separate"/>
      </w:r>
      <w:r>
        <w:rPr>
          <w:rFonts w:hint="eastAsia"/>
          <w:highlight w:val="none"/>
        </w:rPr>
        <w:t>5.2南四湖取水工程</w:t>
      </w:r>
      <w:r>
        <w:tab/>
      </w:r>
      <w:r>
        <w:fldChar w:fldCharType="begin"/>
      </w:r>
      <w:r>
        <w:instrText xml:space="preserve"> PAGEREF _Toc21195 \h </w:instrText>
      </w:r>
      <w:r>
        <w:fldChar w:fldCharType="separate"/>
      </w:r>
      <w:r>
        <w:t>17</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_Toc10648 </w:instrText>
      </w:r>
      <w:r>
        <w:rPr>
          <w:highlight w:val="none"/>
        </w:rPr>
        <w:fldChar w:fldCharType="separate"/>
      </w:r>
      <w:r>
        <w:rPr>
          <w:rFonts w:hint="eastAsia"/>
          <w:highlight w:val="none"/>
        </w:rPr>
        <w:t>5.3龙泉庄水库清淤扩容工程</w:t>
      </w:r>
      <w:r>
        <w:tab/>
      </w:r>
      <w:r>
        <w:fldChar w:fldCharType="begin"/>
      </w:r>
      <w:r>
        <w:instrText xml:space="preserve"> PAGEREF _Toc10648 \h </w:instrText>
      </w:r>
      <w:r>
        <w:fldChar w:fldCharType="separate"/>
      </w:r>
      <w:r>
        <w:t>35</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_Toc27224 </w:instrText>
      </w:r>
      <w:r>
        <w:rPr>
          <w:highlight w:val="none"/>
        </w:rPr>
        <w:fldChar w:fldCharType="separate"/>
      </w:r>
      <w:r>
        <w:rPr>
          <w:rFonts w:hint="eastAsia"/>
          <w:highlight w:val="none"/>
        </w:rPr>
        <w:t>5.4</w:t>
      </w:r>
      <w:r>
        <w:rPr>
          <w:rFonts w:hint="eastAsia"/>
          <w:highlight w:val="none"/>
          <w:lang w:val="en-US" w:eastAsia="zh-CN"/>
        </w:rPr>
        <w:t>龙泉庄水库</w:t>
      </w:r>
      <w:r>
        <w:rPr>
          <w:rFonts w:hint="eastAsia"/>
          <w:highlight w:val="none"/>
        </w:rPr>
        <w:t>水厂建设工程</w:t>
      </w:r>
      <w:r>
        <w:tab/>
      </w:r>
      <w:r>
        <w:fldChar w:fldCharType="begin"/>
      </w:r>
      <w:r>
        <w:instrText xml:space="preserve"> PAGEREF _Toc27224 \h </w:instrText>
      </w:r>
      <w:r>
        <w:fldChar w:fldCharType="separate"/>
      </w:r>
      <w:r>
        <w:t>36</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_Toc2769 </w:instrText>
      </w:r>
      <w:r>
        <w:rPr>
          <w:highlight w:val="none"/>
        </w:rPr>
        <w:fldChar w:fldCharType="separate"/>
      </w:r>
      <w:r>
        <w:rPr>
          <w:rFonts w:hint="eastAsia"/>
          <w:highlight w:val="none"/>
        </w:rPr>
        <w:t>5.5东郊水厂改扩建工程</w:t>
      </w:r>
      <w:r>
        <w:tab/>
      </w:r>
      <w:r>
        <w:fldChar w:fldCharType="begin"/>
      </w:r>
      <w:r>
        <w:instrText xml:space="preserve"> PAGEREF _Toc2769 \h </w:instrText>
      </w:r>
      <w:r>
        <w:fldChar w:fldCharType="separate"/>
      </w:r>
      <w:r>
        <w:t>55</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_Toc10916 </w:instrText>
      </w:r>
      <w:r>
        <w:rPr>
          <w:highlight w:val="none"/>
        </w:rPr>
        <w:fldChar w:fldCharType="separate"/>
      </w:r>
      <w:r>
        <w:rPr>
          <w:rFonts w:hint="eastAsia"/>
          <w:highlight w:val="none"/>
        </w:rPr>
        <w:t>5.6东部水厂建设工程</w:t>
      </w:r>
      <w:r>
        <w:tab/>
      </w:r>
      <w:r>
        <w:fldChar w:fldCharType="begin"/>
      </w:r>
      <w:r>
        <w:instrText xml:space="preserve"> PAGEREF _Toc10916 \h </w:instrText>
      </w:r>
      <w:r>
        <w:fldChar w:fldCharType="separate"/>
      </w:r>
      <w:r>
        <w:t>75</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_Toc2853 </w:instrText>
      </w:r>
      <w:r>
        <w:rPr>
          <w:highlight w:val="none"/>
        </w:rPr>
        <w:fldChar w:fldCharType="separate"/>
      </w:r>
      <w:r>
        <w:rPr>
          <w:rFonts w:hint="eastAsia"/>
          <w:highlight w:val="none"/>
        </w:rPr>
        <w:t>5.7峄城区农村供水改造提升工程</w:t>
      </w:r>
      <w:r>
        <w:tab/>
      </w:r>
      <w:r>
        <w:fldChar w:fldCharType="begin"/>
      </w:r>
      <w:r>
        <w:instrText xml:space="preserve"> PAGEREF _Toc2853 \h </w:instrText>
      </w:r>
      <w:r>
        <w:fldChar w:fldCharType="separate"/>
      </w:r>
      <w:r>
        <w:t>92</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_Toc7847 </w:instrText>
      </w:r>
      <w:r>
        <w:rPr>
          <w:highlight w:val="none"/>
        </w:rPr>
        <w:fldChar w:fldCharType="separate"/>
      </w:r>
      <w:r>
        <w:rPr>
          <w:rFonts w:hint="eastAsia"/>
          <w:highlight w:val="none"/>
        </w:rPr>
        <w:t>5.8</w:t>
      </w:r>
      <w:r>
        <w:rPr>
          <w:rFonts w:cs="Times New Roman"/>
          <w:highlight w:val="none"/>
        </w:rPr>
        <w:t>峄城区东部地区水系连通工程</w:t>
      </w:r>
      <w:r>
        <w:tab/>
      </w:r>
      <w:r>
        <w:fldChar w:fldCharType="begin"/>
      </w:r>
      <w:r>
        <w:instrText xml:space="preserve"> PAGEREF _Toc7847 \h </w:instrText>
      </w:r>
      <w:r>
        <w:fldChar w:fldCharType="separate"/>
      </w:r>
      <w:r>
        <w:t>97</w:t>
      </w:r>
      <w:r>
        <w:fldChar w:fldCharType="end"/>
      </w:r>
      <w:r>
        <w:rPr>
          <w:color w:val="auto"/>
          <w:highlight w:val="none"/>
        </w:rPr>
        <w:fldChar w:fldCharType="end"/>
      </w:r>
    </w:p>
    <w:p>
      <w:pPr>
        <w:pStyle w:val="24"/>
        <w:tabs>
          <w:tab w:val="right" w:leader="dot" w:pos="8312"/>
        </w:tabs>
      </w:pPr>
      <w:r>
        <w:rPr>
          <w:color w:val="auto"/>
          <w:highlight w:val="none"/>
        </w:rPr>
        <w:fldChar w:fldCharType="begin"/>
      </w:r>
      <w:r>
        <w:rPr>
          <w:highlight w:val="none"/>
        </w:rPr>
        <w:instrText xml:space="preserve"> HYPERLINK \l _Toc9790 </w:instrText>
      </w:r>
      <w:r>
        <w:rPr>
          <w:highlight w:val="none"/>
        </w:rPr>
        <w:fldChar w:fldCharType="separate"/>
      </w:r>
      <w:r>
        <w:rPr>
          <w:rFonts w:hint="eastAsia"/>
          <w:highlight w:val="none"/>
        </w:rPr>
        <w:t>6电气设计</w:t>
      </w:r>
      <w:r>
        <w:tab/>
      </w:r>
      <w:r>
        <w:fldChar w:fldCharType="begin"/>
      </w:r>
      <w:r>
        <w:instrText xml:space="preserve"> PAGEREF _Toc9790 \h </w:instrText>
      </w:r>
      <w:r>
        <w:fldChar w:fldCharType="separate"/>
      </w:r>
      <w:r>
        <w:t>123</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_Toc26004 </w:instrText>
      </w:r>
      <w:r>
        <w:rPr>
          <w:highlight w:val="none"/>
        </w:rPr>
        <w:fldChar w:fldCharType="separate"/>
      </w:r>
      <w:r>
        <w:rPr>
          <w:rFonts w:hint="eastAsia"/>
          <w:highlight w:val="none"/>
        </w:rPr>
        <w:t>6</w:t>
      </w:r>
      <w:r>
        <w:rPr>
          <w:highlight w:val="none"/>
        </w:rPr>
        <w:t>.</w:t>
      </w:r>
      <w:r>
        <w:rPr>
          <w:rFonts w:hint="eastAsia"/>
          <w:highlight w:val="none"/>
        </w:rPr>
        <w:t>1</w:t>
      </w:r>
      <w:r>
        <w:rPr>
          <w:highlight w:val="none"/>
        </w:rPr>
        <w:t>设计范围</w:t>
      </w:r>
      <w:r>
        <w:tab/>
      </w:r>
      <w:r>
        <w:fldChar w:fldCharType="begin"/>
      </w:r>
      <w:r>
        <w:instrText xml:space="preserve"> PAGEREF _Toc26004 \h </w:instrText>
      </w:r>
      <w:r>
        <w:fldChar w:fldCharType="separate"/>
      </w:r>
      <w:r>
        <w:t>123</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_Toc4082 </w:instrText>
      </w:r>
      <w:r>
        <w:rPr>
          <w:highlight w:val="none"/>
        </w:rPr>
        <w:fldChar w:fldCharType="separate"/>
      </w:r>
      <w:r>
        <w:rPr>
          <w:rFonts w:hint="eastAsia"/>
          <w:highlight w:val="none"/>
        </w:rPr>
        <w:t>6</w:t>
      </w:r>
      <w:r>
        <w:rPr>
          <w:highlight w:val="none"/>
        </w:rPr>
        <w:t>.2设计依据</w:t>
      </w:r>
      <w:r>
        <w:tab/>
      </w:r>
      <w:r>
        <w:fldChar w:fldCharType="begin"/>
      </w:r>
      <w:r>
        <w:instrText xml:space="preserve"> PAGEREF _Toc4082 \h </w:instrText>
      </w:r>
      <w:r>
        <w:fldChar w:fldCharType="separate"/>
      </w:r>
      <w:r>
        <w:t>123</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_Toc22442 </w:instrText>
      </w:r>
      <w:r>
        <w:rPr>
          <w:highlight w:val="none"/>
        </w:rPr>
        <w:fldChar w:fldCharType="separate"/>
      </w:r>
      <w:r>
        <w:rPr>
          <w:rFonts w:hint="eastAsia"/>
          <w:highlight w:val="none"/>
        </w:rPr>
        <w:t>6</w:t>
      </w:r>
      <w:r>
        <w:rPr>
          <w:highlight w:val="none"/>
        </w:rPr>
        <w:t>.</w:t>
      </w:r>
      <w:r>
        <w:rPr>
          <w:rFonts w:hint="eastAsia"/>
          <w:highlight w:val="none"/>
        </w:rPr>
        <w:t>3</w:t>
      </w:r>
      <w:r>
        <w:rPr>
          <w:highlight w:val="none"/>
        </w:rPr>
        <w:t>设计内容</w:t>
      </w:r>
      <w:r>
        <w:tab/>
      </w:r>
      <w:r>
        <w:fldChar w:fldCharType="begin"/>
      </w:r>
      <w:r>
        <w:instrText xml:space="preserve"> PAGEREF _Toc22442 \h </w:instrText>
      </w:r>
      <w:r>
        <w:fldChar w:fldCharType="separate"/>
      </w:r>
      <w:r>
        <w:t>123</w:t>
      </w:r>
      <w:r>
        <w:fldChar w:fldCharType="end"/>
      </w:r>
      <w:r>
        <w:rPr>
          <w:color w:val="auto"/>
          <w:highlight w:val="none"/>
        </w:rPr>
        <w:fldChar w:fldCharType="end"/>
      </w:r>
    </w:p>
    <w:p>
      <w:pPr>
        <w:pStyle w:val="24"/>
        <w:tabs>
          <w:tab w:val="right" w:leader="dot" w:pos="8312"/>
        </w:tabs>
      </w:pPr>
      <w:r>
        <w:rPr>
          <w:color w:val="auto"/>
          <w:highlight w:val="none"/>
        </w:rPr>
        <w:fldChar w:fldCharType="begin"/>
      </w:r>
      <w:r>
        <w:rPr>
          <w:highlight w:val="none"/>
        </w:rPr>
        <w:instrText xml:space="preserve"> HYPERLINK \l _Toc27707 </w:instrText>
      </w:r>
      <w:r>
        <w:rPr>
          <w:highlight w:val="none"/>
        </w:rPr>
        <w:fldChar w:fldCharType="separate"/>
      </w:r>
      <w:r>
        <w:rPr>
          <w:rFonts w:hint="eastAsia"/>
          <w:highlight w:val="none"/>
        </w:rPr>
        <w:t>7消防设计</w:t>
      </w:r>
      <w:r>
        <w:tab/>
      </w:r>
      <w:r>
        <w:fldChar w:fldCharType="begin"/>
      </w:r>
      <w:r>
        <w:instrText xml:space="preserve"> PAGEREF _Toc27707 \h </w:instrText>
      </w:r>
      <w:r>
        <w:fldChar w:fldCharType="separate"/>
      </w:r>
      <w:r>
        <w:t>125</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_Toc27340 </w:instrText>
      </w:r>
      <w:r>
        <w:rPr>
          <w:highlight w:val="none"/>
        </w:rPr>
        <w:fldChar w:fldCharType="separate"/>
      </w:r>
      <w:r>
        <w:rPr>
          <w:rFonts w:hint="eastAsia"/>
          <w:highlight w:val="none"/>
        </w:rPr>
        <w:t>7</w:t>
      </w:r>
      <w:r>
        <w:rPr>
          <w:highlight w:val="none"/>
        </w:rPr>
        <w:t>.1概述</w:t>
      </w:r>
      <w:r>
        <w:tab/>
      </w:r>
      <w:r>
        <w:fldChar w:fldCharType="begin"/>
      </w:r>
      <w:r>
        <w:instrText xml:space="preserve"> PAGEREF _Toc27340 \h </w:instrText>
      </w:r>
      <w:r>
        <w:fldChar w:fldCharType="separate"/>
      </w:r>
      <w:r>
        <w:t>125</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_Toc31738 </w:instrText>
      </w:r>
      <w:r>
        <w:rPr>
          <w:highlight w:val="none"/>
        </w:rPr>
        <w:fldChar w:fldCharType="separate"/>
      </w:r>
      <w:r>
        <w:rPr>
          <w:rFonts w:hint="eastAsia"/>
          <w:highlight w:val="none"/>
        </w:rPr>
        <w:t>7</w:t>
      </w:r>
      <w:r>
        <w:rPr>
          <w:highlight w:val="none"/>
        </w:rPr>
        <w:t>.2消防总体布置</w:t>
      </w:r>
      <w:r>
        <w:tab/>
      </w:r>
      <w:r>
        <w:fldChar w:fldCharType="begin"/>
      </w:r>
      <w:r>
        <w:instrText xml:space="preserve"> PAGEREF _Toc31738 \h </w:instrText>
      </w:r>
      <w:r>
        <w:fldChar w:fldCharType="separate"/>
      </w:r>
      <w:r>
        <w:t>126</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_Toc7355 </w:instrText>
      </w:r>
      <w:r>
        <w:rPr>
          <w:highlight w:val="none"/>
        </w:rPr>
        <w:fldChar w:fldCharType="separate"/>
      </w:r>
      <w:r>
        <w:rPr>
          <w:rFonts w:hint="eastAsia"/>
          <w:highlight w:val="none"/>
        </w:rPr>
        <w:t>7</w:t>
      </w:r>
      <w:r>
        <w:rPr>
          <w:highlight w:val="none"/>
        </w:rPr>
        <w:t>.3建筑物消防设计</w:t>
      </w:r>
      <w:r>
        <w:tab/>
      </w:r>
      <w:r>
        <w:fldChar w:fldCharType="begin"/>
      </w:r>
      <w:r>
        <w:instrText xml:space="preserve"> PAGEREF _Toc7355 \h </w:instrText>
      </w:r>
      <w:r>
        <w:fldChar w:fldCharType="separate"/>
      </w:r>
      <w:r>
        <w:t>126</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_Toc3273 </w:instrText>
      </w:r>
      <w:r>
        <w:rPr>
          <w:highlight w:val="none"/>
        </w:rPr>
        <w:fldChar w:fldCharType="separate"/>
      </w:r>
      <w:r>
        <w:rPr>
          <w:rFonts w:hint="eastAsia"/>
          <w:highlight w:val="none"/>
        </w:rPr>
        <w:t>7</w:t>
      </w:r>
      <w:r>
        <w:rPr>
          <w:highlight w:val="none"/>
        </w:rPr>
        <w:t>.4通风和防排烟</w:t>
      </w:r>
      <w:r>
        <w:tab/>
      </w:r>
      <w:r>
        <w:fldChar w:fldCharType="begin"/>
      </w:r>
      <w:r>
        <w:instrText xml:space="preserve"> PAGEREF _Toc3273 \h </w:instrText>
      </w:r>
      <w:r>
        <w:fldChar w:fldCharType="separate"/>
      </w:r>
      <w:r>
        <w:t>126</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_Toc6170 </w:instrText>
      </w:r>
      <w:r>
        <w:rPr>
          <w:highlight w:val="none"/>
        </w:rPr>
        <w:fldChar w:fldCharType="separate"/>
      </w:r>
      <w:r>
        <w:rPr>
          <w:rFonts w:hint="eastAsia"/>
          <w:highlight w:val="none"/>
        </w:rPr>
        <w:t>7</w:t>
      </w:r>
      <w:r>
        <w:rPr>
          <w:highlight w:val="none"/>
        </w:rPr>
        <w:t>.5机电设备消防设计</w:t>
      </w:r>
      <w:r>
        <w:tab/>
      </w:r>
      <w:r>
        <w:fldChar w:fldCharType="begin"/>
      </w:r>
      <w:r>
        <w:instrText xml:space="preserve"> PAGEREF _Toc6170 \h </w:instrText>
      </w:r>
      <w:r>
        <w:fldChar w:fldCharType="separate"/>
      </w:r>
      <w:r>
        <w:t>127</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_Toc11368 </w:instrText>
      </w:r>
      <w:r>
        <w:rPr>
          <w:highlight w:val="none"/>
        </w:rPr>
        <w:fldChar w:fldCharType="separate"/>
      </w:r>
      <w:r>
        <w:rPr>
          <w:rFonts w:hint="eastAsia"/>
          <w:highlight w:val="none"/>
        </w:rPr>
        <w:t>7</w:t>
      </w:r>
      <w:r>
        <w:rPr>
          <w:highlight w:val="none"/>
        </w:rPr>
        <w:t>.6消防电气</w:t>
      </w:r>
      <w:r>
        <w:tab/>
      </w:r>
      <w:r>
        <w:fldChar w:fldCharType="begin"/>
      </w:r>
      <w:r>
        <w:instrText xml:space="preserve"> PAGEREF _Toc11368 \h </w:instrText>
      </w:r>
      <w:r>
        <w:fldChar w:fldCharType="separate"/>
      </w:r>
      <w:r>
        <w:t>127</w:t>
      </w:r>
      <w:r>
        <w:fldChar w:fldCharType="end"/>
      </w:r>
      <w:r>
        <w:rPr>
          <w:color w:val="auto"/>
          <w:highlight w:val="none"/>
        </w:rPr>
        <w:fldChar w:fldCharType="end"/>
      </w:r>
    </w:p>
    <w:p>
      <w:pPr>
        <w:pStyle w:val="24"/>
        <w:tabs>
          <w:tab w:val="right" w:leader="dot" w:pos="8312"/>
        </w:tabs>
      </w:pPr>
      <w:r>
        <w:rPr>
          <w:color w:val="auto"/>
          <w:highlight w:val="none"/>
        </w:rPr>
        <w:fldChar w:fldCharType="begin"/>
      </w:r>
      <w:r>
        <w:rPr>
          <w:highlight w:val="none"/>
        </w:rPr>
        <w:instrText xml:space="preserve"> HYPERLINK \l _Toc12971 </w:instrText>
      </w:r>
      <w:r>
        <w:rPr>
          <w:highlight w:val="none"/>
        </w:rPr>
        <w:fldChar w:fldCharType="separate"/>
      </w:r>
      <w:r>
        <w:rPr>
          <w:rFonts w:hint="eastAsia"/>
          <w:highlight w:val="none"/>
        </w:rPr>
        <w:t>8施工组织设计</w:t>
      </w:r>
      <w:r>
        <w:tab/>
      </w:r>
      <w:r>
        <w:fldChar w:fldCharType="begin"/>
      </w:r>
      <w:r>
        <w:instrText xml:space="preserve"> PAGEREF _Toc12971 \h </w:instrText>
      </w:r>
      <w:r>
        <w:fldChar w:fldCharType="separate"/>
      </w:r>
      <w:r>
        <w:t>128</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_Toc25738 </w:instrText>
      </w:r>
      <w:r>
        <w:rPr>
          <w:highlight w:val="none"/>
        </w:rPr>
        <w:fldChar w:fldCharType="separate"/>
      </w:r>
      <w:r>
        <w:rPr>
          <w:rFonts w:hint="eastAsia"/>
          <w:highlight w:val="none"/>
        </w:rPr>
        <w:t>8.1施工条件</w:t>
      </w:r>
      <w:r>
        <w:tab/>
      </w:r>
      <w:r>
        <w:fldChar w:fldCharType="begin"/>
      </w:r>
      <w:r>
        <w:instrText xml:space="preserve"> PAGEREF _Toc25738 \h </w:instrText>
      </w:r>
      <w:r>
        <w:fldChar w:fldCharType="separate"/>
      </w:r>
      <w:r>
        <w:t>128</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_Toc5736 </w:instrText>
      </w:r>
      <w:r>
        <w:rPr>
          <w:highlight w:val="none"/>
        </w:rPr>
        <w:fldChar w:fldCharType="separate"/>
      </w:r>
      <w:r>
        <w:rPr>
          <w:rFonts w:hint="eastAsia"/>
          <w:highlight w:val="none"/>
        </w:rPr>
        <w:t>8.2施工导流</w:t>
      </w:r>
      <w:r>
        <w:tab/>
      </w:r>
      <w:r>
        <w:fldChar w:fldCharType="begin"/>
      </w:r>
      <w:r>
        <w:instrText xml:space="preserve"> PAGEREF _Toc5736 \h </w:instrText>
      </w:r>
      <w:r>
        <w:fldChar w:fldCharType="separate"/>
      </w:r>
      <w:r>
        <w:t>129</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_Toc10762 </w:instrText>
      </w:r>
      <w:r>
        <w:rPr>
          <w:highlight w:val="none"/>
        </w:rPr>
        <w:fldChar w:fldCharType="separate"/>
      </w:r>
      <w:r>
        <w:rPr>
          <w:rFonts w:hint="eastAsia"/>
          <w:highlight w:val="none"/>
        </w:rPr>
        <w:t>8.3主体工程施工</w:t>
      </w:r>
      <w:r>
        <w:tab/>
      </w:r>
      <w:r>
        <w:fldChar w:fldCharType="begin"/>
      </w:r>
      <w:r>
        <w:instrText xml:space="preserve"> PAGEREF _Toc10762 \h </w:instrText>
      </w:r>
      <w:r>
        <w:fldChar w:fldCharType="separate"/>
      </w:r>
      <w:r>
        <w:t>130</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_Toc13409 </w:instrText>
      </w:r>
      <w:r>
        <w:rPr>
          <w:highlight w:val="none"/>
        </w:rPr>
        <w:fldChar w:fldCharType="separate"/>
      </w:r>
      <w:r>
        <w:rPr>
          <w:rFonts w:hint="eastAsia"/>
          <w:highlight w:val="none"/>
        </w:rPr>
        <w:t>8.4施工总布置</w:t>
      </w:r>
      <w:r>
        <w:tab/>
      </w:r>
      <w:r>
        <w:fldChar w:fldCharType="begin"/>
      </w:r>
      <w:r>
        <w:instrText xml:space="preserve"> PAGEREF _Toc13409 \h </w:instrText>
      </w:r>
      <w:r>
        <w:fldChar w:fldCharType="separate"/>
      </w:r>
      <w:r>
        <w:t>142</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_Toc17108 </w:instrText>
      </w:r>
      <w:r>
        <w:rPr>
          <w:highlight w:val="none"/>
        </w:rPr>
        <w:fldChar w:fldCharType="separate"/>
      </w:r>
      <w:r>
        <w:rPr>
          <w:rFonts w:hint="eastAsia"/>
          <w:highlight w:val="none"/>
        </w:rPr>
        <w:t>8.5施工总进度</w:t>
      </w:r>
      <w:r>
        <w:tab/>
      </w:r>
      <w:r>
        <w:fldChar w:fldCharType="begin"/>
      </w:r>
      <w:r>
        <w:instrText xml:space="preserve"> PAGEREF _Toc17108 \h </w:instrText>
      </w:r>
      <w:r>
        <w:fldChar w:fldCharType="separate"/>
      </w:r>
      <w:r>
        <w:t>142</w:t>
      </w:r>
      <w:r>
        <w:fldChar w:fldCharType="end"/>
      </w:r>
      <w:r>
        <w:rPr>
          <w:color w:val="auto"/>
          <w:highlight w:val="none"/>
        </w:rPr>
        <w:fldChar w:fldCharType="end"/>
      </w:r>
    </w:p>
    <w:p>
      <w:pPr>
        <w:pStyle w:val="24"/>
        <w:tabs>
          <w:tab w:val="right" w:leader="dot" w:pos="8312"/>
        </w:tabs>
      </w:pPr>
      <w:r>
        <w:rPr>
          <w:color w:val="auto"/>
          <w:highlight w:val="none"/>
        </w:rPr>
        <w:fldChar w:fldCharType="begin"/>
      </w:r>
      <w:r>
        <w:rPr>
          <w:highlight w:val="none"/>
        </w:rPr>
        <w:instrText xml:space="preserve"> HYPERLINK \l _Toc22406 </w:instrText>
      </w:r>
      <w:r>
        <w:rPr>
          <w:highlight w:val="none"/>
        </w:rPr>
        <w:fldChar w:fldCharType="separate"/>
      </w:r>
      <w:r>
        <w:rPr>
          <w:rFonts w:hint="eastAsia"/>
          <w:highlight w:val="none"/>
        </w:rPr>
        <w:t>9环境影响评价</w:t>
      </w:r>
      <w:r>
        <w:tab/>
      </w:r>
      <w:r>
        <w:fldChar w:fldCharType="begin"/>
      </w:r>
      <w:r>
        <w:instrText xml:space="preserve"> PAGEREF _Toc22406 \h </w:instrText>
      </w:r>
      <w:r>
        <w:fldChar w:fldCharType="separate"/>
      </w:r>
      <w:r>
        <w:t>142</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_Toc16387 </w:instrText>
      </w:r>
      <w:r>
        <w:rPr>
          <w:highlight w:val="none"/>
        </w:rPr>
        <w:fldChar w:fldCharType="separate"/>
      </w:r>
      <w:r>
        <w:rPr>
          <w:rFonts w:hint="eastAsia"/>
          <w:highlight w:val="none"/>
        </w:rPr>
        <w:t>9.1环境影响评价的依据和标准</w:t>
      </w:r>
      <w:r>
        <w:tab/>
      </w:r>
      <w:r>
        <w:fldChar w:fldCharType="begin"/>
      </w:r>
      <w:r>
        <w:instrText xml:space="preserve"> PAGEREF _Toc16387 \h </w:instrText>
      </w:r>
      <w:r>
        <w:fldChar w:fldCharType="separate"/>
      </w:r>
      <w:r>
        <w:t>142</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_Toc7876 </w:instrText>
      </w:r>
      <w:r>
        <w:rPr>
          <w:highlight w:val="none"/>
        </w:rPr>
        <w:fldChar w:fldCharType="separate"/>
      </w:r>
      <w:r>
        <w:rPr>
          <w:rFonts w:hint="eastAsia"/>
          <w:highlight w:val="none"/>
        </w:rPr>
        <w:t>9.2环境现状调查与评价</w:t>
      </w:r>
      <w:r>
        <w:tab/>
      </w:r>
      <w:r>
        <w:fldChar w:fldCharType="begin"/>
      </w:r>
      <w:r>
        <w:instrText xml:space="preserve"> PAGEREF _Toc7876 \h </w:instrText>
      </w:r>
      <w:r>
        <w:fldChar w:fldCharType="separate"/>
      </w:r>
      <w:r>
        <w:t>144</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_Toc22020 </w:instrText>
      </w:r>
      <w:r>
        <w:rPr>
          <w:highlight w:val="none"/>
        </w:rPr>
        <w:fldChar w:fldCharType="separate"/>
      </w:r>
      <w:r>
        <w:rPr>
          <w:rFonts w:hint="eastAsia"/>
          <w:highlight w:val="none"/>
        </w:rPr>
        <w:t>9.3工程建设期对环境的影响</w:t>
      </w:r>
      <w:r>
        <w:tab/>
      </w:r>
      <w:r>
        <w:fldChar w:fldCharType="begin"/>
      </w:r>
      <w:r>
        <w:instrText xml:space="preserve"> PAGEREF _Toc22020 \h </w:instrText>
      </w:r>
      <w:r>
        <w:fldChar w:fldCharType="separate"/>
      </w:r>
      <w:r>
        <w:t>145</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_Toc8489 </w:instrText>
      </w:r>
      <w:r>
        <w:rPr>
          <w:highlight w:val="none"/>
        </w:rPr>
        <w:fldChar w:fldCharType="separate"/>
      </w:r>
      <w:r>
        <w:rPr>
          <w:rFonts w:hint="eastAsia"/>
          <w:highlight w:val="none"/>
        </w:rPr>
        <w:t>9.4环境保护对策措施</w:t>
      </w:r>
      <w:r>
        <w:tab/>
      </w:r>
      <w:r>
        <w:fldChar w:fldCharType="begin"/>
      </w:r>
      <w:r>
        <w:instrText xml:space="preserve"> PAGEREF _Toc8489 \h </w:instrText>
      </w:r>
      <w:r>
        <w:fldChar w:fldCharType="separate"/>
      </w:r>
      <w:r>
        <w:t>147</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_Toc27328 </w:instrText>
      </w:r>
      <w:r>
        <w:rPr>
          <w:highlight w:val="none"/>
        </w:rPr>
        <w:fldChar w:fldCharType="separate"/>
      </w:r>
      <w:r>
        <w:rPr>
          <w:rFonts w:hint="eastAsia"/>
          <w:highlight w:val="none"/>
        </w:rPr>
        <w:t>9.5环境监测</w:t>
      </w:r>
      <w:r>
        <w:tab/>
      </w:r>
      <w:r>
        <w:fldChar w:fldCharType="begin"/>
      </w:r>
      <w:r>
        <w:instrText xml:space="preserve"> PAGEREF _Toc27328 \h </w:instrText>
      </w:r>
      <w:r>
        <w:fldChar w:fldCharType="separate"/>
      </w:r>
      <w:r>
        <w:t>151</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_Toc21468 </w:instrText>
      </w:r>
      <w:r>
        <w:rPr>
          <w:highlight w:val="none"/>
        </w:rPr>
        <w:fldChar w:fldCharType="separate"/>
      </w:r>
      <w:r>
        <w:rPr>
          <w:rFonts w:hint="eastAsia"/>
          <w:highlight w:val="none"/>
        </w:rPr>
        <w:t>9.6环境管理</w:t>
      </w:r>
      <w:r>
        <w:tab/>
      </w:r>
      <w:r>
        <w:fldChar w:fldCharType="begin"/>
      </w:r>
      <w:r>
        <w:instrText xml:space="preserve"> PAGEREF _Toc21468 \h </w:instrText>
      </w:r>
      <w:r>
        <w:fldChar w:fldCharType="separate"/>
      </w:r>
      <w:r>
        <w:t>153</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_Toc12821 </w:instrText>
      </w:r>
      <w:r>
        <w:rPr>
          <w:highlight w:val="none"/>
        </w:rPr>
        <w:fldChar w:fldCharType="separate"/>
      </w:r>
      <w:r>
        <w:rPr>
          <w:rFonts w:hint="eastAsia"/>
          <w:highlight w:val="none"/>
        </w:rPr>
        <w:t>9.7 环境监理</w:t>
      </w:r>
      <w:r>
        <w:tab/>
      </w:r>
      <w:r>
        <w:fldChar w:fldCharType="begin"/>
      </w:r>
      <w:r>
        <w:instrText xml:space="preserve"> PAGEREF _Toc12821 \h </w:instrText>
      </w:r>
      <w:r>
        <w:fldChar w:fldCharType="separate"/>
      </w:r>
      <w:r>
        <w:t>155</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_Toc18739 </w:instrText>
      </w:r>
      <w:r>
        <w:rPr>
          <w:highlight w:val="none"/>
        </w:rPr>
        <w:fldChar w:fldCharType="separate"/>
      </w:r>
      <w:r>
        <w:rPr>
          <w:rFonts w:hint="eastAsia"/>
          <w:highlight w:val="none"/>
        </w:rPr>
        <w:t>9.8 工程运行期对环境的影响及保护措施</w:t>
      </w:r>
      <w:r>
        <w:tab/>
      </w:r>
      <w:r>
        <w:fldChar w:fldCharType="begin"/>
      </w:r>
      <w:r>
        <w:instrText xml:space="preserve"> PAGEREF _Toc18739 \h </w:instrText>
      </w:r>
      <w:r>
        <w:fldChar w:fldCharType="separate"/>
      </w:r>
      <w:r>
        <w:t>155</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_Toc13101 </w:instrText>
      </w:r>
      <w:r>
        <w:rPr>
          <w:highlight w:val="none"/>
        </w:rPr>
        <w:fldChar w:fldCharType="separate"/>
      </w:r>
      <w:r>
        <w:rPr>
          <w:rFonts w:hint="eastAsia"/>
          <w:highlight w:val="none"/>
        </w:rPr>
        <w:t>9.9环保投资估算</w:t>
      </w:r>
      <w:r>
        <w:tab/>
      </w:r>
      <w:r>
        <w:fldChar w:fldCharType="begin"/>
      </w:r>
      <w:r>
        <w:instrText xml:space="preserve"> PAGEREF _Toc13101 \h </w:instrText>
      </w:r>
      <w:r>
        <w:fldChar w:fldCharType="separate"/>
      </w:r>
      <w:r>
        <w:t>156</w:t>
      </w:r>
      <w:r>
        <w:fldChar w:fldCharType="end"/>
      </w:r>
      <w:r>
        <w:rPr>
          <w:color w:val="auto"/>
          <w:highlight w:val="none"/>
        </w:rPr>
        <w:fldChar w:fldCharType="end"/>
      </w:r>
    </w:p>
    <w:p>
      <w:pPr>
        <w:pStyle w:val="24"/>
        <w:tabs>
          <w:tab w:val="right" w:leader="dot" w:pos="8312"/>
        </w:tabs>
      </w:pPr>
      <w:r>
        <w:rPr>
          <w:color w:val="auto"/>
          <w:highlight w:val="none"/>
        </w:rPr>
        <w:fldChar w:fldCharType="begin"/>
      </w:r>
      <w:r>
        <w:rPr>
          <w:highlight w:val="none"/>
        </w:rPr>
        <w:instrText xml:space="preserve"> HYPERLINK \l _Toc22835 </w:instrText>
      </w:r>
      <w:r>
        <w:rPr>
          <w:highlight w:val="none"/>
        </w:rPr>
        <w:fldChar w:fldCharType="separate"/>
      </w:r>
      <w:r>
        <w:rPr>
          <w:rFonts w:hint="eastAsia"/>
          <w:highlight w:val="none"/>
        </w:rPr>
        <w:t>10水土保持</w:t>
      </w:r>
      <w:r>
        <w:tab/>
      </w:r>
      <w:r>
        <w:fldChar w:fldCharType="begin"/>
      </w:r>
      <w:r>
        <w:instrText xml:space="preserve"> PAGEREF _Toc22835 \h </w:instrText>
      </w:r>
      <w:r>
        <w:fldChar w:fldCharType="separate"/>
      </w:r>
      <w:r>
        <w:t>158</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_Toc9585 </w:instrText>
      </w:r>
      <w:r>
        <w:rPr>
          <w:highlight w:val="none"/>
        </w:rPr>
        <w:fldChar w:fldCharType="separate"/>
      </w:r>
      <w:r>
        <w:rPr>
          <w:rFonts w:hint="eastAsia"/>
          <w:highlight w:val="none"/>
        </w:rPr>
        <w:t>10.1编制依据</w:t>
      </w:r>
      <w:r>
        <w:tab/>
      </w:r>
      <w:r>
        <w:fldChar w:fldCharType="begin"/>
      </w:r>
      <w:r>
        <w:instrText xml:space="preserve"> PAGEREF _Toc9585 \h </w:instrText>
      </w:r>
      <w:r>
        <w:fldChar w:fldCharType="separate"/>
      </w:r>
      <w:r>
        <w:t>158</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_Toc1844 </w:instrText>
      </w:r>
      <w:r>
        <w:rPr>
          <w:highlight w:val="none"/>
        </w:rPr>
        <w:fldChar w:fldCharType="separate"/>
      </w:r>
      <w:r>
        <w:rPr>
          <w:rFonts w:hint="eastAsia"/>
          <w:highlight w:val="none"/>
        </w:rPr>
        <w:t>10.2项目区水土流失及水土保持现状</w:t>
      </w:r>
      <w:r>
        <w:tab/>
      </w:r>
      <w:r>
        <w:fldChar w:fldCharType="begin"/>
      </w:r>
      <w:r>
        <w:instrText xml:space="preserve"> PAGEREF _Toc1844 \h </w:instrText>
      </w:r>
      <w:r>
        <w:fldChar w:fldCharType="separate"/>
      </w:r>
      <w:r>
        <w:t>158</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_Toc18984 </w:instrText>
      </w:r>
      <w:r>
        <w:rPr>
          <w:highlight w:val="none"/>
        </w:rPr>
        <w:fldChar w:fldCharType="separate"/>
      </w:r>
      <w:r>
        <w:rPr>
          <w:rFonts w:hint="eastAsia"/>
          <w:highlight w:val="none"/>
        </w:rPr>
        <w:t>10.3水土流失防治责任范围及防治分区</w:t>
      </w:r>
      <w:r>
        <w:tab/>
      </w:r>
      <w:r>
        <w:fldChar w:fldCharType="begin"/>
      </w:r>
      <w:r>
        <w:instrText xml:space="preserve"> PAGEREF _Toc18984 \h </w:instrText>
      </w:r>
      <w:r>
        <w:fldChar w:fldCharType="separate"/>
      </w:r>
      <w:r>
        <w:t>159</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_Toc21890 </w:instrText>
      </w:r>
      <w:r>
        <w:rPr>
          <w:highlight w:val="none"/>
        </w:rPr>
        <w:fldChar w:fldCharType="separate"/>
      </w:r>
      <w:r>
        <w:rPr>
          <w:rFonts w:hint="eastAsia"/>
          <w:highlight w:val="none"/>
        </w:rPr>
        <w:t>10.4水土流失危害分析</w:t>
      </w:r>
      <w:r>
        <w:tab/>
      </w:r>
      <w:r>
        <w:fldChar w:fldCharType="begin"/>
      </w:r>
      <w:r>
        <w:instrText xml:space="preserve"> PAGEREF _Toc21890 \h </w:instrText>
      </w:r>
      <w:r>
        <w:fldChar w:fldCharType="separate"/>
      </w:r>
      <w:r>
        <w:t>159</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_Toc20486 </w:instrText>
      </w:r>
      <w:r>
        <w:rPr>
          <w:highlight w:val="none"/>
        </w:rPr>
        <w:fldChar w:fldCharType="separate"/>
      </w:r>
      <w:r>
        <w:rPr>
          <w:rFonts w:hint="eastAsia"/>
          <w:highlight w:val="none"/>
        </w:rPr>
        <w:t>10.5水土流失防治措施</w:t>
      </w:r>
      <w:r>
        <w:tab/>
      </w:r>
      <w:r>
        <w:fldChar w:fldCharType="begin"/>
      </w:r>
      <w:r>
        <w:instrText xml:space="preserve"> PAGEREF _Toc20486 \h </w:instrText>
      </w:r>
      <w:r>
        <w:fldChar w:fldCharType="separate"/>
      </w:r>
      <w:r>
        <w:t>160</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_Toc32561 </w:instrText>
      </w:r>
      <w:r>
        <w:rPr>
          <w:highlight w:val="none"/>
        </w:rPr>
        <w:fldChar w:fldCharType="separate"/>
      </w:r>
      <w:r>
        <w:rPr>
          <w:rFonts w:hint="eastAsia"/>
          <w:highlight w:val="none"/>
        </w:rPr>
        <w:t>10.6水土保持工程投资</w:t>
      </w:r>
      <w:r>
        <w:tab/>
      </w:r>
      <w:r>
        <w:fldChar w:fldCharType="begin"/>
      </w:r>
      <w:r>
        <w:instrText xml:space="preserve"> PAGEREF _Toc32561 \h </w:instrText>
      </w:r>
      <w:r>
        <w:fldChar w:fldCharType="separate"/>
      </w:r>
      <w:r>
        <w:t>161</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_Toc30774 </w:instrText>
      </w:r>
      <w:r>
        <w:rPr>
          <w:highlight w:val="none"/>
        </w:rPr>
        <w:fldChar w:fldCharType="separate"/>
      </w:r>
      <w:r>
        <w:rPr>
          <w:rFonts w:hint="eastAsia"/>
          <w:highlight w:val="none"/>
        </w:rPr>
        <w:t>10.7实施保障措施</w:t>
      </w:r>
      <w:r>
        <w:tab/>
      </w:r>
      <w:r>
        <w:fldChar w:fldCharType="begin"/>
      </w:r>
      <w:r>
        <w:instrText xml:space="preserve"> PAGEREF _Toc30774 \h </w:instrText>
      </w:r>
      <w:r>
        <w:fldChar w:fldCharType="separate"/>
      </w:r>
      <w:r>
        <w:t>164</w:t>
      </w:r>
      <w:r>
        <w:fldChar w:fldCharType="end"/>
      </w:r>
      <w:r>
        <w:rPr>
          <w:color w:val="auto"/>
          <w:highlight w:val="none"/>
        </w:rPr>
        <w:fldChar w:fldCharType="end"/>
      </w:r>
    </w:p>
    <w:p>
      <w:pPr>
        <w:pStyle w:val="24"/>
        <w:tabs>
          <w:tab w:val="right" w:leader="dot" w:pos="8312"/>
        </w:tabs>
      </w:pPr>
      <w:r>
        <w:rPr>
          <w:color w:val="auto"/>
          <w:highlight w:val="none"/>
        </w:rPr>
        <w:fldChar w:fldCharType="begin"/>
      </w:r>
      <w:r>
        <w:rPr>
          <w:highlight w:val="none"/>
        </w:rPr>
        <w:instrText xml:space="preserve"> HYPERLINK \l _Toc4489 </w:instrText>
      </w:r>
      <w:r>
        <w:rPr>
          <w:highlight w:val="none"/>
        </w:rPr>
        <w:fldChar w:fldCharType="separate"/>
      </w:r>
      <w:r>
        <w:rPr>
          <w:rFonts w:hint="eastAsia"/>
          <w:highlight w:val="none"/>
        </w:rPr>
        <w:t>11 在劳动安全与卫生</w:t>
      </w:r>
      <w:r>
        <w:tab/>
      </w:r>
      <w:r>
        <w:fldChar w:fldCharType="begin"/>
      </w:r>
      <w:r>
        <w:instrText xml:space="preserve"> PAGEREF _Toc4489 \h </w:instrText>
      </w:r>
      <w:r>
        <w:fldChar w:fldCharType="separate"/>
      </w:r>
      <w:r>
        <w:t>169</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_Toc12445 </w:instrText>
      </w:r>
      <w:r>
        <w:rPr>
          <w:highlight w:val="none"/>
        </w:rPr>
        <w:fldChar w:fldCharType="separate"/>
      </w:r>
      <w:r>
        <w:rPr>
          <w:rFonts w:hint="eastAsia"/>
          <w:highlight w:val="none"/>
        </w:rPr>
        <w:t>11.1设计依据及标准</w:t>
      </w:r>
      <w:r>
        <w:tab/>
      </w:r>
      <w:r>
        <w:fldChar w:fldCharType="begin"/>
      </w:r>
      <w:r>
        <w:instrText xml:space="preserve"> PAGEREF _Toc12445 \h </w:instrText>
      </w:r>
      <w:r>
        <w:fldChar w:fldCharType="separate"/>
      </w:r>
      <w:r>
        <w:t>169</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_Toc27045 </w:instrText>
      </w:r>
      <w:r>
        <w:rPr>
          <w:highlight w:val="none"/>
        </w:rPr>
        <w:fldChar w:fldCharType="separate"/>
      </w:r>
      <w:r>
        <w:rPr>
          <w:rFonts w:hint="eastAsia"/>
          <w:highlight w:val="none"/>
        </w:rPr>
        <w:t>11.2设计原则及防范措施</w:t>
      </w:r>
      <w:r>
        <w:tab/>
      </w:r>
      <w:r>
        <w:fldChar w:fldCharType="begin"/>
      </w:r>
      <w:r>
        <w:instrText xml:space="preserve"> PAGEREF _Toc27045 \h </w:instrText>
      </w:r>
      <w:r>
        <w:fldChar w:fldCharType="separate"/>
      </w:r>
      <w:r>
        <w:t>169</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_Toc13684 </w:instrText>
      </w:r>
      <w:r>
        <w:rPr>
          <w:highlight w:val="none"/>
        </w:rPr>
        <w:fldChar w:fldCharType="separate"/>
      </w:r>
      <w:r>
        <w:rPr>
          <w:rFonts w:hint="eastAsia"/>
          <w:highlight w:val="none"/>
        </w:rPr>
        <w:t>11.3安全卫生措施预期效果评价</w:t>
      </w:r>
      <w:r>
        <w:tab/>
      </w:r>
      <w:r>
        <w:fldChar w:fldCharType="begin"/>
      </w:r>
      <w:r>
        <w:instrText xml:space="preserve"> PAGEREF _Toc13684 \h </w:instrText>
      </w:r>
      <w:r>
        <w:fldChar w:fldCharType="separate"/>
      </w:r>
      <w:r>
        <w:t>170</w:t>
      </w:r>
      <w:r>
        <w:fldChar w:fldCharType="end"/>
      </w:r>
      <w:r>
        <w:rPr>
          <w:color w:val="auto"/>
          <w:highlight w:val="none"/>
        </w:rPr>
        <w:fldChar w:fldCharType="end"/>
      </w:r>
    </w:p>
    <w:p>
      <w:pPr>
        <w:pStyle w:val="24"/>
        <w:tabs>
          <w:tab w:val="right" w:leader="dot" w:pos="8312"/>
        </w:tabs>
      </w:pPr>
      <w:r>
        <w:rPr>
          <w:color w:val="auto"/>
          <w:highlight w:val="none"/>
        </w:rPr>
        <w:fldChar w:fldCharType="begin"/>
      </w:r>
      <w:r>
        <w:rPr>
          <w:highlight w:val="none"/>
        </w:rPr>
        <w:instrText xml:space="preserve"> HYPERLINK \l _Toc63 </w:instrText>
      </w:r>
      <w:r>
        <w:rPr>
          <w:highlight w:val="none"/>
        </w:rPr>
        <w:fldChar w:fldCharType="separate"/>
      </w:r>
      <w:r>
        <w:rPr>
          <w:rFonts w:hint="eastAsia"/>
          <w:highlight w:val="none"/>
        </w:rPr>
        <w:t>12节能评价</w:t>
      </w:r>
      <w:r>
        <w:tab/>
      </w:r>
      <w:r>
        <w:fldChar w:fldCharType="begin"/>
      </w:r>
      <w:r>
        <w:instrText xml:space="preserve"> PAGEREF _Toc63 \h </w:instrText>
      </w:r>
      <w:r>
        <w:fldChar w:fldCharType="separate"/>
      </w:r>
      <w:r>
        <w:t>171</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_Toc7271 </w:instrText>
      </w:r>
      <w:r>
        <w:rPr>
          <w:highlight w:val="none"/>
        </w:rPr>
        <w:fldChar w:fldCharType="separate"/>
      </w:r>
      <w:r>
        <w:rPr>
          <w:rFonts w:hint="eastAsia"/>
          <w:highlight w:val="none"/>
        </w:rPr>
        <w:t>12.1设计依据</w:t>
      </w:r>
      <w:r>
        <w:tab/>
      </w:r>
      <w:r>
        <w:fldChar w:fldCharType="begin"/>
      </w:r>
      <w:r>
        <w:instrText xml:space="preserve"> PAGEREF _Toc7271 \h </w:instrText>
      </w:r>
      <w:r>
        <w:fldChar w:fldCharType="separate"/>
      </w:r>
      <w:r>
        <w:t>171</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_Toc31942 </w:instrText>
      </w:r>
      <w:r>
        <w:rPr>
          <w:highlight w:val="none"/>
        </w:rPr>
        <w:fldChar w:fldCharType="separate"/>
      </w:r>
      <w:r>
        <w:rPr>
          <w:rFonts w:hint="eastAsia"/>
          <w:highlight w:val="none"/>
        </w:rPr>
        <w:t>12.2工程节能设计</w:t>
      </w:r>
      <w:r>
        <w:tab/>
      </w:r>
      <w:r>
        <w:fldChar w:fldCharType="begin"/>
      </w:r>
      <w:r>
        <w:instrText xml:space="preserve"> PAGEREF _Toc31942 \h </w:instrText>
      </w:r>
      <w:r>
        <w:fldChar w:fldCharType="separate"/>
      </w:r>
      <w:r>
        <w:t>172</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_Toc32209 </w:instrText>
      </w:r>
      <w:r>
        <w:rPr>
          <w:highlight w:val="none"/>
        </w:rPr>
        <w:fldChar w:fldCharType="separate"/>
      </w:r>
      <w:r>
        <w:rPr>
          <w:rFonts w:hint="eastAsia"/>
          <w:highlight w:val="none"/>
        </w:rPr>
        <w:t>12.3节能效果综合评价</w:t>
      </w:r>
      <w:r>
        <w:tab/>
      </w:r>
      <w:r>
        <w:fldChar w:fldCharType="begin"/>
      </w:r>
      <w:r>
        <w:instrText xml:space="preserve"> PAGEREF _Toc32209 \h </w:instrText>
      </w:r>
      <w:r>
        <w:fldChar w:fldCharType="separate"/>
      </w:r>
      <w:r>
        <w:t>173</w:t>
      </w:r>
      <w:r>
        <w:fldChar w:fldCharType="end"/>
      </w:r>
      <w:r>
        <w:rPr>
          <w:color w:val="auto"/>
          <w:highlight w:val="none"/>
        </w:rPr>
        <w:fldChar w:fldCharType="end"/>
      </w:r>
    </w:p>
    <w:p>
      <w:pPr>
        <w:pStyle w:val="24"/>
        <w:tabs>
          <w:tab w:val="right" w:leader="dot" w:pos="8312"/>
        </w:tabs>
      </w:pPr>
      <w:r>
        <w:rPr>
          <w:color w:val="auto"/>
          <w:highlight w:val="none"/>
        </w:rPr>
        <w:fldChar w:fldCharType="begin"/>
      </w:r>
      <w:r>
        <w:rPr>
          <w:highlight w:val="none"/>
        </w:rPr>
        <w:instrText xml:space="preserve"> HYPERLINK \l _Toc4651 </w:instrText>
      </w:r>
      <w:r>
        <w:rPr>
          <w:highlight w:val="none"/>
        </w:rPr>
        <w:fldChar w:fldCharType="separate"/>
      </w:r>
      <w:r>
        <w:rPr>
          <w:rFonts w:hint="eastAsia"/>
          <w:highlight w:val="none"/>
        </w:rPr>
        <w:t>13工程管理</w:t>
      </w:r>
      <w:r>
        <w:tab/>
      </w:r>
      <w:r>
        <w:fldChar w:fldCharType="begin"/>
      </w:r>
      <w:r>
        <w:instrText xml:space="preserve"> PAGEREF _Toc4651 \h </w:instrText>
      </w:r>
      <w:r>
        <w:fldChar w:fldCharType="separate"/>
      </w:r>
      <w:r>
        <w:t>174</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_Toc21721 </w:instrText>
      </w:r>
      <w:r>
        <w:rPr>
          <w:highlight w:val="none"/>
        </w:rPr>
        <w:fldChar w:fldCharType="separate"/>
      </w:r>
      <w:r>
        <w:rPr>
          <w:rFonts w:hint="eastAsia"/>
          <w:highlight w:val="none"/>
        </w:rPr>
        <w:t>13.1管理体制、机构设置和人员编制</w:t>
      </w:r>
      <w:r>
        <w:tab/>
      </w:r>
      <w:r>
        <w:fldChar w:fldCharType="begin"/>
      </w:r>
      <w:r>
        <w:instrText xml:space="preserve"> PAGEREF _Toc21721 \h </w:instrText>
      </w:r>
      <w:r>
        <w:fldChar w:fldCharType="separate"/>
      </w:r>
      <w:r>
        <w:t>174</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_Toc31497 </w:instrText>
      </w:r>
      <w:r>
        <w:rPr>
          <w:highlight w:val="none"/>
        </w:rPr>
        <w:fldChar w:fldCharType="separate"/>
      </w:r>
      <w:r>
        <w:rPr>
          <w:rFonts w:hint="eastAsia"/>
          <w:highlight w:val="none"/>
        </w:rPr>
        <w:t>13.2工程运行管理</w:t>
      </w:r>
      <w:r>
        <w:tab/>
      </w:r>
      <w:r>
        <w:fldChar w:fldCharType="begin"/>
      </w:r>
      <w:r>
        <w:instrText xml:space="preserve"> PAGEREF _Toc31497 \h </w:instrText>
      </w:r>
      <w:r>
        <w:fldChar w:fldCharType="separate"/>
      </w:r>
      <w:r>
        <w:t>174</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_Toc13691 </w:instrText>
      </w:r>
      <w:r>
        <w:rPr>
          <w:highlight w:val="none"/>
        </w:rPr>
        <w:fldChar w:fldCharType="separate"/>
      </w:r>
      <w:r>
        <w:rPr>
          <w:rFonts w:hint="eastAsia"/>
          <w:highlight w:val="none"/>
        </w:rPr>
        <w:t>13.3管理设施与设备</w:t>
      </w:r>
      <w:r>
        <w:tab/>
      </w:r>
      <w:r>
        <w:fldChar w:fldCharType="begin"/>
      </w:r>
      <w:r>
        <w:instrText xml:space="preserve"> PAGEREF _Toc13691 \h </w:instrText>
      </w:r>
      <w:r>
        <w:fldChar w:fldCharType="separate"/>
      </w:r>
      <w:r>
        <w:t>175</w:t>
      </w:r>
      <w:r>
        <w:fldChar w:fldCharType="end"/>
      </w:r>
      <w:r>
        <w:rPr>
          <w:color w:val="auto"/>
          <w:highlight w:val="none"/>
        </w:rPr>
        <w:fldChar w:fldCharType="end"/>
      </w:r>
    </w:p>
    <w:p>
      <w:pPr>
        <w:pStyle w:val="24"/>
        <w:tabs>
          <w:tab w:val="right" w:leader="dot" w:pos="8312"/>
        </w:tabs>
      </w:pPr>
      <w:r>
        <w:rPr>
          <w:color w:val="auto"/>
          <w:highlight w:val="none"/>
        </w:rPr>
        <w:fldChar w:fldCharType="begin"/>
      </w:r>
      <w:r>
        <w:rPr>
          <w:highlight w:val="none"/>
        </w:rPr>
        <w:instrText xml:space="preserve"> HYPERLINK \l _Toc22546 </w:instrText>
      </w:r>
      <w:r>
        <w:rPr>
          <w:highlight w:val="none"/>
        </w:rPr>
        <w:fldChar w:fldCharType="separate"/>
      </w:r>
      <w:r>
        <w:rPr>
          <w:rFonts w:hint="eastAsia"/>
          <w:highlight w:val="none"/>
        </w:rPr>
        <w:t>14投资估算</w:t>
      </w:r>
      <w:r>
        <w:tab/>
      </w:r>
      <w:r>
        <w:fldChar w:fldCharType="begin"/>
      </w:r>
      <w:r>
        <w:instrText xml:space="preserve"> PAGEREF _Toc22546 \h </w:instrText>
      </w:r>
      <w:r>
        <w:fldChar w:fldCharType="separate"/>
      </w:r>
      <w:r>
        <w:t>176</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_Toc12218 </w:instrText>
      </w:r>
      <w:r>
        <w:rPr>
          <w:highlight w:val="none"/>
        </w:rPr>
        <w:fldChar w:fldCharType="separate"/>
      </w:r>
      <w:r>
        <w:rPr>
          <w:rFonts w:hint="eastAsia"/>
          <w:highlight w:val="none"/>
        </w:rPr>
        <w:t>14.1编制说明</w:t>
      </w:r>
      <w:r>
        <w:tab/>
      </w:r>
      <w:r>
        <w:fldChar w:fldCharType="begin"/>
      </w:r>
      <w:r>
        <w:instrText xml:space="preserve"> PAGEREF _Toc12218 \h </w:instrText>
      </w:r>
      <w:r>
        <w:fldChar w:fldCharType="separate"/>
      </w:r>
      <w:r>
        <w:t>176</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_Toc2792 </w:instrText>
      </w:r>
      <w:r>
        <w:rPr>
          <w:highlight w:val="none"/>
        </w:rPr>
        <w:fldChar w:fldCharType="separate"/>
      </w:r>
      <w:r>
        <w:rPr>
          <w:rFonts w:hint="eastAsia"/>
          <w:highlight w:val="none"/>
        </w:rPr>
        <w:t>14.2工程估算及资金筹措</w:t>
      </w:r>
      <w:r>
        <w:tab/>
      </w:r>
      <w:r>
        <w:fldChar w:fldCharType="begin"/>
      </w:r>
      <w:r>
        <w:instrText xml:space="preserve"> PAGEREF _Toc2792 \h </w:instrText>
      </w:r>
      <w:r>
        <w:fldChar w:fldCharType="separate"/>
      </w:r>
      <w:r>
        <w:t>180</w:t>
      </w:r>
      <w:r>
        <w:fldChar w:fldCharType="end"/>
      </w:r>
      <w:r>
        <w:rPr>
          <w:color w:val="auto"/>
          <w:highlight w:val="none"/>
        </w:rPr>
        <w:fldChar w:fldCharType="end"/>
      </w:r>
    </w:p>
    <w:p>
      <w:pPr>
        <w:pStyle w:val="24"/>
        <w:tabs>
          <w:tab w:val="right" w:leader="dot" w:pos="8312"/>
        </w:tabs>
      </w:pPr>
      <w:r>
        <w:rPr>
          <w:color w:val="auto"/>
          <w:highlight w:val="none"/>
        </w:rPr>
        <w:fldChar w:fldCharType="begin"/>
      </w:r>
      <w:r>
        <w:rPr>
          <w:highlight w:val="none"/>
        </w:rPr>
        <w:instrText xml:space="preserve"> HYPERLINK \l _Toc12695 </w:instrText>
      </w:r>
      <w:r>
        <w:rPr>
          <w:highlight w:val="none"/>
        </w:rPr>
        <w:fldChar w:fldCharType="separate"/>
      </w:r>
      <w:r>
        <w:rPr>
          <w:rFonts w:hint="eastAsia"/>
          <w:highlight w:val="none"/>
        </w:rPr>
        <w:t>15效益分析</w:t>
      </w:r>
      <w:r>
        <w:tab/>
      </w:r>
      <w:r>
        <w:fldChar w:fldCharType="begin"/>
      </w:r>
      <w:r>
        <w:instrText xml:space="preserve"> PAGEREF _Toc12695 \h </w:instrText>
      </w:r>
      <w:r>
        <w:fldChar w:fldCharType="separate"/>
      </w:r>
      <w:r>
        <w:t>181</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_Toc14546 </w:instrText>
      </w:r>
      <w:r>
        <w:rPr>
          <w:highlight w:val="none"/>
        </w:rPr>
        <w:fldChar w:fldCharType="separate"/>
      </w:r>
      <w:r>
        <w:rPr>
          <w:rFonts w:cs="Times New Roman"/>
          <w:highlight w:val="none"/>
        </w:rPr>
        <w:t>15.1评价依据及基本参数</w:t>
      </w:r>
      <w:r>
        <w:tab/>
      </w:r>
      <w:r>
        <w:fldChar w:fldCharType="begin"/>
      </w:r>
      <w:r>
        <w:instrText xml:space="preserve"> PAGEREF _Toc14546 \h </w:instrText>
      </w:r>
      <w:r>
        <w:fldChar w:fldCharType="separate"/>
      </w:r>
      <w:r>
        <w:t>181</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_Toc1403 </w:instrText>
      </w:r>
      <w:r>
        <w:rPr>
          <w:highlight w:val="none"/>
        </w:rPr>
        <w:fldChar w:fldCharType="separate"/>
      </w:r>
      <w:r>
        <w:rPr>
          <w:rFonts w:cs="Times New Roman"/>
          <w:highlight w:val="none"/>
        </w:rPr>
        <w:t>15.3评价结论</w:t>
      </w:r>
      <w:r>
        <w:tab/>
      </w:r>
      <w:r>
        <w:fldChar w:fldCharType="begin"/>
      </w:r>
      <w:r>
        <w:instrText xml:space="preserve"> PAGEREF _Toc1403 \h </w:instrText>
      </w:r>
      <w:r>
        <w:fldChar w:fldCharType="separate"/>
      </w:r>
      <w:r>
        <w:t>185</w:t>
      </w:r>
      <w:r>
        <w:fldChar w:fldCharType="end"/>
      </w:r>
      <w:r>
        <w:rPr>
          <w:color w:val="auto"/>
          <w:highlight w:val="none"/>
        </w:rPr>
        <w:fldChar w:fldCharType="end"/>
      </w:r>
    </w:p>
    <w:p>
      <w:pPr>
        <w:pStyle w:val="24"/>
        <w:tabs>
          <w:tab w:val="right" w:leader="dot" w:pos="8312"/>
        </w:tabs>
      </w:pPr>
      <w:r>
        <w:rPr>
          <w:color w:val="auto"/>
          <w:highlight w:val="none"/>
        </w:rPr>
        <w:fldChar w:fldCharType="begin"/>
      </w:r>
      <w:r>
        <w:rPr>
          <w:highlight w:val="none"/>
        </w:rPr>
        <w:instrText xml:space="preserve"> HYPERLINK \l _Toc15331 </w:instrText>
      </w:r>
      <w:r>
        <w:rPr>
          <w:highlight w:val="none"/>
        </w:rPr>
        <w:fldChar w:fldCharType="separate"/>
      </w:r>
      <w:r>
        <w:rPr>
          <w:rFonts w:hint="eastAsia"/>
          <w:highlight w:val="none"/>
        </w:rPr>
        <w:t>16社会稳定风险分析</w:t>
      </w:r>
      <w:r>
        <w:tab/>
      </w:r>
      <w:r>
        <w:fldChar w:fldCharType="begin"/>
      </w:r>
      <w:r>
        <w:instrText xml:space="preserve"> PAGEREF _Toc15331 \h </w:instrText>
      </w:r>
      <w:r>
        <w:fldChar w:fldCharType="separate"/>
      </w:r>
      <w:r>
        <w:t>197</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_Toc14645 </w:instrText>
      </w:r>
      <w:r>
        <w:rPr>
          <w:highlight w:val="none"/>
        </w:rPr>
        <w:fldChar w:fldCharType="separate"/>
      </w:r>
      <w:r>
        <w:rPr>
          <w:rFonts w:hint="eastAsia"/>
          <w:highlight w:val="none"/>
        </w:rPr>
        <w:t>16.1编制依据</w:t>
      </w:r>
      <w:r>
        <w:tab/>
      </w:r>
      <w:r>
        <w:fldChar w:fldCharType="begin"/>
      </w:r>
      <w:r>
        <w:instrText xml:space="preserve"> PAGEREF _Toc14645 \h </w:instrText>
      </w:r>
      <w:r>
        <w:fldChar w:fldCharType="separate"/>
      </w:r>
      <w:r>
        <w:t>197</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_Toc16014 </w:instrText>
      </w:r>
      <w:r>
        <w:rPr>
          <w:highlight w:val="none"/>
        </w:rPr>
        <w:fldChar w:fldCharType="separate"/>
      </w:r>
      <w:r>
        <w:rPr>
          <w:rFonts w:hint="eastAsia"/>
          <w:highlight w:val="none"/>
        </w:rPr>
        <w:t>16.2风险调查</w:t>
      </w:r>
      <w:r>
        <w:tab/>
      </w:r>
      <w:r>
        <w:fldChar w:fldCharType="begin"/>
      </w:r>
      <w:r>
        <w:instrText xml:space="preserve"> PAGEREF _Toc16014 \h </w:instrText>
      </w:r>
      <w:r>
        <w:fldChar w:fldCharType="separate"/>
      </w:r>
      <w:r>
        <w:t>198</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_Toc22982 </w:instrText>
      </w:r>
      <w:r>
        <w:rPr>
          <w:highlight w:val="none"/>
        </w:rPr>
        <w:fldChar w:fldCharType="separate"/>
      </w:r>
      <w:r>
        <w:rPr>
          <w:rFonts w:hint="eastAsia"/>
          <w:highlight w:val="none"/>
        </w:rPr>
        <w:t>16.3风险识别</w:t>
      </w:r>
      <w:r>
        <w:tab/>
      </w:r>
      <w:r>
        <w:fldChar w:fldCharType="begin"/>
      </w:r>
      <w:r>
        <w:instrText xml:space="preserve"> PAGEREF _Toc22982 \h </w:instrText>
      </w:r>
      <w:r>
        <w:fldChar w:fldCharType="separate"/>
      </w:r>
      <w:r>
        <w:t>198</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_Toc23749 </w:instrText>
      </w:r>
      <w:r>
        <w:rPr>
          <w:highlight w:val="none"/>
        </w:rPr>
        <w:fldChar w:fldCharType="separate"/>
      </w:r>
      <w:r>
        <w:rPr>
          <w:rFonts w:hint="eastAsia"/>
          <w:highlight w:val="none"/>
        </w:rPr>
        <w:t>16.4 风险估计</w:t>
      </w:r>
      <w:r>
        <w:tab/>
      </w:r>
      <w:r>
        <w:fldChar w:fldCharType="begin"/>
      </w:r>
      <w:r>
        <w:instrText xml:space="preserve"> PAGEREF _Toc23749 \h </w:instrText>
      </w:r>
      <w:r>
        <w:fldChar w:fldCharType="separate"/>
      </w:r>
      <w:r>
        <w:t>201</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_Toc4739 </w:instrText>
      </w:r>
      <w:r>
        <w:rPr>
          <w:highlight w:val="none"/>
        </w:rPr>
        <w:fldChar w:fldCharType="separate"/>
      </w:r>
      <w:r>
        <w:rPr>
          <w:rFonts w:hint="eastAsia"/>
          <w:highlight w:val="none"/>
        </w:rPr>
        <w:t>16.5风险防范与化解措施</w:t>
      </w:r>
      <w:r>
        <w:tab/>
      </w:r>
      <w:r>
        <w:fldChar w:fldCharType="begin"/>
      </w:r>
      <w:r>
        <w:instrText xml:space="preserve"> PAGEREF _Toc4739 \h </w:instrText>
      </w:r>
      <w:r>
        <w:fldChar w:fldCharType="separate"/>
      </w:r>
      <w:r>
        <w:t>202</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_Toc16139 </w:instrText>
      </w:r>
      <w:r>
        <w:rPr>
          <w:highlight w:val="none"/>
        </w:rPr>
        <w:fldChar w:fldCharType="separate"/>
      </w:r>
      <w:r>
        <w:rPr>
          <w:rFonts w:hint="eastAsia"/>
          <w:highlight w:val="none"/>
        </w:rPr>
        <w:t>16.6风险等级</w:t>
      </w:r>
      <w:r>
        <w:tab/>
      </w:r>
      <w:r>
        <w:fldChar w:fldCharType="begin"/>
      </w:r>
      <w:r>
        <w:instrText xml:space="preserve"> PAGEREF _Toc16139 \h </w:instrText>
      </w:r>
      <w:r>
        <w:fldChar w:fldCharType="separate"/>
      </w:r>
      <w:r>
        <w:t>204</w:t>
      </w:r>
      <w:r>
        <w:fldChar w:fldCharType="end"/>
      </w:r>
      <w:r>
        <w:rPr>
          <w:color w:val="auto"/>
          <w:highlight w:val="none"/>
        </w:rPr>
        <w:fldChar w:fldCharType="end"/>
      </w:r>
    </w:p>
    <w:p>
      <w:pPr>
        <w:pStyle w:val="28"/>
        <w:tabs>
          <w:tab w:val="right" w:leader="dot" w:pos="8312"/>
          <w:tab w:val="clear" w:pos="8302"/>
        </w:tabs>
      </w:pPr>
      <w:r>
        <w:rPr>
          <w:color w:val="auto"/>
          <w:highlight w:val="none"/>
        </w:rPr>
        <w:fldChar w:fldCharType="begin"/>
      </w:r>
      <w:r>
        <w:rPr>
          <w:highlight w:val="none"/>
        </w:rPr>
        <w:instrText xml:space="preserve"> HYPERLINK \l _Toc29273 </w:instrText>
      </w:r>
      <w:r>
        <w:rPr>
          <w:highlight w:val="none"/>
        </w:rPr>
        <w:fldChar w:fldCharType="separate"/>
      </w:r>
      <w:r>
        <w:rPr>
          <w:rFonts w:hint="eastAsia"/>
          <w:highlight w:val="none"/>
        </w:rPr>
        <w:t>16.7风险分析结论</w:t>
      </w:r>
      <w:r>
        <w:tab/>
      </w:r>
      <w:r>
        <w:fldChar w:fldCharType="begin"/>
      </w:r>
      <w:r>
        <w:instrText xml:space="preserve"> PAGEREF _Toc29273 \h </w:instrText>
      </w:r>
      <w:r>
        <w:fldChar w:fldCharType="separate"/>
      </w:r>
      <w:r>
        <w:t>205</w:t>
      </w:r>
      <w:r>
        <w:fldChar w:fldCharType="end"/>
      </w:r>
      <w:r>
        <w:rPr>
          <w:color w:val="auto"/>
          <w:highlight w:val="none"/>
        </w:rPr>
        <w:fldChar w:fldCharType="end"/>
      </w:r>
    </w:p>
    <w:p>
      <w:pPr>
        <w:pStyle w:val="24"/>
        <w:tabs>
          <w:tab w:val="right" w:leader="dot" w:pos="8312"/>
        </w:tabs>
      </w:pPr>
      <w:r>
        <w:rPr>
          <w:color w:val="auto"/>
          <w:highlight w:val="none"/>
        </w:rPr>
        <w:fldChar w:fldCharType="begin"/>
      </w:r>
      <w:r>
        <w:rPr>
          <w:highlight w:val="none"/>
        </w:rPr>
        <w:instrText xml:space="preserve"> HYPERLINK \l _Toc1832 </w:instrText>
      </w:r>
      <w:r>
        <w:rPr>
          <w:highlight w:val="none"/>
        </w:rPr>
        <w:fldChar w:fldCharType="separate"/>
      </w:r>
      <w:r>
        <w:rPr>
          <w:rFonts w:hint="eastAsia"/>
          <w:highlight w:val="none"/>
        </w:rPr>
        <w:t>17结论与建议</w:t>
      </w:r>
      <w:r>
        <w:tab/>
      </w:r>
      <w:r>
        <w:fldChar w:fldCharType="begin"/>
      </w:r>
      <w:r>
        <w:instrText xml:space="preserve"> PAGEREF _Toc1832 \h </w:instrText>
      </w:r>
      <w:r>
        <w:fldChar w:fldCharType="separate"/>
      </w:r>
      <w:r>
        <w:t>207</w:t>
      </w:r>
      <w:r>
        <w:fldChar w:fldCharType="end"/>
      </w:r>
      <w:r>
        <w:rPr>
          <w:color w:val="auto"/>
          <w:highlight w:val="none"/>
        </w:rPr>
        <w:fldChar w:fldCharType="end"/>
      </w:r>
    </w:p>
    <w:p>
      <w:pPr>
        <w:widowControl/>
        <w:spacing w:line="240" w:lineRule="auto"/>
        <w:ind w:firstLine="0" w:firstLineChars="0"/>
        <w:jc w:val="left"/>
        <w:rPr>
          <w:color w:val="auto"/>
          <w:highlight w:val="none"/>
        </w:rPr>
        <w:sectPr>
          <w:headerReference r:id="rId12" w:type="default"/>
          <w:pgSz w:w="11906" w:h="16838"/>
          <w:pgMar w:top="1440" w:right="1797" w:bottom="1440" w:left="1797" w:header="851" w:footer="992" w:gutter="0"/>
          <w:pgNumType w:start="1"/>
          <w:cols w:space="720" w:num="1"/>
          <w:docGrid w:type="lines" w:linePitch="312" w:charSpace="0"/>
        </w:sectPr>
      </w:pPr>
      <w:r>
        <w:rPr>
          <w:color w:val="auto"/>
          <w:highlight w:val="none"/>
        </w:rPr>
        <w:fldChar w:fldCharType="end"/>
      </w:r>
    </w:p>
    <w:p>
      <w:pPr>
        <w:widowControl/>
        <w:spacing w:line="240" w:lineRule="auto"/>
        <w:ind w:firstLine="0" w:firstLineChars="0"/>
        <w:jc w:val="left"/>
        <w:rPr>
          <w:color w:val="auto"/>
          <w:highlight w:val="none"/>
        </w:rPr>
        <w:sectPr>
          <w:footerReference r:id="rId13" w:type="default"/>
          <w:type w:val="continuous"/>
          <w:pgSz w:w="11906" w:h="16838"/>
          <w:pgMar w:top="1440" w:right="1797" w:bottom="1440" w:left="1797" w:header="851" w:footer="992" w:gutter="0"/>
          <w:pgNumType w:fmt="numberInDash" w:start="1"/>
          <w:cols w:space="720" w:num="1"/>
          <w:docGrid w:type="linesAndChars" w:linePitch="312" w:charSpace="0"/>
        </w:sectPr>
      </w:pPr>
      <w:r>
        <w:rPr>
          <w:color w:val="auto"/>
          <w:highlight w:val="none"/>
        </w:rPr>
        <w:br w:type="page"/>
      </w:r>
    </w:p>
    <w:p>
      <w:pPr>
        <w:pStyle w:val="2"/>
        <w:spacing w:before="31" w:after="31"/>
        <w:rPr>
          <w:color w:val="auto"/>
          <w:highlight w:val="none"/>
        </w:rPr>
      </w:pPr>
      <w:bookmarkStart w:id="0" w:name="_Toc15988"/>
      <w:r>
        <w:rPr>
          <w:rFonts w:hint="eastAsia"/>
          <w:color w:val="auto"/>
          <w:highlight w:val="none"/>
        </w:rPr>
        <w:t>1总论</w:t>
      </w:r>
      <w:bookmarkEnd w:id="0"/>
    </w:p>
    <w:p>
      <w:pPr>
        <w:pStyle w:val="3"/>
        <w:spacing w:before="31" w:after="31"/>
        <w:rPr>
          <w:color w:val="auto"/>
          <w:highlight w:val="none"/>
        </w:rPr>
      </w:pPr>
      <w:bookmarkStart w:id="1" w:name="_Toc26068"/>
      <w:r>
        <w:rPr>
          <w:rFonts w:hint="eastAsia"/>
          <w:color w:val="auto"/>
          <w:highlight w:val="none"/>
        </w:rPr>
        <w:t>1.1项目单位概述</w:t>
      </w:r>
      <w:bookmarkEnd w:id="1"/>
    </w:p>
    <w:p>
      <w:pPr>
        <w:ind w:firstLine="480"/>
        <w:rPr>
          <w:color w:val="auto"/>
          <w:highlight w:val="none"/>
        </w:rPr>
      </w:pPr>
      <w:r>
        <w:rPr>
          <w:rFonts w:hint="eastAsia"/>
          <w:color w:val="auto"/>
          <w:highlight w:val="none"/>
        </w:rPr>
        <w:t>1、项目名称：峄城区城乡供水一体化工程</w:t>
      </w:r>
    </w:p>
    <w:p>
      <w:pPr>
        <w:ind w:firstLine="480"/>
        <w:rPr>
          <w:color w:val="auto"/>
          <w:highlight w:val="none"/>
        </w:rPr>
      </w:pPr>
      <w:r>
        <w:rPr>
          <w:rFonts w:hint="eastAsia"/>
          <w:color w:val="auto"/>
          <w:highlight w:val="none"/>
        </w:rPr>
        <w:t>2、建设性质：新建</w:t>
      </w:r>
    </w:p>
    <w:p>
      <w:pPr>
        <w:ind w:firstLine="480"/>
        <w:rPr>
          <w:color w:val="auto"/>
          <w:highlight w:val="none"/>
        </w:rPr>
      </w:pPr>
      <w:r>
        <w:rPr>
          <w:rFonts w:hint="eastAsia"/>
          <w:color w:val="auto"/>
          <w:highlight w:val="none"/>
        </w:rPr>
        <w:t>3、建设单位：山东宏达城市发展投资有限公司</w:t>
      </w:r>
    </w:p>
    <w:p>
      <w:pPr>
        <w:pStyle w:val="3"/>
        <w:spacing w:before="31" w:after="31"/>
        <w:rPr>
          <w:color w:val="auto"/>
          <w:highlight w:val="none"/>
        </w:rPr>
      </w:pPr>
      <w:bookmarkStart w:id="2" w:name="_Toc24845"/>
      <w:r>
        <w:rPr>
          <w:rFonts w:hint="eastAsia"/>
          <w:color w:val="auto"/>
          <w:highlight w:val="none"/>
        </w:rPr>
        <w:t>1.2</w:t>
      </w:r>
      <w:r>
        <w:rPr>
          <w:color w:val="auto"/>
          <w:highlight w:val="none"/>
        </w:rPr>
        <w:t>编制依据、原则和目的</w:t>
      </w:r>
      <w:bookmarkEnd w:id="2"/>
    </w:p>
    <w:p>
      <w:pPr>
        <w:pStyle w:val="4"/>
        <w:rPr>
          <w:color w:val="auto"/>
          <w:highlight w:val="none"/>
        </w:rPr>
      </w:pPr>
      <w:r>
        <w:rPr>
          <w:rFonts w:hint="eastAsia"/>
          <w:color w:val="auto"/>
          <w:highlight w:val="none"/>
        </w:rPr>
        <w:t>1.2.1</w:t>
      </w:r>
      <w:r>
        <w:rPr>
          <w:color w:val="auto"/>
          <w:highlight w:val="none"/>
        </w:rPr>
        <w:t>、</w:t>
      </w:r>
      <w:r>
        <w:rPr>
          <w:rFonts w:hint="eastAsia"/>
          <w:color w:val="auto"/>
          <w:highlight w:val="none"/>
        </w:rPr>
        <w:t>编制依据</w:t>
      </w:r>
    </w:p>
    <w:p>
      <w:pPr>
        <w:ind w:firstLine="480"/>
        <w:rPr>
          <w:color w:val="auto"/>
          <w:highlight w:val="none"/>
        </w:rPr>
      </w:pPr>
      <w:r>
        <w:rPr>
          <w:rFonts w:hint="eastAsia"/>
          <w:color w:val="auto"/>
          <w:highlight w:val="none"/>
        </w:rPr>
        <w:t>1、</w:t>
      </w:r>
      <w:r>
        <w:rPr>
          <w:color w:val="auto"/>
          <w:highlight w:val="none"/>
        </w:rPr>
        <w:t>《水利水电工程初步设计报告编制规程》（SL61</w:t>
      </w:r>
      <w:r>
        <w:rPr>
          <w:rFonts w:hint="eastAsia"/>
          <w:color w:val="auto"/>
          <w:highlight w:val="none"/>
        </w:rPr>
        <w:t>8</w:t>
      </w:r>
      <w:r>
        <w:rPr>
          <w:color w:val="auto"/>
          <w:highlight w:val="none"/>
        </w:rPr>
        <w:t>-201</w:t>
      </w:r>
      <w:r>
        <w:rPr>
          <w:rFonts w:hint="eastAsia"/>
          <w:color w:val="auto"/>
          <w:highlight w:val="none"/>
        </w:rPr>
        <w:t>8</w:t>
      </w:r>
      <w:r>
        <w:rPr>
          <w:color w:val="auto"/>
          <w:highlight w:val="none"/>
        </w:rPr>
        <w:t>）；</w:t>
      </w:r>
    </w:p>
    <w:p>
      <w:pPr>
        <w:ind w:firstLine="480"/>
        <w:rPr>
          <w:color w:val="auto"/>
          <w:highlight w:val="none"/>
        </w:rPr>
      </w:pPr>
      <w:r>
        <w:rPr>
          <w:rFonts w:hint="eastAsia"/>
          <w:color w:val="auto"/>
          <w:highlight w:val="none"/>
        </w:rPr>
        <w:t>2、</w:t>
      </w:r>
      <w:r>
        <w:rPr>
          <w:color w:val="auto"/>
          <w:highlight w:val="none"/>
        </w:rPr>
        <w:t>《防洪标准》(GB50201-2014)；</w:t>
      </w:r>
    </w:p>
    <w:p>
      <w:pPr>
        <w:ind w:firstLine="480"/>
        <w:rPr>
          <w:color w:val="auto"/>
          <w:highlight w:val="none"/>
        </w:rPr>
      </w:pPr>
      <w:r>
        <w:rPr>
          <w:rFonts w:hint="eastAsia"/>
          <w:color w:val="auto"/>
          <w:highlight w:val="none"/>
        </w:rPr>
        <w:t>3、</w:t>
      </w:r>
      <w:r>
        <w:rPr>
          <w:color w:val="auto"/>
          <w:highlight w:val="none"/>
        </w:rPr>
        <w:t>《水利水电工程等级划分及洪水标准》(SL252</w:t>
      </w:r>
      <w:r>
        <w:rPr>
          <w:rFonts w:hint="eastAsia"/>
          <w:color w:val="auto"/>
          <w:highlight w:val="none"/>
        </w:rPr>
        <w:t>-</w:t>
      </w:r>
      <w:r>
        <w:rPr>
          <w:color w:val="auto"/>
          <w:highlight w:val="none"/>
        </w:rPr>
        <w:t>20</w:t>
      </w:r>
      <w:r>
        <w:rPr>
          <w:rFonts w:hint="eastAsia"/>
          <w:color w:val="auto"/>
          <w:highlight w:val="none"/>
        </w:rPr>
        <w:t>17</w:t>
      </w:r>
      <w:r>
        <w:rPr>
          <w:color w:val="auto"/>
          <w:highlight w:val="none"/>
        </w:rPr>
        <w:t>)；</w:t>
      </w:r>
    </w:p>
    <w:p>
      <w:pPr>
        <w:ind w:firstLine="480"/>
        <w:rPr>
          <w:color w:val="auto"/>
          <w:highlight w:val="none"/>
        </w:rPr>
      </w:pPr>
      <w:r>
        <w:rPr>
          <w:rFonts w:hint="eastAsia"/>
          <w:color w:val="auto"/>
          <w:highlight w:val="none"/>
        </w:rPr>
        <w:t>4、</w:t>
      </w:r>
      <w:r>
        <w:rPr>
          <w:color w:val="auto"/>
          <w:highlight w:val="none"/>
        </w:rPr>
        <w:t>《水利水电工程边坡设计规范》（SL386-2007）；</w:t>
      </w:r>
    </w:p>
    <w:p>
      <w:pPr>
        <w:ind w:firstLine="480"/>
        <w:rPr>
          <w:color w:val="auto"/>
          <w:highlight w:val="none"/>
        </w:rPr>
      </w:pPr>
      <w:r>
        <w:rPr>
          <w:rFonts w:hint="eastAsia"/>
          <w:color w:val="auto"/>
          <w:highlight w:val="none"/>
        </w:rPr>
        <w:t>5、</w:t>
      </w:r>
      <w:r>
        <w:rPr>
          <w:color w:val="auto"/>
          <w:highlight w:val="none"/>
        </w:rPr>
        <w:t>《水工混凝土结构设计规范》(SL191-2008)；</w:t>
      </w:r>
    </w:p>
    <w:p>
      <w:pPr>
        <w:ind w:firstLine="480"/>
        <w:rPr>
          <w:color w:val="auto"/>
          <w:highlight w:val="none"/>
        </w:rPr>
      </w:pPr>
      <w:r>
        <w:rPr>
          <w:rFonts w:hint="eastAsia"/>
          <w:color w:val="auto"/>
          <w:highlight w:val="none"/>
        </w:rPr>
        <w:t>6、</w:t>
      </w:r>
      <w:r>
        <w:rPr>
          <w:color w:val="auto"/>
          <w:highlight w:val="none"/>
        </w:rPr>
        <w:t>《橡胶坝技术规范》（SL227-98）；</w:t>
      </w:r>
    </w:p>
    <w:p>
      <w:pPr>
        <w:ind w:firstLine="480"/>
        <w:rPr>
          <w:color w:val="auto"/>
          <w:highlight w:val="none"/>
        </w:rPr>
      </w:pPr>
      <w:r>
        <w:rPr>
          <w:rFonts w:hint="eastAsia"/>
          <w:color w:val="auto"/>
          <w:highlight w:val="none"/>
        </w:rPr>
        <w:t>7、</w:t>
      </w:r>
      <w:r>
        <w:rPr>
          <w:color w:val="auto"/>
          <w:highlight w:val="none"/>
        </w:rPr>
        <w:t>《堤防工程设计规范》（GB50286-2013）；</w:t>
      </w:r>
    </w:p>
    <w:p>
      <w:pPr>
        <w:ind w:firstLine="480"/>
        <w:rPr>
          <w:color w:val="auto"/>
          <w:highlight w:val="none"/>
        </w:rPr>
      </w:pPr>
      <w:r>
        <w:rPr>
          <w:rFonts w:hint="eastAsia"/>
          <w:color w:val="auto"/>
          <w:highlight w:val="none"/>
        </w:rPr>
        <w:t>8、</w:t>
      </w:r>
      <w:r>
        <w:rPr>
          <w:color w:val="auto"/>
          <w:highlight w:val="none"/>
        </w:rPr>
        <w:t>《公路桥涵设计通用规范》（JTG D60－2015）</w:t>
      </w:r>
      <w:r>
        <w:rPr>
          <w:rFonts w:hint="eastAsia"/>
          <w:color w:val="auto"/>
          <w:highlight w:val="none"/>
        </w:rPr>
        <w:t>；</w:t>
      </w:r>
      <w:r>
        <w:rPr>
          <w:color w:val="auto"/>
          <w:highlight w:val="none"/>
        </w:rPr>
        <w:t xml:space="preserve"> </w:t>
      </w:r>
    </w:p>
    <w:p>
      <w:pPr>
        <w:ind w:firstLine="480"/>
        <w:rPr>
          <w:color w:val="auto"/>
          <w:highlight w:val="none"/>
        </w:rPr>
      </w:pPr>
      <w:r>
        <w:rPr>
          <w:rFonts w:hint="eastAsia"/>
          <w:color w:val="auto"/>
          <w:highlight w:val="none"/>
        </w:rPr>
        <w:t>9、</w:t>
      </w:r>
      <w:r>
        <w:rPr>
          <w:color w:val="auto"/>
          <w:highlight w:val="none"/>
        </w:rPr>
        <w:t>《水工建筑物抗震设计规范》（</w:t>
      </w:r>
      <w:r>
        <w:rPr>
          <w:rFonts w:hint="eastAsia"/>
          <w:color w:val="auto"/>
          <w:highlight w:val="none"/>
        </w:rPr>
        <w:t>GB 51247-2018</w:t>
      </w:r>
      <w:r>
        <w:rPr>
          <w:color w:val="auto"/>
          <w:highlight w:val="none"/>
        </w:rPr>
        <w:t>）；</w:t>
      </w:r>
    </w:p>
    <w:p>
      <w:pPr>
        <w:ind w:firstLine="480"/>
        <w:rPr>
          <w:color w:val="auto"/>
          <w:highlight w:val="none"/>
        </w:rPr>
      </w:pPr>
      <w:r>
        <w:rPr>
          <w:rFonts w:hint="eastAsia"/>
          <w:color w:val="auto"/>
          <w:highlight w:val="none"/>
        </w:rPr>
        <w:t>10、</w:t>
      </w:r>
      <w:r>
        <w:rPr>
          <w:color w:val="auto"/>
          <w:highlight w:val="none"/>
        </w:rPr>
        <w:t>《水工建筑物荷载设计规范》（</w:t>
      </w:r>
      <w:r>
        <w:rPr>
          <w:rFonts w:hint="eastAsia"/>
          <w:color w:val="auto"/>
          <w:highlight w:val="none"/>
        </w:rPr>
        <w:t>SL744-2016</w:t>
      </w:r>
      <w:r>
        <w:rPr>
          <w:color w:val="auto"/>
          <w:highlight w:val="none"/>
        </w:rPr>
        <w:t>）；</w:t>
      </w:r>
    </w:p>
    <w:p>
      <w:pPr>
        <w:ind w:firstLine="480"/>
        <w:rPr>
          <w:color w:val="auto"/>
          <w:highlight w:val="none"/>
        </w:rPr>
      </w:pPr>
      <w:r>
        <w:rPr>
          <w:rFonts w:hint="eastAsia"/>
          <w:color w:val="auto"/>
          <w:highlight w:val="none"/>
        </w:rPr>
        <w:t>11、</w:t>
      </w:r>
      <w:r>
        <w:rPr>
          <w:color w:val="auto"/>
          <w:highlight w:val="none"/>
        </w:rPr>
        <w:t>《建筑地基基础设计规范》(GB50007-2011)；</w:t>
      </w:r>
    </w:p>
    <w:p>
      <w:pPr>
        <w:ind w:firstLine="480"/>
        <w:rPr>
          <w:color w:val="auto"/>
          <w:highlight w:val="none"/>
        </w:rPr>
      </w:pPr>
      <w:r>
        <w:rPr>
          <w:rFonts w:hint="eastAsia"/>
          <w:color w:val="auto"/>
          <w:highlight w:val="none"/>
        </w:rPr>
        <w:t>12、</w:t>
      </w:r>
      <w:r>
        <w:rPr>
          <w:color w:val="auto"/>
          <w:highlight w:val="none"/>
        </w:rPr>
        <w:t>《水利水电工程施工组织设计规范》（SL303-2004）；</w:t>
      </w:r>
    </w:p>
    <w:p>
      <w:pPr>
        <w:ind w:firstLine="480"/>
        <w:rPr>
          <w:color w:val="auto"/>
          <w:highlight w:val="none"/>
        </w:rPr>
      </w:pPr>
      <w:r>
        <w:rPr>
          <w:rFonts w:hint="eastAsia"/>
          <w:color w:val="auto"/>
          <w:highlight w:val="none"/>
        </w:rPr>
        <w:t>13、</w:t>
      </w:r>
      <w:r>
        <w:rPr>
          <w:color w:val="auto"/>
          <w:highlight w:val="none"/>
        </w:rPr>
        <w:t>《水利水电工程设计工程量计算规定》（SL328-2005）；</w:t>
      </w:r>
    </w:p>
    <w:p>
      <w:pPr>
        <w:ind w:firstLine="480"/>
        <w:rPr>
          <w:color w:val="auto"/>
          <w:highlight w:val="none"/>
        </w:rPr>
      </w:pPr>
      <w:r>
        <w:rPr>
          <w:rFonts w:hint="eastAsia"/>
          <w:color w:val="auto"/>
          <w:highlight w:val="none"/>
        </w:rPr>
        <w:t>14、</w:t>
      </w:r>
      <w:r>
        <w:rPr>
          <w:color w:val="auto"/>
          <w:highlight w:val="none"/>
        </w:rPr>
        <w:t>《水利水电工程建设征地移民安置规划设计规范》（SL290-2009）；</w:t>
      </w:r>
    </w:p>
    <w:p>
      <w:pPr>
        <w:ind w:firstLine="480"/>
        <w:rPr>
          <w:color w:val="auto"/>
          <w:highlight w:val="none"/>
        </w:rPr>
      </w:pPr>
      <w:r>
        <w:rPr>
          <w:rFonts w:hint="eastAsia"/>
          <w:color w:val="auto"/>
          <w:highlight w:val="none"/>
        </w:rPr>
        <w:t>15、</w:t>
      </w:r>
      <w:r>
        <w:rPr>
          <w:color w:val="auto"/>
          <w:highlight w:val="none"/>
        </w:rPr>
        <w:t>《水利水电工程建设农村移民安置规划设计规范》（SL440-2009）；</w:t>
      </w:r>
    </w:p>
    <w:p>
      <w:pPr>
        <w:ind w:firstLine="480"/>
        <w:rPr>
          <w:color w:val="auto"/>
          <w:highlight w:val="none"/>
        </w:rPr>
      </w:pPr>
      <w:r>
        <w:rPr>
          <w:rFonts w:hint="eastAsia"/>
          <w:color w:val="auto"/>
          <w:highlight w:val="none"/>
        </w:rPr>
        <w:t>16、</w:t>
      </w:r>
      <w:r>
        <w:rPr>
          <w:color w:val="auto"/>
          <w:highlight w:val="none"/>
        </w:rPr>
        <w:t>《中华人民共和国河道管理条例》（1988年6月10日）；</w:t>
      </w:r>
    </w:p>
    <w:p>
      <w:pPr>
        <w:ind w:firstLine="480"/>
        <w:rPr>
          <w:color w:val="auto"/>
          <w:highlight w:val="none"/>
        </w:rPr>
      </w:pPr>
      <w:r>
        <w:rPr>
          <w:rFonts w:hint="eastAsia"/>
          <w:color w:val="auto"/>
          <w:highlight w:val="none"/>
        </w:rPr>
        <w:t>17、《室外给水设计规范》（GB50013-2006）；</w:t>
      </w:r>
    </w:p>
    <w:p>
      <w:pPr>
        <w:ind w:firstLine="480"/>
        <w:rPr>
          <w:color w:val="auto"/>
          <w:highlight w:val="none"/>
        </w:rPr>
      </w:pPr>
      <w:r>
        <w:rPr>
          <w:rFonts w:hint="eastAsia"/>
          <w:color w:val="auto"/>
          <w:highlight w:val="none"/>
        </w:rPr>
        <w:t>18、《地表水环境质量标准》（GB3838-2002）；</w:t>
      </w:r>
    </w:p>
    <w:p>
      <w:pPr>
        <w:ind w:firstLine="480"/>
        <w:rPr>
          <w:color w:val="auto"/>
          <w:highlight w:val="none"/>
        </w:rPr>
      </w:pPr>
      <w:r>
        <w:rPr>
          <w:rFonts w:hint="eastAsia"/>
          <w:color w:val="auto"/>
          <w:highlight w:val="none"/>
        </w:rPr>
        <w:t>19、《生活饮用水水源水质标准》（ CJ 3020-93）；</w:t>
      </w:r>
    </w:p>
    <w:p>
      <w:pPr>
        <w:ind w:firstLine="480"/>
        <w:rPr>
          <w:color w:val="auto"/>
          <w:highlight w:val="none"/>
        </w:rPr>
      </w:pPr>
      <w:r>
        <w:rPr>
          <w:rFonts w:hint="eastAsia"/>
          <w:color w:val="auto"/>
          <w:highlight w:val="none"/>
        </w:rPr>
        <w:t>20、《生活饮用水卫生标准》（GB5749-2006）；</w:t>
      </w:r>
    </w:p>
    <w:p>
      <w:pPr>
        <w:ind w:firstLine="480"/>
        <w:rPr>
          <w:color w:val="auto"/>
          <w:highlight w:val="none"/>
        </w:rPr>
      </w:pPr>
      <w:r>
        <w:rPr>
          <w:rFonts w:hint="eastAsia"/>
          <w:color w:val="auto"/>
          <w:highlight w:val="none"/>
        </w:rPr>
        <w:t>21、《城镇供水长距离输水管（渠）道工程技术规程》（CECS193：2005）；</w:t>
      </w:r>
    </w:p>
    <w:p>
      <w:pPr>
        <w:ind w:firstLine="480"/>
        <w:rPr>
          <w:color w:val="auto"/>
          <w:highlight w:val="none"/>
        </w:rPr>
      </w:pPr>
      <w:r>
        <w:rPr>
          <w:rFonts w:hint="eastAsia"/>
          <w:color w:val="auto"/>
          <w:highlight w:val="none"/>
        </w:rPr>
        <w:t>22、《城镇给水厂附属建筑和附属设备设计标准》（CJJ41-1991）；</w:t>
      </w:r>
    </w:p>
    <w:p>
      <w:pPr>
        <w:ind w:firstLine="480"/>
        <w:rPr>
          <w:color w:val="auto"/>
          <w:highlight w:val="none"/>
        </w:rPr>
      </w:pPr>
      <w:r>
        <w:rPr>
          <w:rFonts w:hint="eastAsia"/>
          <w:color w:val="auto"/>
          <w:highlight w:val="none"/>
        </w:rPr>
        <w:t>23、《室外排水设计规范》 GB50014-2006（2014年版）；</w:t>
      </w:r>
    </w:p>
    <w:p>
      <w:pPr>
        <w:ind w:firstLine="480"/>
        <w:rPr>
          <w:color w:val="auto"/>
          <w:highlight w:val="none"/>
        </w:rPr>
      </w:pPr>
      <w:r>
        <w:rPr>
          <w:rFonts w:hint="eastAsia"/>
          <w:color w:val="auto"/>
          <w:highlight w:val="none"/>
        </w:rPr>
        <w:t>24、《建筑给水排水设计规范》 GB50015-2003（2009年版）；</w:t>
      </w:r>
    </w:p>
    <w:p>
      <w:pPr>
        <w:ind w:firstLine="480"/>
        <w:rPr>
          <w:color w:val="auto"/>
          <w:highlight w:val="none"/>
        </w:rPr>
      </w:pPr>
      <w:r>
        <w:rPr>
          <w:rFonts w:hint="eastAsia"/>
          <w:color w:val="auto"/>
          <w:highlight w:val="none"/>
        </w:rPr>
        <w:t>25、《泵站设计规范》 （GB50265-2010）；</w:t>
      </w:r>
    </w:p>
    <w:p>
      <w:pPr>
        <w:ind w:firstLine="480"/>
        <w:rPr>
          <w:color w:val="auto"/>
          <w:highlight w:val="none"/>
        </w:rPr>
      </w:pPr>
      <w:r>
        <w:rPr>
          <w:rFonts w:hint="eastAsia"/>
          <w:color w:val="auto"/>
          <w:highlight w:val="none"/>
        </w:rPr>
        <w:t>26、《村镇供水工程设计规范》（SL687-2014）；</w:t>
      </w:r>
    </w:p>
    <w:p>
      <w:pPr>
        <w:ind w:firstLine="480"/>
        <w:rPr>
          <w:color w:val="auto"/>
          <w:highlight w:val="none"/>
        </w:rPr>
      </w:pPr>
      <w:r>
        <w:rPr>
          <w:rFonts w:hint="eastAsia"/>
          <w:color w:val="auto"/>
          <w:highlight w:val="none"/>
        </w:rPr>
        <w:t>27、《水利建设项目经济评价规范》（SL72-2013）；</w:t>
      </w:r>
    </w:p>
    <w:p>
      <w:pPr>
        <w:ind w:firstLine="480"/>
        <w:rPr>
          <w:color w:val="auto"/>
          <w:highlight w:val="none"/>
        </w:rPr>
      </w:pPr>
      <w:r>
        <w:rPr>
          <w:rFonts w:hint="eastAsia"/>
          <w:color w:val="auto"/>
          <w:highlight w:val="none"/>
        </w:rPr>
        <w:t>28、《镇（乡）村给水工程技术规程》（CJJ123-2008）；</w:t>
      </w:r>
    </w:p>
    <w:p>
      <w:pPr>
        <w:ind w:firstLine="480"/>
        <w:rPr>
          <w:color w:val="auto"/>
          <w:highlight w:val="none"/>
        </w:rPr>
      </w:pPr>
      <w:r>
        <w:rPr>
          <w:rFonts w:hint="eastAsia"/>
          <w:color w:val="auto"/>
          <w:highlight w:val="none"/>
        </w:rPr>
        <w:t>29、《室外给水设计规范》（GB50013-2006）；</w:t>
      </w:r>
    </w:p>
    <w:p>
      <w:pPr>
        <w:ind w:firstLine="480"/>
        <w:rPr>
          <w:color w:val="auto"/>
          <w:highlight w:val="none"/>
        </w:rPr>
      </w:pPr>
      <w:r>
        <w:rPr>
          <w:rFonts w:hint="eastAsia"/>
          <w:color w:val="auto"/>
          <w:highlight w:val="none"/>
        </w:rPr>
        <w:t>30、《室外给水排水和燃气热力工程抗震设计规范》（GB50032-2003）；</w:t>
      </w:r>
    </w:p>
    <w:p>
      <w:pPr>
        <w:ind w:firstLine="480"/>
        <w:rPr>
          <w:color w:val="auto"/>
          <w:highlight w:val="none"/>
        </w:rPr>
      </w:pPr>
      <w:r>
        <w:rPr>
          <w:rFonts w:hint="eastAsia"/>
          <w:color w:val="auto"/>
          <w:highlight w:val="none"/>
        </w:rPr>
        <w:t>31、《中国地震动参数区划图》（GB 18306-2015）；</w:t>
      </w:r>
    </w:p>
    <w:p>
      <w:pPr>
        <w:ind w:firstLine="480"/>
        <w:rPr>
          <w:color w:val="auto"/>
          <w:highlight w:val="none"/>
        </w:rPr>
      </w:pPr>
      <w:r>
        <w:rPr>
          <w:rFonts w:hint="eastAsia"/>
          <w:color w:val="auto"/>
          <w:highlight w:val="none"/>
        </w:rPr>
        <w:t>32、《建筑抗震设计规范》（GB50011-2015）；</w:t>
      </w:r>
    </w:p>
    <w:p>
      <w:pPr>
        <w:ind w:firstLine="480"/>
        <w:rPr>
          <w:color w:val="auto"/>
          <w:highlight w:val="none"/>
        </w:rPr>
      </w:pPr>
      <w:r>
        <w:rPr>
          <w:rFonts w:hint="eastAsia"/>
          <w:color w:val="auto"/>
          <w:highlight w:val="none"/>
        </w:rPr>
        <w:t>33、《建筑设计防火规范》（GB50016-2006）；</w:t>
      </w:r>
    </w:p>
    <w:p>
      <w:pPr>
        <w:ind w:firstLine="480"/>
        <w:rPr>
          <w:color w:val="auto"/>
          <w:highlight w:val="none"/>
        </w:rPr>
      </w:pPr>
      <w:r>
        <w:rPr>
          <w:rFonts w:hint="eastAsia"/>
          <w:color w:val="auto"/>
          <w:highlight w:val="none"/>
        </w:rPr>
        <w:t>34、《建筑灭火器配置设计规范》(GB50240-2005)。</w:t>
      </w:r>
    </w:p>
    <w:p>
      <w:pPr>
        <w:ind w:firstLine="480"/>
        <w:rPr>
          <w:color w:val="auto"/>
          <w:highlight w:val="none"/>
        </w:rPr>
      </w:pPr>
      <w:r>
        <w:rPr>
          <w:rFonts w:hint="eastAsia"/>
          <w:color w:val="auto"/>
          <w:highlight w:val="none"/>
        </w:rPr>
        <w:t xml:space="preserve">35、 </w:t>
      </w:r>
      <w:r>
        <w:rPr>
          <w:color w:val="auto"/>
          <w:highlight w:val="none"/>
        </w:rPr>
        <w:t>国家颁布的其他有关现行规范、规程及技术标准。</w:t>
      </w:r>
    </w:p>
    <w:p>
      <w:pPr>
        <w:pStyle w:val="4"/>
        <w:rPr>
          <w:color w:val="auto"/>
          <w:highlight w:val="none"/>
        </w:rPr>
      </w:pPr>
      <w:bookmarkStart w:id="3" w:name="_Toc26449"/>
      <w:r>
        <w:rPr>
          <w:rFonts w:hint="eastAsia"/>
          <w:color w:val="auto"/>
          <w:highlight w:val="none"/>
        </w:rPr>
        <w:t>1.2.2</w:t>
      </w:r>
      <w:r>
        <w:rPr>
          <w:color w:val="auto"/>
          <w:highlight w:val="none"/>
        </w:rPr>
        <w:t>项目可行性研究报告研究范围</w:t>
      </w:r>
      <w:bookmarkEnd w:id="3"/>
    </w:p>
    <w:p>
      <w:pPr>
        <w:ind w:firstLine="480"/>
        <w:rPr>
          <w:color w:val="auto"/>
          <w:highlight w:val="none"/>
        </w:rPr>
      </w:pPr>
      <w:bookmarkStart w:id="4" w:name="_Toc7300"/>
      <w:r>
        <w:rPr>
          <w:color w:val="auto"/>
          <w:highlight w:val="none"/>
        </w:rPr>
        <w:t>1、项目概况</w:t>
      </w:r>
      <w:bookmarkEnd w:id="4"/>
    </w:p>
    <w:p>
      <w:pPr>
        <w:ind w:firstLine="480"/>
        <w:rPr>
          <w:color w:val="auto"/>
          <w:highlight w:val="none"/>
        </w:rPr>
      </w:pPr>
      <w:bookmarkStart w:id="5" w:name="_Toc28770"/>
      <w:r>
        <w:rPr>
          <w:color w:val="auto"/>
          <w:highlight w:val="none"/>
        </w:rPr>
        <w:t>2、</w:t>
      </w:r>
      <w:bookmarkEnd w:id="5"/>
      <w:r>
        <w:rPr>
          <w:color w:val="auto"/>
          <w:highlight w:val="none"/>
        </w:rPr>
        <w:t>项目背景及建设必要性</w:t>
      </w:r>
    </w:p>
    <w:p>
      <w:pPr>
        <w:ind w:firstLine="480"/>
        <w:rPr>
          <w:color w:val="auto"/>
          <w:highlight w:val="none"/>
        </w:rPr>
      </w:pPr>
      <w:r>
        <w:rPr>
          <w:color w:val="auto"/>
          <w:highlight w:val="none"/>
        </w:rPr>
        <w:t>3、项目主要建设内容</w:t>
      </w:r>
    </w:p>
    <w:p>
      <w:pPr>
        <w:ind w:firstLine="480"/>
        <w:rPr>
          <w:color w:val="auto"/>
          <w:highlight w:val="none"/>
        </w:rPr>
      </w:pPr>
      <w:r>
        <w:rPr>
          <w:color w:val="auto"/>
          <w:highlight w:val="none"/>
        </w:rPr>
        <w:t>4、水文</w:t>
      </w:r>
    </w:p>
    <w:p>
      <w:pPr>
        <w:ind w:firstLine="480"/>
        <w:rPr>
          <w:color w:val="auto"/>
          <w:highlight w:val="none"/>
        </w:rPr>
      </w:pPr>
      <w:r>
        <w:rPr>
          <w:color w:val="auto"/>
          <w:highlight w:val="none"/>
        </w:rPr>
        <w:t>5、工程技术方案</w:t>
      </w:r>
    </w:p>
    <w:p>
      <w:pPr>
        <w:ind w:firstLine="480"/>
        <w:rPr>
          <w:color w:val="auto"/>
          <w:highlight w:val="none"/>
        </w:rPr>
      </w:pPr>
      <w:r>
        <w:rPr>
          <w:color w:val="auto"/>
          <w:highlight w:val="none"/>
        </w:rPr>
        <w:t>6、施工组织</w:t>
      </w:r>
    </w:p>
    <w:p>
      <w:pPr>
        <w:ind w:firstLine="480"/>
        <w:rPr>
          <w:color w:val="auto"/>
          <w:highlight w:val="none"/>
        </w:rPr>
      </w:pPr>
      <w:r>
        <w:rPr>
          <w:color w:val="auto"/>
          <w:highlight w:val="none"/>
        </w:rPr>
        <w:t>7、水土保持及环境保护</w:t>
      </w:r>
    </w:p>
    <w:p>
      <w:pPr>
        <w:ind w:firstLine="480"/>
        <w:rPr>
          <w:color w:val="auto"/>
          <w:highlight w:val="none"/>
        </w:rPr>
      </w:pPr>
      <w:bookmarkStart w:id="6" w:name="_Toc25623"/>
      <w:r>
        <w:rPr>
          <w:color w:val="auto"/>
          <w:highlight w:val="none"/>
        </w:rPr>
        <w:t>8、资源利用和能源消耗分析</w:t>
      </w:r>
      <w:bookmarkEnd w:id="6"/>
    </w:p>
    <w:p>
      <w:pPr>
        <w:ind w:firstLine="480"/>
        <w:rPr>
          <w:color w:val="auto"/>
          <w:highlight w:val="none"/>
        </w:rPr>
      </w:pPr>
      <w:bookmarkStart w:id="7" w:name="_Toc21884"/>
      <w:r>
        <w:rPr>
          <w:color w:val="auto"/>
          <w:highlight w:val="none"/>
        </w:rPr>
        <w:t>9、</w:t>
      </w:r>
      <w:bookmarkEnd w:id="7"/>
      <w:r>
        <w:rPr>
          <w:color w:val="auto"/>
          <w:highlight w:val="none"/>
        </w:rPr>
        <w:t>安全生产及卫生</w:t>
      </w:r>
    </w:p>
    <w:p>
      <w:pPr>
        <w:ind w:firstLine="480"/>
        <w:rPr>
          <w:color w:val="auto"/>
          <w:highlight w:val="none"/>
        </w:rPr>
      </w:pPr>
      <w:r>
        <w:rPr>
          <w:color w:val="auto"/>
          <w:highlight w:val="none"/>
        </w:rPr>
        <w:t>10、投资估算</w:t>
      </w:r>
    </w:p>
    <w:p>
      <w:pPr>
        <w:ind w:firstLine="480"/>
        <w:rPr>
          <w:color w:val="auto"/>
          <w:highlight w:val="none"/>
        </w:rPr>
      </w:pPr>
      <w:bookmarkStart w:id="8" w:name="_Toc25820"/>
      <w:r>
        <w:rPr>
          <w:color w:val="auto"/>
          <w:highlight w:val="none"/>
        </w:rPr>
        <w:t>11、社会效益分析</w:t>
      </w:r>
      <w:bookmarkEnd w:id="8"/>
    </w:p>
    <w:p>
      <w:pPr>
        <w:pStyle w:val="4"/>
        <w:rPr>
          <w:color w:val="auto"/>
          <w:sz w:val="28"/>
          <w:szCs w:val="28"/>
          <w:highlight w:val="none"/>
        </w:rPr>
      </w:pPr>
      <w:r>
        <w:rPr>
          <w:rFonts w:hint="eastAsia"/>
          <w:color w:val="auto"/>
          <w:highlight w:val="none"/>
        </w:rPr>
        <w:t>1.2.3</w:t>
      </w:r>
      <w:bookmarkStart w:id="9" w:name="_Toc121800459"/>
      <w:bookmarkStart w:id="10" w:name="_Toc133400956"/>
      <w:r>
        <w:rPr>
          <w:color w:val="auto"/>
          <w:sz w:val="28"/>
          <w:szCs w:val="28"/>
          <w:highlight w:val="none"/>
        </w:rPr>
        <w:t>编制原则</w:t>
      </w:r>
      <w:bookmarkEnd w:id="9"/>
      <w:bookmarkEnd w:id="10"/>
    </w:p>
    <w:p>
      <w:pPr>
        <w:ind w:firstLine="480"/>
        <w:rPr>
          <w:color w:val="auto"/>
          <w:szCs w:val="24"/>
          <w:highlight w:val="none"/>
        </w:rPr>
      </w:pPr>
      <w:r>
        <w:rPr>
          <w:rFonts w:hint="eastAsia"/>
          <w:color w:val="auto"/>
          <w:szCs w:val="24"/>
          <w:highlight w:val="none"/>
          <w:shd w:val="clear" w:color="auto" w:fill="FFFFFF"/>
        </w:rPr>
        <w:t>按照峄城区水资源“统一规划，统一建设、统一管理、统一调配”的原则，创新水利发展机制，搭建城乡一体化的水务平台，构建水资源优化配置和高效利用体系，优化用水结构，合理配置水资源，实现水利城乡统筹，高效利用、体制健全的新格局，加快实现水资源的“三个转变”建设节水型社会。</w:t>
      </w:r>
    </w:p>
    <w:p>
      <w:pPr>
        <w:pStyle w:val="4"/>
        <w:rPr>
          <w:color w:val="auto"/>
          <w:highlight w:val="none"/>
        </w:rPr>
      </w:pPr>
      <w:r>
        <w:rPr>
          <w:rFonts w:hint="eastAsia"/>
          <w:color w:val="auto"/>
          <w:highlight w:val="none"/>
        </w:rPr>
        <w:t>1.2.4</w:t>
      </w:r>
      <w:r>
        <w:rPr>
          <w:color w:val="auto"/>
          <w:highlight w:val="none"/>
        </w:rPr>
        <w:t>编制目的</w:t>
      </w:r>
    </w:p>
    <w:p>
      <w:pPr>
        <w:ind w:firstLine="480"/>
        <w:rPr>
          <w:color w:val="auto"/>
          <w:highlight w:val="none"/>
        </w:rPr>
      </w:pPr>
      <w:r>
        <w:rPr>
          <w:color w:val="auto"/>
          <w:highlight w:val="none"/>
        </w:rPr>
        <w:t>编制本报告主要为达到下述目的：</w:t>
      </w:r>
    </w:p>
    <w:p>
      <w:pPr>
        <w:ind w:firstLine="480"/>
        <w:rPr>
          <w:color w:val="auto"/>
          <w:highlight w:val="none"/>
        </w:rPr>
      </w:pPr>
      <w:r>
        <w:rPr>
          <w:color w:val="auto"/>
          <w:highlight w:val="none"/>
        </w:rPr>
        <w:t>1、论述工程的必要性和可行性，确定工程项目；</w:t>
      </w:r>
    </w:p>
    <w:p>
      <w:pPr>
        <w:ind w:firstLine="480"/>
        <w:rPr>
          <w:color w:val="auto"/>
          <w:highlight w:val="none"/>
        </w:rPr>
      </w:pPr>
      <w:r>
        <w:rPr>
          <w:color w:val="auto"/>
          <w:highlight w:val="none"/>
        </w:rPr>
        <w:t>2、确定工程范围、设计流量；</w:t>
      </w:r>
      <w:r>
        <w:rPr>
          <w:color w:val="auto"/>
          <w:highlight w:val="none"/>
        </w:rPr>
        <w:tab/>
      </w:r>
    </w:p>
    <w:p>
      <w:pPr>
        <w:ind w:firstLine="480"/>
        <w:rPr>
          <w:color w:val="auto"/>
          <w:highlight w:val="none"/>
        </w:rPr>
      </w:pPr>
      <w:r>
        <w:rPr>
          <w:color w:val="auto"/>
          <w:highlight w:val="none"/>
        </w:rPr>
        <w:t>3、提出合理的工程方案并加以论证、优化；</w:t>
      </w:r>
    </w:p>
    <w:p>
      <w:pPr>
        <w:ind w:firstLine="480"/>
        <w:rPr>
          <w:color w:val="auto"/>
          <w:highlight w:val="none"/>
        </w:rPr>
      </w:pPr>
      <w:r>
        <w:rPr>
          <w:color w:val="auto"/>
          <w:highlight w:val="none"/>
        </w:rPr>
        <w:t>4、提出工程投资估算、效益分析、运行管理组织及实施进度计划；</w:t>
      </w:r>
    </w:p>
    <w:p>
      <w:pPr>
        <w:ind w:firstLine="480"/>
        <w:rPr>
          <w:color w:val="auto"/>
          <w:highlight w:val="none"/>
        </w:rPr>
      </w:pPr>
      <w:r>
        <w:rPr>
          <w:color w:val="auto"/>
          <w:highlight w:val="none"/>
        </w:rPr>
        <w:t>5、提出资金筹措方案；</w:t>
      </w:r>
    </w:p>
    <w:p>
      <w:pPr>
        <w:ind w:firstLine="480"/>
        <w:rPr>
          <w:color w:val="auto"/>
          <w:highlight w:val="none"/>
        </w:rPr>
      </w:pPr>
      <w:r>
        <w:rPr>
          <w:color w:val="auto"/>
          <w:highlight w:val="none"/>
        </w:rPr>
        <w:t>6、作为工程进行初步设计、施工图设计、工程施工、工程运营的工作依据。</w:t>
      </w:r>
    </w:p>
    <w:p>
      <w:pPr>
        <w:pStyle w:val="3"/>
        <w:spacing w:before="31" w:after="31"/>
        <w:rPr>
          <w:color w:val="auto"/>
          <w:highlight w:val="none"/>
        </w:rPr>
      </w:pPr>
      <w:bookmarkStart w:id="11" w:name="_Toc26947"/>
      <w:r>
        <w:rPr>
          <w:rFonts w:hint="eastAsia"/>
          <w:color w:val="auto"/>
          <w:highlight w:val="none"/>
        </w:rPr>
        <w:t>1.3</w:t>
      </w:r>
      <w:bookmarkStart w:id="12" w:name="_Toc277013586"/>
      <w:bookmarkStart w:id="13" w:name="_Toc16854"/>
      <w:bookmarkStart w:id="14" w:name="_Toc525752761"/>
      <w:r>
        <w:rPr>
          <w:color w:val="auto"/>
          <w:highlight w:val="none"/>
        </w:rPr>
        <w:t>研究结论</w:t>
      </w:r>
      <w:bookmarkEnd w:id="11"/>
      <w:bookmarkEnd w:id="12"/>
      <w:bookmarkEnd w:id="13"/>
      <w:bookmarkEnd w:id="14"/>
    </w:p>
    <w:p>
      <w:pPr>
        <w:pStyle w:val="4"/>
        <w:rPr>
          <w:color w:val="auto"/>
          <w:highlight w:val="none"/>
        </w:rPr>
      </w:pPr>
      <w:r>
        <w:rPr>
          <w:rFonts w:hint="eastAsia"/>
          <w:color w:val="auto"/>
          <w:highlight w:val="none"/>
        </w:rPr>
        <w:t>1.3.1</w:t>
      </w:r>
      <w:r>
        <w:rPr>
          <w:color w:val="auto"/>
          <w:highlight w:val="none"/>
        </w:rPr>
        <w:t>建设地点</w:t>
      </w:r>
    </w:p>
    <w:p>
      <w:pPr>
        <w:ind w:firstLine="480"/>
        <w:rPr>
          <w:rFonts w:hint="eastAsia" w:ascii="Times New Roman" w:hAnsi="Times New Roman"/>
          <w:color w:val="auto"/>
          <w:highlight w:val="none"/>
          <w:lang w:val="en-US" w:eastAsia="zh-CN"/>
        </w:rPr>
      </w:pPr>
      <w:r>
        <w:rPr>
          <w:rFonts w:ascii="Times New Roman" w:hAnsi="Times New Roman"/>
          <w:color w:val="auto"/>
          <w:highlight w:val="none"/>
        </w:rPr>
        <w:t>该项目建设地点位于峄城区</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工程范围辐射整个峄城区。</w:t>
      </w:r>
    </w:p>
    <w:p>
      <w:pPr>
        <w:ind w:firstLine="480"/>
        <w:rPr>
          <w:rFonts w:hint="eastAsia" w:ascii="Times New Roman" w:hAnsi="Times New Roman"/>
          <w:color w:val="auto"/>
          <w:highlight w:val="none"/>
          <w:lang w:eastAsia="zh-CN"/>
        </w:rPr>
      </w:pPr>
      <w:r>
        <w:rPr>
          <w:rFonts w:ascii="Times New Roman" w:hAnsi="Times New Roman"/>
          <w:color w:val="auto"/>
          <w:highlight w:val="none"/>
        </w:rPr>
        <w:t>在胜利灌区渠首闸设取水口</w:t>
      </w:r>
      <w:r>
        <w:rPr>
          <w:rFonts w:hint="eastAsia" w:ascii="Times New Roman" w:hAnsi="Times New Roman"/>
          <w:color w:val="auto"/>
          <w:highlight w:val="none"/>
          <w:lang w:eastAsia="zh-CN"/>
        </w:rPr>
        <w:t>，</w:t>
      </w:r>
      <w:r>
        <w:rPr>
          <w:rFonts w:ascii="Times New Roman" w:hAnsi="Times New Roman"/>
          <w:color w:val="auto"/>
          <w:highlight w:val="none"/>
        </w:rPr>
        <w:t>将南四湖水调至龙泉庄水库调蓄后，由三级加压分别输送至</w:t>
      </w:r>
      <w:r>
        <w:rPr>
          <w:rFonts w:hint="eastAsia" w:ascii="Times New Roman" w:hAnsi="Times New Roman"/>
          <w:color w:val="auto"/>
          <w:highlight w:val="none"/>
          <w:lang w:val="en-US" w:eastAsia="zh-CN"/>
        </w:rPr>
        <w:t>龙泉庄水库</w:t>
      </w:r>
      <w:r>
        <w:rPr>
          <w:rFonts w:ascii="Times New Roman" w:hAnsi="Times New Roman"/>
          <w:color w:val="auto"/>
          <w:highlight w:val="none"/>
        </w:rPr>
        <w:t>水厂、东郊水厂和东部水厂</w:t>
      </w:r>
      <w:r>
        <w:rPr>
          <w:rFonts w:hint="eastAsia" w:ascii="Times New Roman" w:hAnsi="Times New Roman"/>
          <w:color w:val="auto"/>
          <w:highlight w:val="none"/>
          <w:lang w:eastAsia="zh-CN"/>
        </w:rPr>
        <w:t>，</w:t>
      </w:r>
      <w:r>
        <w:rPr>
          <w:rFonts w:ascii="Times New Roman" w:hAnsi="Times New Roman"/>
          <w:color w:val="auto"/>
          <w:highlight w:val="none"/>
        </w:rPr>
        <w:t>铺设输配水管网与现有镇级和村级管网并网</w:t>
      </w:r>
      <w:r>
        <w:rPr>
          <w:rFonts w:hint="eastAsia" w:ascii="Times New Roman" w:hAnsi="Times New Roman"/>
          <w:color w:val="auto"/>
          <w:highlight w:val="none"/>
          <w:lang w:eastAsia="zh-CN"/>
        </w:rPr>
        <w:t>，</w:t>
      </w:r>
      <w:r>
        <w:rPr>
          <w:rFonts w:ascii="Times New Roman" w:hAnsi="Times New Roman"/>
          <w:color w:val="auto"/>
          <w:highlight w:val="none"/>
        </w:rPr>
        <w:t>水厂对调入的客水通过净水工艺流程</w:t>
      </w:r>
      <w:r>
        <w:rPr>
          <w:rFonts w:hint="eastAsia" w:ascii="Times New Roman" w:hAnsi="Times New Roman"/>
          <w:color w:val="auto"/>
          <w:highlight w:val="none"/>
          <w:lang w:val="en-US" w:eastAsia="zh-CN"/>
        </w:rPr>
        <w:t>后</w:t>
      </w:r>
      <w:r>
        <w:rPr>
          <w:rFonts w:ascii="Times New Roman" w:hAnsi="Times New Roman"/>
          <w:color w:val="auto"/>
          <w:highlight w:val="none"/>
        </w:rPr>
        <w:t>，沿输配水管网输送到各用水户</w:t>
      </w:r>
      <w:r>
        <w:rPr>
          <w:rFonts w:hint="eastAsia" w:ascii="Times New Roman" w:hAnsi="Times New Roman"/>
          <w:color w:val="auto"/>
          <w:highlight w:val="none"/>
          <w:lang w:eastAsia="zh-CN"/>
        </w:rPr>
        <w:t>；</w:t>
      </w:r>
      <w:r>
        <w:rPr>
          <w:rFonts w:ascii="Times New Roman" w:hAnsi="Times New Roman"/>
          <w:color w:val="auto"/>
          <w:highlight w:val="none"/>
        </w:rPr>
        <w:t>利用已完建的贾庄节制闸灌区实施节水配套改造工程进行延伸，在延伸管道、渠道与左庄沙河、大刘庄河、新沟河、拉沟河及陶沟河交叉处设分水口，适时对河道进行生态补水</w:t>
      </w:r>
      <w:r>
        <w:rPr>
          <w:rFonts w:hint="eastAsia" w:ascii="Times New Roman" w:hAnsi="Times New Roman"/>
          <w:color w:val="auto"/>
          <w:highlight w:val="none"/>
          <w:lang w:eastAsia="zh-CN"/>
        </w:rPr>
        <w:t>，</w:t>
      </w:r>
      <w:r>
        <w:rPr>
          <w:rFonts w:ascii="Times New Roman" w:hAnsi="Times New Roman"/>
          <w:color w:val="auto"/>
          <w:highlight w:val="none"/>
        </w:rPr>
        <w:t>同时对</w:t>
      </w:r>
      <w:r>
        <w:rPr>
          <w:rFonts w:hint="eastAsia" w:ascii="Times New Roman" w:hAnsi="Times New Roman"/>
          <w:color w:val="auto"/>
          <w:highlight w:val="none"/>
          <w:lang w:val="en-US" w:eastAsia="zh-CN"/>
        </w:rPr>
        <w:t>以上河道</w:t>
      </w:r>
      <w:r>
        <w:rPr>
          <w:rFonts w:ascii="Times New Roman" w:hAnsi="Times New Roman"/>
          <w:color w:val="auto"/>
          <w:highlight w:val="none"/>
        </w:rPr>
        <w:t>进行综合整治</w:t>
      </w:r>
      <w:r>
        <w:rPr>
          <w:rFonts w:hint="eastAsia" w:ascii="Times New Roman" w:hAnsi="Times New Roman"/>
          <w:color w:val="auto"/>
          <w:highlight w:val="none"/>
          <w:lang w:eastAsia="zh-CN"/>
        </w:rPr>
        <w:t>。</w:t>
      </w:r>
    </w:p>
    <w:p>
      <w:pPr>
        <w:pStyle w:val="4"/>
        <w:rPr>
          <w:color w:val="auto"/>
          <w:highlight w:val="none"/>
        </w:rPr>
      </w:pPr>
      <w:r>
        <w:rPr>
          <w:rFonts w:hint="eastAsia"/>
          <w:color w:val="auto"/>
          <w:highlight w:val="none"/>
        </w:rPr>
        <w:t>1.3.2</w:t>
      </w:r>
      <w:r>
        <w:rPr>
          <w:color w:val="auto"/>
          <w:highlight w:val="none"/>
        </w:rPr>
        <w:t>工程建设内容</w:t>
      </w:r>
    </w:p>
    <w:p>
      <w:pPr>
        <w:ind w:firstLine="480"/>
        <w:rPr>
          <w:color w:val="auto"/>
          <w:highlight w:val="none"/>
        </w:rPr>
      </w:pPr>
      <w:r>
        <w:rPr>
          <w:color w:val="auto"/>
          <w:highlight w:val="none"/>
        </w:rPr>
        <w:t>为满足枣庄市峄城区</w:t>
      </w:r>
      <w:r>
        <w:rPr>
          <w:rFonts w:hint="eastAsia"/>
          <w:color w:val="auto"/>
          <w:highlight w:val="none"/>
        </w:rPr>
        <w:t>居民</w:t>
      </w:r>
      <w:r>
        <w:rPr>
          <w:color w:val="auto"/>
          <w:highlight w:val="none"/>
        </w:rPr>
        <w:t>用水需求，</w:t>
      </w:r>
      <w:r>
        <w:rPr>
          <w:rFonts w:hint="eastAsia"/>
          <w:color w:val="auto"/>
          <w:highlight w:val="none"/>
        </w:rPr>
        <w:t>实现峄城区供水一体化，</w:t>
      </w:r>
      <w:r>
        <w:rPr>
          <w:color w:val="auto"/>
          <w:highlight w:val="none"/>
        </w:rPr>
        <w:t>峄城区</w:t>
      </w:r>
      <w:r>
        <w:rPr>
          <w:rFonts w:hint="eastAsia"/>
          <w:color w:val="auto"/>
          <w:highlight w:val="none"/>
        </w:rPr>
        <w:t>拟从</w:t>
      </w:r>
      <w:r>
        <w:rPr>
          <w:color w:val="auto"/>
          <w:highlight w:val="none"/>
        </w:rPr>
        <w:t>南四湖取水</w:t>
      </w:r>
      <w:r>
        <w:rPr>
          <w:rFonts w:hint="eastAsia"/>
          <w:color w:val="auto"/>
          <w:highlight w:val="none"/>
        </w:rPr>
        <w:t>，</w:t>
      </w:r>
      <w:r>
        <w:rPr>
          <w:color w:val="auto"/>
          <w:highlight w:val="none"/>
        </w:rPr>
        <w:t xml:space="preserve">采用南四湖地表水作为供水水源， </w:t>
      </w:r>
      <w:r>
        <w:rPr>
          <w:rFonts w:hint="eastAsia"/>
          <w:color w:val="auto"/>
          <w:highlight w:val="none"/>
        </w:rPr>
        <w:t>在</w:t>
      </w:r>
      <w:r>
        <w:rPr>
          <w:color w:val="auto"/>
          <w:highlight w:val="none"/>
        </w:rPr>
        <w:t>胜利灌区</w:t>
      </w:r>
      <w:r>
        <w:rPr>
          <w:rFonts w:hint="eastAsia"/>
          <w:color w:val="auto"/>
          <w:highlight w:val="none"/>
        </w:rPr>
        <w:t>渠首闸设</w:t>
      </w:r>
      <w:r>
        <w:rPr>
          <w:color w:val="auto"/>
          <w:highlight w:val="none"/>
        </w:rPr>
        <w:t>取水口将南四湖下级湖水通过加压泵站和输水管道调入龙泉庄水库，再由龙泉庄水库通过加压泵站和输水管道调入各自来水厂，自来水厂对调入的客水通过净水工艺流程后，沿输配水管网输送到各用水户。</w:t>
      </w:r>
    </w:p>
    <w:p>
      <w:pPr>
        <w:ind w:firstLine="480"/>
        <w:rPr>
          <w:color w:val="auto"/>
          <w:highlight w:val="none"/>
        </w:rPr>
      </w:pPr>
      <w:r>
        <w:rPr>
          <w:rFonts w:hint="eastAsia"/>
          <w:color w:val="auto"/>
          <w:highlight w:val="none"/>
        </w:rPr>
        <w:t>为提高峄城区城乡供水水平，缩小城乡供水差别，实施农村供水改造提升项目和城区供水管网提升改造工程。</w:t>
      </w:r>
    </w:p>
    <w:p>
      <w:pPr>
        <w:ind w:firstLine="480"/>
        <w:rPr>
          <w:color w:val="auto"/>
          <w:highlight w:val="none"/>
        </w:rPr>
      </w:pPr>
      <w:r>
        <w:rPr>
          <w:rFonts w:hint="eastAsia"/>
          <w:color w:val="auto"/>
          <w:highlight w:val="none"/>
        </w:rPr>
        <w:t>本项目主要建设内容如下：</w:t>
      </w:r>
    </w:p>
    <w:p>
      <w:pPr>
        <w:ind w:left="480" w:firstLine="0" w:firstLineChars="0"/>
        <w:rPr>
          <w:color w:val="auto"/>
          <w:highlight w:val="none"/>
        </w:rPr>
      </w:pPr>
      <w:r>
        <w:rPr>
          <w:rFonts w:hint="eastAsia"/>
          <w:color w:val="auto"/>
          <w:highlight w:val="none"/>
        </w:rPr>
        <w:t>1、南四湖取水工程</w:t>
      </w:r>
    </w:p>
    <w:p>
      <w:pPr>
        <w:ind w:firstLine="480"/>
        <w:rPr>
          <w:rFonts w:hint="eastAsia" w:eastAsia="宋体"/>
          <w:color w:val="auto"/>
          <w:highlight w:val="none"/>
          <w:lang w:val="en-US" w:eastAsia="zh-CN"/>
        </w:rPr>
      </w:pPr>
      <w:r>
        <w:rPr>
          <w:rFonts w:hint="eastAsia"/>
          <w:color w:val="auto"/>
          <w:highlight w:val="none"/>
        </w:rPr>
        <w:t>拟在南四湖胜利渠首闸上游（峄城辖区）设置</w:t>
      </w:r>
      <w:r>
        <w:rPr>
          <w:rFonts w:hint="eastAsia"/>
          <w:color w:val="auto"/>
          <w:highlight w:val="none"/>
          <w:lang w:val="en-US" w:eastAsia="zh-CN"/>
        </w:rPr>
        <w:t>八里沟</w:t>
      </w:r>
      <w:r>
        <w:rPr>
          <w:rFonts w:hint="eastAsia"/>
          <w:color w:val="auto"/>
          <w:highlight w:val="none"/>
        </w:rPr>
        <w:t>提水泵站</w:t>
      </w:r>
      <w:r>
        <w:rPr>
          <w:rFonts w:hint="eastAsia"/>
          <w:color w:val="auto"/>
          <w:highlight w:val="none"/>
          <w:lang w:eastAsia="zh-CN"/>
        </w:rPr>
        <w:t>，</w:t>
      </w:r>
      <w:r>
        <w:rPr>
          <w:rFonts w:hint="eastAsia"/>
          <w:color w:val="auto"/>
          <w:highlight w:val="none"/>
        </w:rPr>
        <w:t>将南四湖水调至</w:t>
      </w:r>
      <w:r>
        <w:rPr>
          <w:rFonts w:hint="eastAsia"/>
          <w:color w:val="auto"/>
          <w:highlight w:val="none"/>
          <w:lang w:val="en-US" w:eastAsia="zh-CN"/>
        </w:rPr>
        <w:t>上刘扬水站加压</w:t>
      </w:r>
      <w:r>
        <w:rPr>
          <w:rFonts w:hint="eastAsia"/>
          <w:color w:val="auto"/>
          <w:highlight w:val="none"/>
        </w:rPr>
        <w:t>，</w:t>
      </w:r>
      <w:r>
        <w:rPr>
          <w:rFonts w:hint="eastAsia"/>
          <w:color w:val="auto"/>
          <w:highlight w:val="none"/>
          <w:lang w:val="en-US" w:eastAsia="zh-CN"/>
        </w:rPr>
        <w:t>后</w:t>
      </w:r>
      <w:r>
        <w:rPr>
          <w:rFonts w:hint="eastAsia"/>
          <w:color w:val="auto"/>
          <w:highlight w:val="none"/>
        </w:rPr>
        <w:t>调至龙泉庄水库调蓄</w:t>
      </w:r>
      <w:r>
        <w:rPr>
          <w:rFonts w:hint="eastAsia"/>
          <w:color w:val="auto"/>
          <w:highlight w:val="none"/>
          <w:lang w:eastAsia="zh-CN"/>
        </w:rPr>
        <w:t>。</w:t>
      </w:r>
      <w:r>
        <w:rPr>
          <w:rFonts w:hint="eastAsia"/>
          <w:color w:val="auto"/>
          <w:highlight w:val="none"/>
        </w:rPr>
        <w:t>由</w:t>
      </w:r>
      <w:r>
        <w:rPr>
          <w:rFonts w:hint="eastAsia"/>
          <w:color w:val="auto"/>
          <w:highlight w:val="none"/>
          <w:lang w:val="en-US" w:eastAsia="zh-CN"/>
        </w:rPr>
        <w:t>龙泉庄水库泵站</w:t>
      </w:r>
      <w:r>
        <w:rPr>
          <w:rFonts w:hint="eastAsia"/>
          <w:color w:val="auto"/>
          <w:highlight w:val="none"/>
        </w:rPr>
        <w:t>加压</w:t>
      </w:r>
      <w:r>
        <w:rPr>
          <w:rFonts w:hint="eastAsia"/>
          <w:color w:val="auto"/>
          <w:highlight w:val="none"/>
          <w:lang w:val="en-US" w:eastAsia="zh-CN"/>
        </w:rPr>
        <w:t>后</w:t>
      </w:r>
      <w:r>
        <w:rPr>
          <w:rFonts w:hint="eastAsia"/>
          <w:color w:val="auto"/>
          <w:highlight w:val="none"/>
        </w:rPr>
        <w:t>分别输送至</w:t>
      </w:r>
      <w:r>
        <w:rPr>
          <w:rFonts w:hint="eastAsia"/>
          <w:color w:val="auto"/>
          <w:highlight w:val="none"/>
          <w:lang w:val="en-US" w:eastAsia="zh-CN"/>
        </w:rPr>
        <w:t>龙泉庄水库水厂和西棠阴扬水站，再由西棠阴扬水站加压后输送至娘娘村水库、</w:t>
      </w:r>
      <w:r>
        <w:rPr>
          <w:rFonts w:hint="eastAsia"/>
          <w:color w:val="auto"/>
          <w:highlight w:val="none"/>
        </w:rPr>
        <w:t>东郊水厂</w:t>
      </w:r>
      <w:r>
        <w:rPr>
          <w:rFonts w:hint="eastAsia"/>
          <w:color w:val="auto"/>
          <w:highlight w:val="none"/>
          <w:lang w:val="en-US" w:eastAsia="zh-CN"/>
        </w:rPr>
        <w:t>和吴林扬水站，由吴林扬水站加压后送至魏楼扬水站，再由魏楼扬水站加压后送至</w:t>
      </w:r>
      <w:r>
        <w:rPr>
          <w:rFonts w:hint="eastAsia"/>
          <w:color w:val="auto"/>
          <w:highlight w:val="none"/>
        </w:rPr>
        <w:t>东部水厂</w:t>
      </w:r>
      <w:r>
        <w:rPr>
          <w:rFonts w:hint="eastAsia"/>
          <w:color w:val="auto"/>
          <w:highlight w:val="none"/>
          <w:lang w:eastAsia="zh-CN"/>
        </w:rPr>
        <w:t>；</w:t>
      </w:r>
      <w:r>
        <w:rPr>
          <w:rFonts w:hint="eastAsia"/>
          <w:color w:val="auto"/>
          <w:highlight w:val="none"/>
          <w:lang w:val="en-US" w:eastAsia="zh-CN"/>
        </w:rPr>
        <w:t>拟</w:t>
      </w:r>
      <w:r>
        <w:rPr>
          <w:rFonts w:hint="eastAsia"/>
          <w:color w:val="auto"/>
          <w:highlight w:val="none"/>
        </w:rPr>
        <w:t>铺设DN900球墨铸铁管道</w:t>
      </w:r>
      <w:r>
        <w:rPr>
          <w:rFonts w:hint="eastAsia"/>
          <w:color w:val="auto"/>
          <w:highlight w:val="none"/>
          <w:lang w:val="en-US" w:eastAsia="zh-CN"/>
        </w:rPr>
        <w:t>72.74</w:t>
      </w:r>
      <w:r>
        <w:rPr>
          <w:rFonts w:hint="eastAsia"/>
          <w:color w:val="auto"/>
          <w:highlight w:val="none"/>
        </w:rPr>
        <w:t>km</w:t>
      </w:r>
      <w:r>
        <w:rPr>
          <w:rFonts w:hint="eastAsia"/>
          <w:color w:val="auto"/>
          <w:highlight w:val="none"/>
          <w:lang w:eastAsia="zh-CN"/>
        </w:rPr>
        <w:t>。</w:t>
      </w:r>
    </w:p>
    <w:p>
      <w:pPr>
        <w:ind w:firstLine="480"/>
        <w:rPr>
          <w:color w:val="auto"/>
          <w:highlight w:val="none"/>
        </w:rPr>
      </w:pPr>
      <w:r>
        <w:rPr>
          <w:rFonts w:hint="eastAsia"/>
          <w:color w:val="auto"/>
          <w:highlight w:val="none"/>
        </w:rPr>
        <w:t>2、龙泉庄水库清淤扩容工程</w:t>
      </w:r>
    </w:p>
    <w:p>
      <w:pPr>
        <w:ind w:firstLine="480"/>
        <w:rPr>
          <w:color w:val="auto"/>
          <w:highlight w:val="none"/>
        </w:rPr>
      </w:pPr>
      <w:r>
        <w:rPr>
          <w:rFonts w:hint="eastAsia"/>
          <w:color w:val="auto"/>
          <w:highlight w:val="none"/>
        </w:rPr>
        <w:t>龙泉庄水库经过几十年运行，从未清淤，导致水库兴利库容不断萎缩，水库蓄水能力下降，亟需清淤。计划对龙泉庄水库实施清淤，恢复兴利库容29.78万m</w:t>
      </w:r>
      <w:r>
        <w:rPr>
          <w:rFonts w:hint="eastAsia"/>
          <w:color w:val="auto"/>
          <w:highlight w:val="none"/>
          <w:vertAlign w:val="superscript"/>
        </w:rPr>
        <w:t>3</w:t>
      </w:r>
      <w:r>
        <w:rPr>
          <w:rFonts w:hint="eastAsia"/>
          <w:color w:val="auto"/>
          <w:highlight w:val="none"/>
        </w:rPr>
        <w:t>。</w:t>
      </w:r>
    </w:p>
    <w:p>
      <w:pPr>
        <w:adjustRightInd w:val="0"/>
        <w:snapToGrid w:val="0"/>
        <w:ind w:firstLine="480"/>
        <w:rPr>
          <w:color w:val="auto"/>
          <w:highlight w:val="none"/>
        </w:rPr>
      </w:pPr>
      <w:r>
        <w:rPr>
          <w:rFonts w:hint="eastAsia"/>
          <w:color w:val="auto"/>
          <w:highlight w:val="none"/>
        </w:rPr>
        <w:t>水库扩容实施主要内容：水库大坝加高培厚、溢洪道改建并增设调节闸、放水洞改建、库区扩挖及库区周边抬田。</w:t>
      </w:r>
    </w:p>
    <w:p>
      <w:pPr>
        <w:ind w:firstLine="480"/>
        <w:rPr>
          <w:color w:val="auto"/>
          <w:highlight w:val="none"/>
        </w:rPr>
      </w:pPr>
      <w:r>
        <w:rPr>
          <w:rFonts w:hint="eastAsia"/>
          <w:color w:val="auto"/>
          <w:highlight w:val="none"/>
        </w:rPr>
        <w:t>3、</w:t>
      </w:r>
      <w:r>
        <w:rPr>
          <w:rFonts w:hint="eastAsia"/>
          <w:color w:val="auto"/>
          <w:highlight w:val="none"/>
          <w:lang w:val="en-US" w:eastAsia="zh-CN"/>
        </w:rPr>
        <w:t>龙泉庄水库水厂</w:t>
      </w:r>
      <w:r>
        <w:rPr>
          <w:rFonts w:hint="eastAsia"/>
          <w:color w:val="auto"/>
          <w:highlight w:val="none"/>
        </w:rPr>
        <w:t>工程</w:t>
      </w:r>
    </w:p>
    <w:p>
      <w:pPr>
        <w:ind w:firstLine="480"/>
        <w:rPr>
          <w:rFonts w:hint="eastAsia"/>
          <w:color w:val="auto"/>
          <w:highlight w:val="none"/>
          <w:lang w:val="en-US" w:eastAsia="zh-CN"/>
        </w:rPr>
      </w:pPr>
      <w:r>
        <w:rPr>
          <w:rFonts w:hint="eastAsia"/>
          <w:color w:val="auto"/>
          <w:highlight w:val="none"/>
          <w:lang w:val="en-US" w:eastAsia="zh-CN"/>
        </w:rPr>
        <w:t>龙泉庄水库水厂主要服务范围：榴园镇、阴平镇和古邵镇。净水厂日处理能力5万吨。新建龙泉庄水库水厂位于龙泉庄水库西北角，占地面积20亩，土地部分现状为林地，土地性质为坑塘水面及农用地-其他林地土地性质，土地权属分属为区城乡水务局及榴园镇龙泉村和马山套村。</w:t>
      </w:r>
    </w:p>
    <w:p>
      <w:pPr>
        <w:ind w:firstLine="480"/>
        <w:rPr>
          <w:rFonts w:hint="eastAsia"/>
          <w:color w:val="auto"/>
          <w:highlight w:val="none"/>
          <w:lang w:val="en-US" w:eastAsia="zh-CN"/>
        </w:rPr>
      </w:pPr>
      <w:r>
        <w:rPr>
          <w:rFonts w:hint="eastAsia"/>
          <w:color w:val="auto"/>
          <w:highlight w:val="none"/>
          <w:lang w:val="en-US" w:eastAsia="zh-CN"/>
        </w:rPr>
        <w:t>4、东郊水厂改扩建工程</w:t>
      </w:r>
    </w:p>
    <w:p>
      <w:pPr>
        <w:ind w:firstLine="480"/>
        <w:rPr>
          <w:rFonts w:hint="eastAsia"/>
          <w:color w:val="auto"/>
          <w:highlight w:val="none"/>
          <w:lang w:val="en-US" w:eastAsia="zh-CN"/>
        </w:rPr>
      </w:pPr>
      <w:r>
        <w:rPr>
          <w:rFonts w:hint="eastAsia"/>
          <w:color w:val="auto"/>
          <w:highlight w:val="none"/>
          <w:lang w:val="en-US" w:eastAsia="zh-CN"/>
        </w:rPr>
        <w:t>对现有东郊水厂实施改建为模块化地表水厂，设计净水能力3万m3/d，主要服务范围：峄城城区、坛山街道、吴林街道。位于峄城区坛山街道凤凰路东首路南，该水厂占地32亩，所有权属为峄城区城市供排水管理中心，全部为建设用地。</w:t>
      </w:r>
    </w:p>
    <w:p>
      <w:pPr>
        <w:ind w:firstLine="480"/>
        <w:rPr>
          <w:color w:val="auto"/>
          <w:highlight w:val="none"/>
        </w:rPr>
      </w:pPr>
      <w:r>
        <w:rPr>
          <w:rFonts w:hint="eastAsia"/>
          <w:color w:val="auto"/>
          <w:highlight w:val="none"/>
        </w:rPr>
        <w:t>5、东部水厂建设工程</w:t>
      </w:r>
    </w:p>
    <w:p>
      <w:pPr>
        <w:numPr>
          <w:ilvl w:val="0"/>
          <w:numId w:val="0"/>
        </w:numPr>
        <w:ind w:firstLine="480" w:firstLineChars="200"/>
        <w:rPr>
          <w:rFonts w:hint="default" w:ascii="仿宋_GB2312" w:hAnsi="仿宋_GB2312" w:eastAsia="仿宋_GB2312" w:cs="仿宋_GB2312"/>
          <w:color w:val="auto"/>
          <w:sz w:val="32"/>
          <w:szCs w:val="32"/>
          <w:highlight w:val="none"/>
          <w:lang w:val="en-US" w:eastAsia="zh-CN"/>
        </w:rPr>
      </w:pPr>
      <w:r>
        <w:rPr>
          <w:rFonts w:hint="eastAsia"/>
          <w:color w:val="auto"/>
          <w:highlight w:val="none"/>
        </w:rPr>
        <w:t>新建东部水厂，采用模块化净水设备，设计净水能力3万m</w:t>
      </w:r>
      <w:r>
        <w:rPr>
          <w:rFonts w:hint="eastAsia"/>
          <w:color w:val="auto"/>
          <w:highlight w:val="none"/>
          <w:vertAlign w:val="superscript"/>
        </w:rPr>
        <w:t>3</w:t>
      </w:r>
      <w:r>
        <w:rPr>
          <w:rFonts w:hint="eastAsia"/>
          <w:color w:val="auto"/>
          <w:highlight w:val="none"/>
        </w:rPr>
        <w:t>/d，主要服务范围：峨山镇、底阁镇。</w:t>
      </w:r>
      <w:r>
        <w:rPr>
          <w:rFonts w:hint="eastAsia"/>
          <w:color w:val="auto"/>
          <w:highlight w:val="none"/>
          <w:lang w:val="en-US" w:eastAsia="zh-CN"/>
        </w:rPr>
        <w:t>位于峨山镇前山头村西北，刘庄水库东侧，该地块现状为林地、裸岩地、土地性质为农用地-其它林地、未利用地，裸地，土地权属为峨山镇刘庄村，本次水厂用地约15亩。</w:t>
      </w:r>
    </w:p>
    <w:p>
      <w:pPr>
        <w:ind w:firstLine="480"/>
        <w:rPr>
          <w:color w:val="auto"/>
          <w:highlight w:val="none"/>
        </w:rPr>
      </w:pPr>
      <w:r>
        <w:rPr>
          <w:rFonts w:hint="eastAsia"/>
          <w:color w:val="auto"/>
          <w:highlight w:val="none"/>
        </w:rPr>
        <w:t>6、峄城区农村供水改造提升工程</w:t>
      </w:r>
    </w:p>
    <w:p>
      <w:pPr>
        <w:ind w:firstLine="480"/>
        <w:rPr>
          <w:color w:val="auto"/>
          <w:highlight w:val="none"/>
        </w:rPr>
      </w:pPr>
      <w:r>
        <w:rPr>
          <w:rFonts w:hint="eastAsia"/>
          <w:color w:val="auto"/>
          <w:highlight w:val="none"/>
        </w:rPr>
        <w:t>为保障农村饮用水水质安全，让村民喝上放心水，充分利用新建及扩建的西郊水厂、东部水厂及东郊水厂，铺设PE供水主管道与现有镇级和村级管网并网。共铺设管道149.12km，其中dn500PE管道2.30km，dn400PE管道21.40km，dn315PE管道38.55km，dn200PE管道21.30km，dn160PE管道37.74km，dn125PE管道6.39km，dn110PE管道11.50km，dn90PE管道8.14km，dn75PE管道1.80km；新建加压泵站5座；拆除恢复混凝土路面53500m</w:t>
      </w:r>
      <w:r>
        <w:rPr>
          <w:rFonts w:hint="eastAsia"/>
          <w:color w:val="auto"/>
          <w:highlight w:val="none"/>
          <w:vertAlign w:val="superscript"/>
        </w:rPr>
        <w:t>2</w:t>
      </w:r>
      <w:r>
        <w:rPr>
          <w:rFonts w:hint="eastAsia"/>
          <w:color w:val="auto"/>
          <w:highlight w:val="none"/>
        </w:rPr>
        <w:t>。</w:t>
      </w:r>
    </w:p>
    <w:p>
      <w:pPr>
        <w:ind w:firstLine="480"/>
        <w:rPr>
          <w:color w:val="auto"/>
          <w:highlight w:val="none"/>
        </w:rPr>
      </w:pPr>
      <w:r>
        <w:rPr>
          <w:rFonts w:hint="eastAsia"/>
          <w:color w:val="auto"/>
          <w:highlight w:val="none"/>
        </w:rPr>
        <w:t>7、</w:t>
      </w:r>
      <w:r>
        <w:rPr>
          <w:rFonts w:cs="Times New Roman"/>
          <w:color w:val="auto"/>
          <w:highlight w:val="none"/>
        </w:rPr>
        <w:t>峄城区东部地区水系连通工程</w:t>
      </w:r>
    </w:p>
    <w:p>
      <w:pPr>
        <w:ind w:firstLine="480"/>
        <w:rPr>
          <w:rFonts w:cs="Times New Roman"/>
          <w:color w:val="auto"/>
          <w:highlight w:val="none"/>
        </w:rPr>
      </w:pPr>
      <w:r>
        <w:rPr>
          <w:color w:val="auto"/>
          <w:highlight w:val="none"/>
        </w:rPr>
        <w:t>为提高灌溉水利用率，改善贾庄节制闸灌区管理设施和管理手段落后的现状，2019年峄城区水务局已对贾庄节制闸灌区实施节水配套改造工程，峄城区东部地区水系连通工程利用已完建的贾庄节制闸灌区实施节水配套改造工程进行延伸，在延伸管道</w:t>
      </w:r>
      <w:r>
        <w:rPr>
          <w:rFonts w:hint="eastAsia"/>
          <w:color w:val="auto"/>
          <w:highlight w:val="none"/>
        </w:rPr>
        <w:t>、渠道</w:t>
      </w:r>
      <w:r>
        <w:rPr>
          <w:color w:val="auto"/>
          <w:highlight w:val="none"/>
        </w:rPr>
        <w:t>与左庄沙河、大刘庄河、新沟河、拉沟河及陶沟河交叉处设分水口，适时对河道进行生态补水。</w:t>
      </w:r>
      <w:r>
        <w:rPr>
          <w:rFonts w:hint="eastAsia"/>
          <w:color w:val="auto"/>
          <w:highlight w:val="none"/>
        </w:rPr>
        <w:t>同时对</w:t>
      </w:r>
      <w:r>
        <w:rPr>
          <w:color w:val="auto"/>
          <w:highlight w:val="none"/>
        </w:rPr>
        <w:t>左庄沙河、大刘庄河、新沟河、拉沟河及陶沟河</w:t>
      </w:r>
      <w:r>
        <w:rPr>
          <w:rFonts w:hint="eastAsia"/>
          <w:color w:val="auto"/>
          <w:highlight w:val="none"/>
        </w:rPr>
        <w:t>进行综合整治</w:t>
      </w:r>
      <w:r>
        <w:rPr>
          <w:rFonts w:cs="Times New Roman"/>
          <w:color w:val="auto"/>
          <w:highlight w:val="none"/>
        </w:rPr>
        <w:t>，其中左庄河治理长度</w:t>
      </w:r>
      <w:r>
        <w:rPr>
          <w:rFonts w:hint="eastAsia" w:cs="Times New Roman"/>
          <w:color w:val="auto"/>
          <w:highlight w:val="none"/>
        </w:rPr>
        <w:t>6.50</w:t>
      </w:r>
      <w:r>
        <w:rPr>
          <w:rFonts w:cs="Times New Roman"/>
          <w:color w:val="auto"/>
          <w:highlight w:val="none"/>
        </w:rPr>
        <w:t>km；大刘庄河治理长度5.1</w:t>
      </w:r>
      <w:r>
        <w:rPr>
          <w:rFonts w:hint="eastAsia" w:cs="Times New Roman"/>
          <w:color w:val="auto"/>
          <w:highlight w:val="none"/>
        </w:rPr>
        <w:t>0</w:t>
      </w:r>
      <w:r>
        <w:rPr>
          <w:rFonts w:cs="Times New Roman"/>
          <w:color w:val="auto"/>
          <w:highlight w:val="none"/>
        </w:rPr>
        <w:t>km；新沟河（西支）治理长度5.70km；新沟河（东支）治理长度9.</w:t>
      </w:r>
      <w:r>
        <w:rPr>
          <w:rFonts w:hint="eastAsia" w:cs="Times New Roman"/>
          <w:color w:val="auto"/>
          <w:highlight w:val="none"/>
        </w:rPr>
        <w:t>4</w:t>
      </w:r>
      <w:r>
        <w:rPr>
          <w:rFonts w:cs="Times New Roman"/>
          <w:color w:val="auto"/>
          <w:highlight w:val="none"/>
        </w:rPr>
        <w:t>0km；拉沟河治理长度6.</w:t>
      </w:r>
      <w:r>
        <w:rPr>
          <w:rFonts w:hint="eastAsia" w:cs="Times New Roman"/>
          <w:color w:val="auto"/>
          <w:highlight w:val="none"/>
        </w:rPr>
        <w:t>6</w:t>
      </w:r>
      <w:r>
        <w:rPr>
          <w:rFonts w:cs="Times New Roman"/>
          <w:color w:val="auto"/>
          <w:highlight w:val="none"/>
        </w:rPr>
        <w:t>0km；陶沟河治理长度5.</w:t>
      </w:r>
      <w:r>
        <w:rPr>
          <w:rFonts w:hint="eastAsia" w:cs="Times New Roman"/>
          <w:color w:val="auto"/>
          <w:highlight w:val="none"/>
        </w:rPr>
        <w:t>3</w:t>
      </w:r>
      <w:r>
        <w:rPr>
          <w:rFonts w:cs="Times New Roman"/>
          <w:color w:val="auto"/>
          <w:highlight w:val="none"/>
        </w:rPr>
        <w:t>0km</w:t>
      </w:r>
      <w:r>
        <w:rPr>
          <w:rFonts w:hint="eastAsia" w:cs="Times New Roman"/>
          <w:color w:val="auto"/>
          <w:highlight w:val="none"/>
        </w:rPr>
        <w:t>，</w:t>
      </w:r>
      <w:r>
        <w:rPr>
          <w:rFonts w:cs="Times New Roman"/>
          <w:color w:val="auto"/>
          <w:highlight w:val="none"/>
        </w:rPr>
        <w:t>河道综合整治工程主要工程内容：</w:t>
      </w:r>
      <w:r>
        <w:rPr>
          <w:color w:val="auto"/>
          <w:highlight w:val="none"/>
        </w:rPr>
        <w:t>清淤疏浚</w:t>
      </w:r>
      <w:r>
        <w:rPr>
          <w:rFonts w:hint="eastAsia"/>
          <w:color w:val="auto"/>
          <w:highlight w:val="none"/>
          <w:lang w:val="en-US" w:eastAsia="zh-CN"/>
        </w:rPr>
        <w:t>河道总长38.60km，并对治理河道进行</w:t>
      </w:r>
      <w:r>
        <w:rPr>
          <w:color w:val="auto"/>
          <w:highlight w:val="none"/>
        </w:rPr>
        <w:t>堤防填筑</w:t>
      </w:r>
      <w:r>
        <w:rPr>
          <w:rFonts w:hint="eastAsia"/>
          <w:color w:val="auto"/>
          <w:highlight w:val="none"/>
          <w:lang w:eastAsia="zh-CN"/>
        </w:rPr>
        <w:t>，</w:t>
      </w:r>
      <w:r>
        <w:rPr>
          <w:rFonts w:hint="eastAsia"/>
          <w:color w:val="auto"/>
          <w:highlight w:val="none"/>
          <w:lang w:val="en-US" w:eastAsia="zh-CN"/>
        </w:rPr>
        <w:t>沿途新建拦蓄水建筑物，拆除重建交通桥等</w:t>
      </w:r>
      <w:r>
        <w:rPr>
          <w:color w:val="auto"/>
          <w:highlight w:val="none"/>
        </w:rPr>
        <w:t>。</w:t>
      </w:r>
    </w:p>
    <w:p>
      <w:pPr>
        <w:pStyle w:val="4"/>
        <w:rPr>
          <w:color w:val="auto"/>
          <w:highlight w:val="none"/>
        </w:rPr>
      </w:pPr>
      <w:r>
        <w:rPr>
          <w:rFonts w:hint="eastAsia"/>
          <w:color w:val="auto"/>
          <w:highlight w:val="none"/>
        </w:rPr>
        <w:t>1.3.3</w:t>
      </w:r>
      <w:r>
        <w:rPr>
          <w:color w:val="auto"/>
          <w:highlight w:val="none"/>
        </w:rPr>
        <w:t>项目实施进度</w:t>
      </w:r>
    </w:p>
    <w:p>
      <w:pPr>
        <w:ind w:firstLine="480"/>
        <w:rPr>
          <w:color w:val="auto"/>
          <w:highlight w:val="none"/>
        </w:rPr>
      </w:pPr>
      <w:r>
        <w:rPr>
          <w:rFonts w:hint="eastAsia"/>
          <w:color w:val="auto"/>
          <w:highlight w:val="none"/>
        </w:rPr>
        <w:t>根据本项目的自然条件、工程量及业主的实际需要和要求，确定本</w:t>
      </w:r>
      <w:r>
        <w:rPr>
          <w:color w:val="auto"/>
          <w:highlight w:val="none"/>
        </w:rPr>
        <w:t>项目</w:t>
      </w:r>
      <w:r>
        <w:rPr>
          <w:rFonts w:hint="eastAsia"/>
          <w:color w:val="auto"/>
          <w:highlight w:val="none"/>
        </w:rPr>
        <w:t>总工期为24个月</w:t>
      </w:r>
      <w:r>
        <w:rPr>
          <w:color w:val="auto"/>
          <w:highlight w:val="none"/>
        </w:rPr>
        <w:t>，</w:t>
      </w:r>
      <w:r>
        <w:rPr>
          <w:rFonts w:ascii="Times New Roman" w:eastAsia="Times New Roman"/>
          <w:color w:val="auto"/>
          <w:highlight w:val="none"/>
        </w:rPr>
        <w:t>202</w:t>
      </w:r>
      <w:r>
        <w:rPr>
          <w:rFonts w:hint="eastAsia" w:ascii="Times New Roman"/>
          <w:color w:val="auto"/>
          <w:highlight w:val="none"/>
          <w:lang w:val="en-US" w:eastAsia="zh-CN"/>
        </w:rPr>
        <w:t>1</w:t>
      </w:r>
      <w:r>
        <w:rPr>
          <w:rFonts w:ascii="Times New Roman" w:eastAsia="Times New Roman"/>
          <w:color w:val="auto"/>
          <w:highlight w:val="none"/>
        </w:rPr>
        <w:t xml:space="preserve"> </w:t>
      </w:r>
      <w:r>
        <w:rPr>
          <w:color w:val="auto"/>
          <w:highlight w:val="none"/>
        </w:rPr>
        <w:t xml:space="preserve">年 </w:t>
      </w:r>
      <w:r>
        <w:rPr>
          <w:rFonts w:ascii="Times New Roman" w:eastAsia="Times New Roman"/>
          <w:color w:val="auto"/>
          <w:highlight w:val="none"/>
        </w:rPr>
        <w:t xml:space="preserve">10 </w:t>
      </w:r>
      <w:r>
        <w:rPr>
          <w:color w:val="auto"/>
          <w:highlight w:val="none"/>
        </w:rPr>
        <w:t xml:space="preserve">月开工建设，预计 </w:t>
      </w:r>
      <w:r>
        <w:rPr>
          <w:rFonts w:ascii="Times New Roman" w:eastAsia="Times New Roman"/>
          <w:color w:val="auto"/>
          <w:highlight w:val="none"/>
        </w:rPr>
        <w:t>202</w:t>
      </w:r>
      <w:r>
        <w:rPr>
          <w:rFonts w:hint="eastAsia" w:ascii="Times New Roman"/>
          <w:color w:val="auto"/>
          <w:highlight w:val="none"/>
          <w:lang w:val="en-US" w:eastAsia="zh-CN"/>
        </w:rPr>
        <w:t>3</w:t>
      </w:r>
      <w:r>
        <w:rPr>
          <w:rFonts w:ascii="Times New Roman" w:eastAsia="Times New Roman"/>
          <w:color w:val="auto"/>
          <w:highlight w:val="none"/>
        </w:rPr>
        <w:t xml:space="preserve"> </w:t>
      </w:r>
      <w:r>
        <w:rPr>
          <w:color w:val="auto"/>
          <w:highlight w:val="none"/>
        </w:rPr>
        <w:t xml:space="preserve">年 </w:t>
      </w:r>
      <w:r>
        <w:rPr>
          <w:rFonts w:hint="eastAsia" w:ascii="Times New Roman"/>
          <w:color w:val="auto"/>
          <w:highlight w:val="none"/>
          <w:lang w:val="en-US" w:eastAsia="zh-CN"/>
        </w:rPr>
        <w:t>10</w:t>
      </w:r>
      <w:r>
        <w:rPr>
          <w:rFonts w:ascii="Times New Roman" w:eastAsia="Times New Roman"/>
          <w:color w:val="auto"/>
          <w:highlight w:val="none"/>
        </w:rPr>
        <w:t xml:space="preserve"> </w:t>
      </w:r>
      <w:r>
        <w:rPr>
          <w:color w:val="auto"/>
          <w:highlight w:val="none"/>
        </w:rPr>
        <w:t>月竣工验收。</w:t>
      </w:r>
    </w:p>
    <w:p>
      <w:pPr>
        <w:pStyle w:val="4"/>
        <w:rPr>
          <w:color w:val="auto"/>
          <w:highlight w:val="none"/>
        </w:rPr>
      </w:pPr>
      <w:r>
        <w:rPr>
          <w:rFonts w:hint="eastAsia"/>
          <w:color w:val="auto"/>
          <w:highlight w:val="none"/>
        </w:rPr>
        <w:t>1.3.4工程投资及资金筹措</w:t>
      </w:r>
    </w:p>
    <w:p>
      <w:pPr>
        <w:ind w:firstLine="480"/>
        <w:rPr>
          <w:rFonts w:hint="eastAsia" w:ascii="Times New Roman" w:hAnsi="Times New Roman"/>
          <w:color w:val="auto"/>
          <w:highlight w:val="none"/>
        </w:rPr>
      </w:pPr>
      <w:r>
        <w:rPr>
          <w:rFonts w:hint="eastAsia" w:ascii="Times New Roman" w:hAnsi="Times New Roman"/>
          <w:color w:val="auto"/>
          <w:highlight w:val="none"/>
        </w:rPr>
        <w:t>1、工程估算</w:t>
      </w:r>
    </w:p>
    <w:p>
      <w:pPr>
        <w:ind w:firstLine="480"/>
        <w:rPr>
          <w:rFonts w:hint="default" w:ascii="Times New Roman" w:hAnsi="Times New Roman"/>
          <w:color w:val="auto"/>
          <w:highlight w:val="none"/>
          <w:lang w:val="en-US" w:eastAsia="zh-CN"/>
        </w:rPr>
      </w:pPr>
      <w:r>
        <w:rPr>
          <w:rFonts w:hint="default" w:ascii="Times New Roman" w:hAnsi="Times New Roman"/>
          <w:color w:val="auto"/>
          <w:highlight w:val="none"/>
        </w:rPr>
        <w:t>峄城区城乡供水一体化项目工程建设投资</w:t>
      </w:r>
      <w:r>
        <w:rPr>
          <w:rFonts w:hint="eastAsia"/>
          <w:color w:val="auto"/>
          <w:highlight w:val="none"/>
          <w:lang w:eastAsia="zh-CN"/>
        </w:rPr>
        <w:t>120643.69</w:t>
      </w:r>
      <w:r>
        <w:rPr>
          <w:rFonts w:hint="default" w:ascii="Times New Roman" w:hAnsi="Times New Roman"/>
          <w:color w:val="auto"/>
          <w:highlight w:val="none"/>
        </w:rPr>
        <w:t xml:space="preserve"> 万元，其中工程部分投资 93225.95 万元，临时工程费 3262.91 万元，独立费用 12447.07 万元，水土保持投资为 570.01 万元，环境保护投资为 244.16 万元，基本预备费 10893.59 万元</w:t>
      </w:r>
      <w:r>
        <w:rPr>
          <w:rFonts w:hint="default" w:ascii="Times New Roman" w:hAnsi="Times New Roman"/>
          <w:color w:val="auto"/>
          <w:highlight w:val="none"/>
          <w:lang w:val="en-US" w:eastAsia="zh-CN"/>
        </w:rPr>
        <w:t>。</w:t>
      </w:r>
    </w:p>
    <w:p>
      <w:pPr>
        <w:ind w:firstLine="480"/>
        <w:rPr>
          <w:rFonts w:hint="eastAsia" w:ascii="Times New Roman" w:hAnsi="Times New Roman"/>
          <w:color w:val="auto"/>
          <w:highlight w:val="none"/>
        </w:rPr>
      </w:pPr>
      <w:r>
        <w:rPr>
          <w:rFonts w:hint="eastAsia" w:ascii="Times New Roman" w:hAnsi="Times New Roman"/>
          <w:color w:val="auto"/>
          <w:highlight w:val="none"/>
        </w:rPr>
        <w:t>2、资金筹措</w:t>
      </w:r>
    </w:p>
    <w:p>
      <w:pPr>
        <w:ind w:firstLine="480"/>
        <w:rPr>
          <w:rFonts w:hint="eastAsia" w:ascii="Times New Roman" w:hAnsi="Times New Roman"/>
          <w:color w:val="auto"/>
          <w:highlight w:val="none"/>
        </w:rPr>
      </w:pPr>
      <w:r>
        <w:rPr>
          <w:rFonts w:hint="eastAsia" w:ascii="Times New Roman" w:hAnsi="Times New Roman"/>
          <w:color w:val="auto"/>
          <w:highlight w:val="none"/>
        </w:rPr>
        <w:t>该工程建设总投资</w:t>
      </w:r>
      <w:r>
        <w:rPr>
          <w:rFonts w:hint="eastAsia"/>
          <w:color w:val="auto"/>
          <w:highlight w:val="none"/>
          <w:lang w:eastAsia="zh-CN"/>
        </w:rPr>
        <w:t>120643.69</w:t>
      </w:r>
      <w:r>
        <w:rPr>
          <w:rFonts w:hint="eastAsia" w:ascii="Times New Roman" w:hAnsi="Times New Roman"/>
          <w:color w:val="auto"/>
          <w:highlight w:val="none"/>
        </w:rPr>
        <w:t xml:space="preserve"> 万元，资金筹措方案为：</w:t>
      </w:r>
    </w:p>
    <w:p>
      <w:pPr>
        <w:ind w:firstLine="480"/>
        <w:rPr>
          <w:rFonts w:hint="eastAsia" w:ascii="Times New Roman" w:hAnsi="Times New Roman"/>
          <w:color w:val="auto"/>
          <w:highlight w:val="none"/>
        </w:rPr>
      </w:pPr>
      <w:r>
        <w:rPr>
          <w:rFonts w:hint="eastAsia" w:ascii="Times New Roman" w:hAnsi="Times New Roman"/>
          <w:color w:val="auto"/>
          <w:highlight w:val="none"/>
        </w:rPr>
        <w:t xml:space="preserve">（1）申请银行贷款 </w:t>
      </w:r>
      <w:r>
        <w:rPr>
          <w:rFonts w:hint="eastAsia" w:ascii="Times New Roman" w:hAnsi="Times New Roman"/>
          <w:color w:val="auto"/>
          <w:highlight w:val="none"/>
          <w:lang w:val="en-US" w:eastAsia="zh-CN"/>
        </w:rPr>
        <w:t>80</w:t>
      </w:r>
      <w:r>
        <w:rPr>
          <w:rFonts w:hint="eastAsia" w:ascii="Times New Roman" w:hAnsi="Times New Roman"/>
          <w:color w:val="auto"/>
          <w:highlight w:val="none"/>
        </w:rPr>
        <w:t xml:space="preserve">000.00  万元，占投资的 </w:t>
      </w:r>
      <w:r>
        <w:rPr>
          <w:rFonts w:hint="eastAsia" w:ascii="Times New Roman" w:hAnsi="Times New Roman"/>
          <w:color w:val="auto"/>
          <w:highlight w:val="none"/>
          <w:lang w:val="en-US" w:eastAsia="zh-CN"/>
        </w:rPr>
        <w:t>64.89</w:t>
      </w:r>
      <w:r>
        <w:rPr>
          <w:rFonts w:hint="eastAsia" w:ascii="Times New Roman" w:hAnsi="Times New Roman"/>
          <w:color w:val="auto"/>
          <w:highlight w:val="none"/>
        </w:rPr>
        <w:t>%；</w:t>
      </w:r>
    </w:p>
    <w:p>
      <w:pPr>
        <w:ind w:firstLine="480"/>
        <w:rPr>
          <w:rFonts w:hint="eastAsia" w:ascii="Times New Roman" w:hAnsi="Times New Roman"/>
          <w:color w:val="auto"/>
          <w:highlight w:val="none"/>
        </w:rPr>
      </w:pPr>
      <w:r>
        <w:rPr>
          <w:rFonts w:hint="eastAsia" w:ascii="Times New Roman" w:hAnsi="Times New Roman"/>
          <w:color w:val="auto"/>
          <w:highlight w:val="none"/>
        </w:rPr>
        <w:t xml:space="preserve">（2）其余 </w:t>
      </w:r>
      <w:r>
        <w:rPr>
          <w:rFonts w:hint="eastAsia"/>
          <w:color w:val="auto"/>
          <w:highlight w:val="none"/>
          <w:lang w:val="en-US" w:eastAsia="zh-CN"/>
        </w:rPr>
        <w:t>40643</w:t>
      </w:r>
      <w:r>
        <w:rPr>
          <w:rFonts w:hint="eastAsia" w:ascii="Times New Roman" w:hAnsi="Times New Roman"/>
          <w:color w:val="auto"/>
          <w:highlight w:val="none"/>
          <w:lang w:val="en-US" w:eastAsia="zh-CN"/>
        </w:rPr>
        <w:t>.69</w:t>
      </w:r>
      <w:r>
        <w:rPr>
          <w:rFonts w:hint="eastAsia" w:ascii="Times New Roman" w:hAnsi="Times New Roman"/>
          <w:color w:val="auto"/>
          <w:highlight w:val="none"/>
        </w:rPr>
        <w:t xml:space="preserve">  万元由项目单位自筹解决，占投资的 </w:t>
      </w:r>
      <w:r>
        <w:rPr>
          <w:rFonts w:hint="eastAsia" w:ascii="Times New Roman" w:hAnsi="Times New Roman"/>
          <w:color w:val="auto"/>
          <w:highlight w:val="none"/>
          <w:lang w:val="en-US" w:eastAsia="zh-CN"/>
        </w:rPr>
        <w:t>35.11</w:t>
      </w:r>
      <w:r>
        <w:rPr>
          <w:rFonts w:hint="eastAsia" w:ascii="Times New Roman" w:hAnsi="Times New Roman"/>
          <w:color w:val="auto"/>
          <w:highlight w:val="none"/>
        </w:rPr>
        <w:t>%。</w:t>
      </w:r>
    </w:p>
    <w:p>
      <w:pPr>
        <w:widowControl/>
        <w:spacing w:line="240" w:lineRule="auto"/>
        <w:ind w:firstLine="0" w:firstLineChars="0"/>
        <w:jc w:val="left"/>
        <w:rPr>
          <w:b/>
          <w:bCs/>
          <w:color w:val="auto"/>
          <w:kern w:val="44"/>
          <w:sz w:val="32"/>
          <w:szCs w:val="44"/>
          <w:highlight w:val="none"/>
        </w:rPr>
      </w:pPr>
      <w:r>
        <w:rPr>
          <w:color w:val="auto"/>
          <w:highlight w:val="none"/>
        </w:rPr>
        <w:br w:type="page"/>
      </w:r>
    </w:p>
    <w:p>
      <w:pPr>
        <w:pStyle w:val="2"/>
        <w:spacing w:before="31" w:after="31"/>
        <w:rPr>
          <w:color w:val="auto"/>
          <w:highlight w:val="none"/>
        </w:rPr>
      </w:pPr>
      <w:bookmarkStart w:id="15" w:name="_Toc14641"/>
      <w:r>
        <w:rPr>
          <w:rFonts w:hint="eastAsia"/>
          <w:color w:val="auto"/>
          <w:highlight w:val="none"/>
        </w:rPr>
        <w:t>2工程建设的必要性</w:t>
      </w:r>
      <w:bookmarkEnd w:id="15"/>
    </w:p>
    <w:p>
      <w:pPr>
        <w:pStyle w:val="3"/>
        <w:rPr>
          <w:color w:val="auto"/>
          <w:highlight w:val="none"/>
        </w:rPr>
      </w:pPr>
      <w:bookmarkStart w:id="16" w:name="_Toc19750"/>
      <w:r>
        <w:rPr>
          <w:rFonts w:hint="eastAsia"/>
          <w:color w:val="auto"/>
          <w:highlight w:val="none"/>
        </w:rPr>
        <w:t>2.1工程提出的背景</w:t>
      </w:r>
      <w:bookmarkEnd w:id="16"/>
    </w:p>
    <w:p>
      <w:pPr>
        <w:ind w:firstLine="480"/>
        <w:rPr>
          <w:color w:val="auto"/>
          <w:highlight w:val="none"/>
        </w:rPr>
      </w:pPr>
      <w:r>
        <w:rPr>
          <w:rFonts w:hint="eastAsia"/>
          <w:color w:val="auto"/>
          <w:highlight w:val="none"/>
        </w:rPr>
        <w:t>水是人类生存的最基本的条件，饮水安全是人类生存的基本需要，直接关系到人的身心健康和正常生活。党的十九大以来，习近平总书记站在党和国家事业发展全局的战略高度，对水的问题多次发表重要论述，明确要求不能把饮水不安全带入小康社会；李克强总理强调，要让所有农村居民都能喝上干净的水。2018年10月11日，水利部、国务院扶贫办、卫生健康委联合召开了实施水利扶贫三年行动暨坚决打赢农村饮水安全脱贫攻坚战视频会，要求各地高度重视，狠抓工程建设，强化运行管护，2020年底彻底解决农村饮水安全问题。</w:t>
      </w:r>
    </w:p>
    <w:p>
      <w:pPr>
        <w:ind w:firstLine="480"/>
        <w:rPr>
          <w:color w:val="auto"/>
          <w:highlight w:val="none"/>
        </w:rPr>
      </w:pPr>
      <w:r>
        <w:rPr>
          <w:color w:val="auto"/>
          <w:highlight w:val="none"/>
        </w:rPr>
        <w:t>山东省委、省政府对农村饮水安全问题高度重视，为解决困扰农村群众饮水问题采取了一系列的措施，逐步实施了全省村村通自来水工程，促进了农村饮水安全工程的发展。特别是农村饮水安全“十</w:t>
      </w:r>
      <w:r>
        <w:rPr>
          <w:rFonts w:hint="eastAsia"/>
          <w:color w:val="auto"/>
          <w:highlight w:val="none"/>
        </w:rPr>
        <w:t>二</w:t>
      </w:r>
      <w:r>
        <w:rPr>
          <w:color w:val="auto"/>
          <w:highlight w:val="none"/>
        </w:rPr>
        <w:t>五”规划及“十</w:t>
      </w:r>
      <w:r>
        <w:rPr>
          <w:rFonts w:hint="eastAsia"/>
          <w:color w:val="auto"/>
          <w:highlight w:val="none"/>
        </w:rPr>
        <w:t>三</w:t>
      </w:r>
      <w:r>
        <w:rPr>
          <w:color w:val="auto"/>
          <w:highlight w:val="none"/>
        </w:rPr>
        <w:t>五”规划实施以来，工程建设和运行管理水平、水源保护、水质监测和供水保证率得到极大提高，极大改善了农村生活环境和卫生条件，农村饮水安全工程取得了巨大成绩。</w:t>
      </w:r>
    </w:p>
    <w:p>
      <w:pPr>
        <w:ind w:firstLine="480"/>
        <w:rPr>
          <w:color w:val="auto"/>
          <w:highlight w:val="none"/>
        </w:rPr>
      </w:pPr>
      <w:r>
        <w:rPr>
          <w:rFonts w:hint="eastAsia"/>
          <w:color w:val="auto"/>
          <w:highlight w:val="none"/>
        </w:rPr>
        <w:t>按照峄城区水资源“统一规划，统一建设、统一管理、统一调配”的原则，创新水利发展机制，搭建城乡一体化的水务平台，构建水资源优化配置和高效利用体系，优化用水结构，合理配置水资源，实现水利城乡统筹，高效利用、体制健全的新格局，加快实现水资源的“三个转变”建设节水型社会。</w:t>
      </w:r>
    </w:p>
    <w:p>
      <w:pPr>
        <w:pStyle w:val="3"/>
        <w:rPr>
          <w:color w:val="auto"/>
          <w:highlight w:val="none"/>
        </w:rPr>
      </w:pPr>
      <w:bookmarkStart w:id="17" w:name="_Toc3516"/>
      <w:r>
        <w:rPr>
          <w:rFonts w:hint="eastAsia"/>
          <w:color w:val="auto"/>
          <w:highlight w:val="none"/>
        </w:rPr>
        <w:t>2.2工程建设的必要性</w:t>
      </w:r>
      <w:bookmarkEnd w:id="17"/>
    </w:p>
    <w:p>
      <w:pPr>
        <w:ind w:firstLine="480"/>
        <w:rPr>
          <w:color w:val="auto"/>
          <w:highlight w:val="none"/>
        </w:rPr>
      </w:pPr>
      <w:r>
        <w:rPr>
          <w:rFonts w:hint="eastAsia"/>
          <w:color w:val="auto"/>
          <w:highlight w:val="none"/>
        </w:rPr>
        <w:t>1</w:t>
      </w:r>
      <w:r>
        <w:rPr>
          <w:color w:val="auto"/>
          <w:highlight w:val="none"/>
        </w:rPr>
        <w:t>、项目建设符合国家产业政策及相关规划</w:t>
      </w:r>
    </w:p>
    <w:p>
      <w:pPr>
        <w:ind w:firstLine="480"/>
        <w:rPr>
          <w:color w:val="auto"/>
          <w:highlight w:val="none"/>
        </w:rPr>
      </w:pPr>
      <w:r>
        <w:rPr>
          <w:color w:val="auto"/>
          <w:highlight w:val="none"/>
        </w:rPr>
        <w:t>根据国家发改委下发的《产业结构调整指导目录（201</w:t>
      </w:r>
      <w:r>
        <w:rPr>
          <w:rFonts w:hint="eastAsia"/>
          <w:color w:val="auto"/>
          <w:highlight w:val="none"/>
        </w:rPr>
        <w:t>9</w:t>
      </w:r>
      <w:r>
        <w:rPr>
          <w:color w:val="auto"/>
          <w:highlight w:val="none"/>
        </w:rPr>
        <w:t>年本）》（修正）（发展改革委令201</w:t>
      </w:r>
      <w:r>
        <w:rPr>
          <w:rFonts w:hint="eastAsia"/>
          <w:color w:val="auto"/>
          <w:highlight w:val="none"/>
        </w:rPr>
        <w:t>9</w:t>
      </w:r>
      <w:r>
        <w:rPr>
          <w:color w:val="auto"/>
          <w:highlight w:val="none"/>
        </w:rPr>
        <w:t>第</w:t>
      </w:r>
      <w:r>
        <w:rPr>
          <w:rFonts w:hint="eastAsia"/>
          <w:color w:val="auto"/>
          <w:highlight w:val="none"/>
        </w:rPr>
        <w:t>29</w:t>
      </w:r>
      <w:r>
        <w:rPr>
          <w:color w:val="auto"/>
          <w:highlight w:val="none"/>
        </w:rPr>
        <w:t>号），该项目属于鼓励类第二项“水利”第1条“江河堤防建设及河道、水库治理工程”、</w:t>
      </w:r>
      <w:r>
        <w:rPr>
          <w:rFonts w:hint="eastAsia"/>
          <w:color w:val="auto"/>
          <w:highlight w:val="none"/>
        </w:rPr>
        <w:t>第2条“跨流域调水工程”、第3条城乡供水水源工程、第4条“农村饮水安全工程”第6条“</w:t>
      </w:r>
      <w:r>
        <w:rPr>
          <w:color w:val="auto"/>
          <w:highlight w:val="none"/>
        </w:rPr>
        <w:t>江河湖库清淤疏浚工程</w:t>
      </w:r>
      <w:r>
        <w:rPr>
          <w:rFonts w:hint="eastAsia"/>
          <w:color w:val="auto"/>
          <w:highlight w:val="none"/>
        </w:rPr>
        <w:t>”</w:t>
      </w:r>
      <w:r>
        <w:rPr>
          <w:color w:val="auto"/>
          <w:highlight w:val="none"/>
        </w:rPr>
        <w:t>，符合国家产业政策。</w:t>
      </w:r>
    </w:p>
    <w:p>
      <w:pPr>
        <w:ind w:firstLine="480"/>
        <w:rPr>
          <w:color w:val="auto"/>
          <w:highlight w:val="none"/>
        </w:rPr>
      </w:pPr>
      <w:r>
        <w:rPr>
          <w:color w:val="auto"/>
          <w:highlight w:val="none"/>
        </w:rPr>
        <w:t>《中华人民共和国国民经济和社会发展第十三个五年规划纲要》中提出：加快完善水利基础设施网络，推进水资源科学开发、合理调配、节约使用、高效利用，全面提升水安全保障能力。</w:t>
      </w:r>
    </w:p>
    <w:p>
      <w:pPr>
        <w:ind w:firstLine="480"/>
        <w:rPr>
          <w:color w:val="auto"/>
          <w:highlight w:val="none"/>
        </w:rPr>
      </w:pPr>
      <w:r>
        <w:rPr>
          <w:color w:val="auto"/>
          <w:highlight w:val="none"/>
        </w:rPr>
        <w:t>完善综合防洪减灾体系。加强江河湖泊治理骨干工程建设，继续推进大江大河大湖堤防加固、河道治理、控制性枢纽和蓄滞洪区建设。加快中小河流治理、山洪灾害防治、病险水库水闸除险加固，推进重点海堤达标建设。加强气象水文监测和雨情水情预报，强化洪水风险管理，提高防洪减灾水平。</w:t>
      </w:r>
    </w:p>
    <w:p>
      <w:pPr>
        <w:ind w:firstLine="480"/>
        <w:rPr>
          <w:color w:val="auto"/>
          <w:highlight w:val="none"/>
        </w:rPr>
      </w:pPr>
      <w:r>
        <w:rPr>
          <w:color w:val="auto"/>
          <w:highlight w:val="none"/>
        </w:rPr>
        <w:t>中央水利工作会议对下一阶段的水利重点工作作出安排：要全面提高防汛抗旱减灾能力，加快中小河流治理，加快小型水库除险加固步伐，加快山洪灾害防治，加快抗旱水源建设。要大力推进节水型社会建设，实行最严格的水资源管理制度，建立健全节约用水的利益调节机制，大力推广节水技术和产品。要加大水生态治理和水环境保护力度，加强水污染防治，实施地下水超采治理和保护，推进生态脆弱河湖修复，继续加强水土保持。要健全加快水利发展的保障机制，加大水利建设投入，推进水利改革创新，加快水利科技进步。</w:t>
      </w:r>
    </w:p>
    <w:p>
      <w:pPr>
        <w:ind w:firstLine="480"/>
        <w:rPr>
          <w:color w:val="auto"/>
          <w:highlight w:val="none"/>
        </w:rPr>
      </w:pPr>
      <w:r>
        <w:rPr>
          <w:rFonts w:hint="eastAsia"/>
          <w:color w:val="auto"/>
          <w:highlight w:val="none"/>
        </w:rPr>
        <w:t>2</w:t>
      </w:r>
      <w:r>
        <w:rPr>
          <w:color w:val="auto"/>
          <w:highlight w:val="none"/>
        </w:rPr>
        <w:t>、项目的建设符合地方发展规划</w:t>
      </w:r>
    </w:p>
    <w:p>
      <w:pPr>
        <w:ind w:firstLine="480"/>
        <w:rPr>
          <w:color w:val="auto"/>
          <w:highlight w:val="none"/>
        </w:rPr>
      </w:pPr>
      <w:r>
        <w:rPr>
          <w:color w:val="auto"/>
          <w:highlight w:val="none"/>
        </w:rPr>
        <w:t>《山</w:t>
      </w:r>
      <w:r>
        <w:rPr>
          <w:color w:val="auto"/>
          <w:highlight w:val="none"/>
          <w:lang w:val="zh-CN"/>
        </w:rPr>
        <w:t>东省国民经济和社会发展第十三个五年规划纲要》中提出：加快完善供水保障体系。加快推进流域和区域河湖水系连通工程，优化水资源配置格局，构建布局合理、余缺互补、优化配置、高效利用的现代生态水网。加强雨洪资源利用，加快大中型水库增容、新建水库和河道拦蓄、跨流域雨洪资源调配等工程建设。</w:t>
      </w:r>
    </w:p>
    <w:p>
      <w:pPr>
        <w:ind w:firstLine="480"/>
        <w:rPr>
          <w:color w:val="auto"/>
          <w:highlight w:val="none"/>
          <w:lang w:val="zh-CN"/>
        </w:rPr>
      </w:pPr>
      <w:r>
        <w:rPr>
          <w:color w:val="auto"/>
          <w:highlight w:val="none"/>
          <w:lang w:val="zh-CN"/>
        </w:rPr>
        <w:t>《山东省水利发展“十三五”规划》中提出：以增强水利对社会可持续发展支撑保障能力为目标，以优化水资源配置格局为重点，按照“确有需要、生态安全、可以持续”的原则，在科学论证的前提下，集中力量建设一批打基础、管长远、促发展、惠民生的节水供水重大水利工程，加强突出薄弱环节建设，完善水利基础设施网络。</w:t>
      </w:r>
    </w:p>
    <w:p>
      <w:pPr>
        <w:ind w:firstLine="480"/>
        <w:rPr>
          <w:rFonts w:hint="eastAsia"/>
          <w:color w:val="auto"/>
          <w:highlight w:val="none"/>
          <w:lang w:val="en-US" w:eastAsia="zh-CN"/>
        </w:rPr>
      </w:pPr>
      <w:r>
        <w:rPr>
          <w:rFonts w:hint="eastAsia"/>
          <w:color w:val="auto"/>
          <w:highlight w:val="none"/>
          <w:lang w:val="en-US" w:eastAsia="zh-CN"/>
        </w:rPr>
        <w:t>3、</w:t>
      </w:r>
      <w:r>
        <w:rPr>
          <w:color w:val="auto"/>
          <w:highlight w:val="none"/>
          <w:lang w:val="zh-CN"/>
        </w:rPr>
        <w:t>项目的建设符合</w:t>
      </w:r>
      <w:r>
        <w:rPr>
          <w:rFonts w:hint="eastAsia"/>
          <w:color w:val="auto"/>
          <w:highlight w:val="none"/>
          <w:lang w:val="en-US" w:eastAsia="zh-CN"/>
        </w:rPr>
        <w:t>驿城区政府工作报告的要求</w:t>
      </w:r>
    </w:p>
    <w:p>
      <w:pPr>
        <w:ind w:firstLine="480"/>
        <w:rPr>
          <w:rFonts w:hint="default"/>
          <w:color w:val="auto"/>
          <w:highlight w:val="none"/>
          <w:lang w:val="en-US" w:eastAsia="zh-CN"/>
        </w:rPr>
      </w:pPr>
      <w:r>
        <w:rPr>
          <w:color w:val="auto"/>
          <w:highlight w:val="none"/>
          <w:lang w:val="zh-CN" w:eastAsia="zh-CN"/>
        </w:rPr>
        <w:t>《</w:t>
      </w:r>
      <w:r>
        <w:rPr>
          <w:rFonts w:hint="eastAsia"/>
          <w:color w:val="auto"/>
          <w:highlight w:val="none"/>
          <w:lang w:val="en-US" w:eastAsia="zh-CN"/>
        </w:rPr>
        <w:t>2020年枣庄市峄城区人民政府工作报告</w:t>
      </w:r>
      <w:r>
        <w:rPr>
          <w:color w:val="auto"/>
          <w:highlight w:val="none"/>
          <w:lang w:val="zh-CN" w:eastAsia="zh-CN"/>
        </w:rPr>
        <w:t>》</w:t>
      </w:r>
      <w:r>
        <w:rPr>
          <w:rFonts w:hint="eastAsia"/>
          <w:color w:val="auto"/>
          <w:highlight w:val="none"/>
          <w:lang w:val="en-US" w:eastAsia="zh-CN"/>
        </w:rPr>
        <w:t>中明确了</w:t>
      </w:r>
      <w:r>
        <w:rPr>
          <w:color w:val="auto"/>
          <w:highlight w:val="none"/>
          <w:lang w:val="en-US" w:eastAsia="zh-CN"/>
        </w:rPr>
        <w:t>2020年政府工作总体安排</w:t>
      </w:r>
      <w:r>
        <w:rPr>
          <w:rFonts w:hint="eastAsia"/>
          <w:color w:val="auto"/>
          <w:highlight w:val="none"/>
          <w:lang w:val="en-US" w:eastAsia="zh-CN"/>
        </w:rPr>
        <w:t>，工作安排第三条：</w:t>
      </w:r>
      <w:r>
        <w:rPr>
          <w:color w:val="auto"/>
          <w:highlight w:val="none"/>
          <w:lang w:val="en-US" w:eastAsia="zh-CN"/>
        </w:rPr>
        <w:t>更加注重三农工作，突出特色农业发展，全域推进乡村振兴</w:t>
      </w:r>
      <w:r>
        <w:rPr>
          <w:rFonts w:hint="eastAsia"/>
          <w:color w:val="auto"/>
          <w:highlight w:val="none"/>
          <w:lang w:val="en-US" w:eastAsia="zh-CN"/>
        </w:rPr>
        <w:t>，</w:t>
      </w:r>
      <w:r>
        <w:rPr>
          <w:color w:val="auto"/>
          <w:highlight w:val="none"/>
          <w:lang w:val="en-US" w:eastAsia="zh-CN"/>
        </w:rPr>
        <w:t>持续提升农村人居环境</w:t>
      </w:r>
      <w:r>
        <w:rPr>
          <w:rFonts w:hint="eastAsia"/>
          <w:color w:val="auto"/>
          <w:highlight w:val="none"/>
          <w:lang w:val="en-US" w:eastAsia="zh-CN"/>
        </w:rPr>
        <w:t>................</w:t>
      </w:r>
      <w:r>
        <w:rPr>
          <w:color w:val="auto"/>
          <w:highlight w:val="none"/>
          <w:lang w:val="en-US" w:eastAsia="zh-CN"/>
        </w:rPr>
        <w:t>开展农村饮水安全攻坚行动。</w:t>
      </w:r>
      <w:r>
        <w:rPr>
          <w:rFonts w:hint="eastAsia"/>
          <w:color w:val="auto"/>
          <w:highlight w:val="none"/>
          <w:lang w:val="en-US" w:eastAsia="zh-CN"/>
        </w:rPr>
        <w:t>......</w:t>
      </w:r>
    </w:p>
    <w:p>
      <w:pPr>
        <w:ind w:firstLine="480"/>
        <w:rPr>
          <w:rFonts w:hint="eastAsia"/>
          <w:color w:val="auto"/>
          <w:highlight w:val="none"/>
          <w:lang w:val="en-US" w:eastAsia="zh-CN"/>
        </w:rPr>
      </w:pPr>
      <w:r>
        <w:rPr>
          <w:rFonts w:hint="eastAsia"/>
          <w:color w:val="auto"/>
          <w:highlight w:val="none"/>
          <w:lang w:val="en-US" w:eastAsia="zh-CN"/>
        </w:rPr>
        <w:t>4、项目建设是解决人民</w:t>
      </w:r>
      <w:r>
        <w:rPr>
          <w:color w:val="auto"/>
          <w:highlight w:val="none"/>
          <w:lang w:val="zh-CN"/>
        </w:rPr>
        <w:t>饮水安全问题</w:t>
      </w:r>
      <w:r>
        <w:rPr>
          <w:rFonts w:hint="eastAsia"/>
          <w:color w:val="auto"/>
          <w:highlight w:val="none"/>
          <w:lang w:val="en-US" w:eastAsia="zh-CN"/>
        </w:rPr>
        <w:t>的关键</w:t>
      </w:r>
    </w:p>
    <w:p>
      <w:pPr>
        <w:ind w:firstLine="480"/>
        <w:rPr>
          <w:rFonts w:ascii="Times New Roman" w:hAnsi="Times New Roman"/>
          <w:color w:val="auto"/>
          <w:highlight w:val="none"/>
        </w:rPr>
      </w:pPr>
      <w:r>
        <w:rPr>
          <w:rFonts w:ascii="Times New Roman" w:hAnsi="Times New Roman"/>
          <w:color w:val="auto"/>
          <w:highlight w:val="none"/>
        </w:rPr>
        <w:t>获得安全饮水是人类生存的基本需求，是人民群众最关心、最直接、最紧迫的现实问题。解决好饮水安全问题，事关群众切身利益，事关经济社会发展的大局，事关小康社会建设进程，既是民生问题，又是经济问题，更是政治问题。</w:t>
      </w:r>
    </w:p>
    <w:p>
      <w:pPr>
        <w:ind w:firstLine="480"/>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人民群众的饮水安全问题是影响社会进步、经济发展、农民健康和人类共同文明的大问题，是影响党群、干群关系和党委政府形象的大事。由于地下水资源的日渐匮乏，加上近年来地下水污染严重，供水的供需矛盾突出，开辟第二水源，新建输水管线，解决农民饮水安全问题，实现农村供水城市化，城乡供水一体化的战略意义极其远大。</w:t>
      </w:r>
    </w:p>
    <w:p>
      <w:pPr>
        <w:ind w:firstLine="480"/>
        <w:rPr>
          <w:color w:val="auto"/>
          <w:highlight w:val="none"/>
          <w:lang w:val="zh-CN"/>
        </w:rPr>
      </w:pPr>
      <w:r>
        <w:rPr>
          <w:rFonts w:hint="eastAsia"/>
          <w:color w:val="auto"/>
          <w:highlight w:val="none"/>
          <w:lang w:val="en-US" w:eastAsia="zh-CN"/>
        </w:rPr>
        <w:t>5</w:t>
      </w:r>
      <w:r>
        <w:rPr>
          <w:color w:val="auto"/>
          <w:highlight w:val="none"/>
          <w:lang w:val="zh-CN"/>
        </w:rPr>
        <w:t>、项目建设是改善生态环境的需要</w:t>
      </w:r>
    </w:p>
    <w:p>
      <w:pPr>
        <w:ind w:firstLine="480"/>
        <w:rPr>
          <w:color w:val="auto"/>
          <w:highlight w:val="none"/>
          <w:lang w:val="zh-CN"/>
        </w:rPr>
      </w:pPr>
      <w:r>
        <w:rPr>
          <w:rFonts w:hint="eastAsia"/>
          <w:color w:val="auto"/>
          <w:highlight w:val="none"/>
          <w:lang w:val="zh-CN"/>
        </w:rPr>
        <w:t>项目实施后，能有效地改善项目区周边的生态环境，可以减少周边地区地下水开采量，有利于涵养水源，保护地下水环境，防止由于枯水期地下水过度开采造成的地下水漏斗，形成新的水利景观区域，产生一定的生态景观效益，同时有利于保护项目区周边的自然环境和促进当地小流域范围内的生态恢复，促进生物多样性。</w:t>
      </w:r>
    </w:p>
    <w:p>
      <w:pPr>
        <w:ind w:firstLine="480"/>
        <w:rPr>
          <w:color w:val="auto"/>
          <w:highlight w:val="none"/>
        </w:rPr>
      </w:pPr>
      <w:r>
        <w:rPr>
          <w:rFonts w:hint="eastAsia"/>
          <w:color w:val="auto"/>
          <w:highlight w:val="none"/>
        </w:rPr>
        <w:t>本工程</w:t>
      </w:r>
      <w:r>
        <w:rPr>
          <w:color w:val="auto"/>
          <w:highlight w:val="none"/>
        </w:rPr>
        <w:t>是一项德政工程、民心工程。关系到人民群众</w:t>
      </w:r>
      <w:r>
        <w:rPr>
          <w:rFonts w:hint="eastAsia"/>
          <w:color w:val="auto"/>
          <w:highlight w:val="none"/>
        </w:rPr>
        <w:t>切身利益</w:t>
      </w:r>
      <w:r>
        <w:rPr>
          <w:color w:val="auto"/>
          <w:highlight w:val="none"/>
        </w:rPr>
        <w:t>，也是保持社会稳定的重大举措。</w:t>
      </w:r>
    </w:p>
    <w:p>
      <w:pPr>
        <w:ind w:firstLine="480"/>
        <w:rPr>
          <w:color w:val="auto"/>
          <w:highlight w:val="none"/>
        </w:rPr>
      </w:pPr>
    </w:p>
    <w:p>
      <w:pPr>
        <w:ind w:firstLine="480"/>
        <w:rPr>
          <w:color w:val="auto"/>
          <w:highlight w:val="none"/>
        </w:rPr>
      </w:pPr>
    </w:p>
    <w:p>
      <w:pPr>
        <w:ind w:firstLine="480"/>
        <w:rPr>
          <w:color w:val="auto"/>
          <w:highlight w:val="none"/>
        </w:rPr>
      </w:pPr>
    </w:p>
    <w:p>
      <w:pPr>
        <w:widowControl/>
        <w:spacing w:line="240" w:lineRule="auto"/>
        <w:ind w:firstLine="0" w:firstLineChars="0"/>
        <w:jc w:val="left"/>
        <w:rPr>
          <w:color w:val="auto"/>
          <w:highlight w:val="none"/>
        </w:rPr>
      </w:pPr>
      <w:r>
        <w:rPr>
          <w:color w:val="auto"/>
          <w:highlight w:val="none"/>
        </w:rPr>
        <w:br w:type="page"/>
      </w:r>
    </w:p>
    <w:p>
      <w:pPr>
        <w:pStyle w:val="2"/>
        <w:spacing w:before="31" w:after="31"/>
        <w:rPr>
          <w:color w:val="auto"/>
          <w:highlight w:val="none"/>
        </w:rPr>
      </w:pPr>
      <w:bookmarkStart w:id="18" w:name="_Toc32650"/>
      <w:r>
        <w:rPr>
          <w:rFonts w:hint="eastAsia"/>
          <w:color w:val="auto"/>
          <w:highlight w:val="none"/>
        </w:rPr>
        <w:t>3建设条件</w:t>
      </w:r>
      <w:bookmarkEnd w:id="18"/>
    </w:p>
    <w:p>
      <w:pPr>
        <w:pStyle w:val="3"/>
        <w:spacing w:before="31" w:after="31"/>
        <w:rPr>
          <w:color w:val="auto"/>
          <w:highlight w:val="none"/>
        </w:rPr>
      </w:pPr>
      <w:bookmarkStart w:id="19" w:name="_Toc21445587"/>
      <w:bookmarkStart w:id="20" w:name="_Toc21664"/>
      <w:r>
        <w:rPr>
          <w:rFonts w:hint="eastAsia"/>
          <w:color w:val="auto"/>
          <w:highlight w:val="none"/>
        </w:rPr>
        <w:t>3.1</w:t>
      </w:r>
      <w:bookmarkEnd w:id="19"/>
      <w:r>
        <w:rPr>
          <w:rFonts w:hint="eastAsia"/>
          <w:color w:val="auto"/>
          <w:highlight w:val="none"/>
        </w:rPr>
        <w:t>地理位置</w:t>
      </w:r>
      <w:bookmarkEnd w:id="20"/>
    </w:p>
    <w:p>
      <w:pPr>
        <w:ind w:firstLine="480"/>
        <w:rPr>
          <w:color w:val="auto"/>
          <w:highlight w:val="none"/>
        </w:rPr>
      </w:pPr>
      <w:r>
        <w:rPr>
          <w:rFonts w:hint="eastAsia"/>
          <w:color w:val="auto"/>
          <w:highlight w:val="none"/>
        </w:rPr>
        <w:t>本项目位于枣庄市峄城区， 峄城区地处山东省枣庄市南部，为山东省南大门。处于北京、上海两城市的中间位置，紧邻徐州市，为淮海经济区的中心位置，是东部沿海和西部内陆的过渡带。峄城区水陆空交通便利，有“黄金水道”之称的京杭大运河在南部穿过，毗邻青岛、日照、岚山、连云港等沿海港口。西靠京沪铁路，东临京沪高速公路，京福高速、206国道、京沪高速铁路纵贯南北，距济南、青岛、徐州三大机场分别需要2.5小时、3.5小时和不足40分钟的车程，交通航运网络四通八达。</w:t>
      </w:r>
    </w:p>
    <w:p>
      <w:pPr>
        <w:pStyle w:val="3"/>
        <w:spacing w:before="31" w:after="31"/>
        <w:rPr>
          <w:color w:val="auto"/>
          <w:highlight w:val="none"/>
        </w:rPr>
      </w:pPr>
      <w:bookmarkStart w:id="21" w:name="_Toc17995"/>
      <w:r>
        <w:rPr>
          <w:rFonts w:hint="eastAsia"/>
          <w:color w:val="auto"/>
          <w:highlight w:val="none"/>
        </w:rPr>
        <w:t>3.2自然条件</w:t>
      </w:r>
      <w:bookmarkEnd w:id="21"/>
    </w:p>
    <w:p>
      <w:pPr>
        <w:pStyle w:val="4"/>
        <w:rPr>
          <w:color w:val="auto"/>
          <w:highlight w:val="none"/>
        </w:rPr>
      </w:pPr>
      <w:r>
        <w:rPr>
          <w:rFonts w:hint="eastAsia"/>
          <w:color w:val="auto"/>
          <w:highlight w:val="none"/>
        </w:rPr>
        <w:t>3.2.1地形地貌</w:t>
      </w:r>
    </w:p>
    <w:p>
      <w:pPr>
        <w:ind w:firstLine="480"/>
        <w:rPr>
          <w:color w:val="auto"/>
          <w:highlight w:val="none"/>
        </w:rPr>
      </w:pPr>
      <w:r>
        <w:rPr>
          <w:rFonts w:hint="eastAsia"/>
          <w:color w:val="auto"/>
          <w:highlight w:val="none"/>
        </w:rPr>
        <w:t>峄城区地处鲁中南山地丘陵与淮北平原的衔接带上，在地貌分类上既有丘陵，又有平原。在不同营造力的作用下，本区地貌在成因上形成三种类型：流水地貌、岩溶地貌、构造地貌。</w:t>
      </w:r>
    </w:p>
    <w:p>
      <w:pPr>
        <w:pStyle w:val="4"/>
        <w:rPr>
          <w:color w:val="auto"/>
          <w:highlight w:val="none"/>
        </w:rPr>
      </w:pPr>
      <w:r>
        <w:rPr>
          <w:rFonts w:hint="eastAsia"/>
          <w:color w:val="auto"/>
          <w:highlight w:val="none"/>
        </w:rPr>
        <w:t>3.2.2气候特征</w:t>
      </w:r>
    </w:p>
    <w:p>
      <w:pPr>
        <w:ind w:firstLine="480"/>
        <w:rPr>
          <w:color w:val="auto"/>
          <w:highlight w:val="none"/>
        </w:rPr>
      </w:pPr>
      <w:r>
        <w:rPr>
          <w:rFonts w:hint="eastAsia"/>
          <w:color w:val="auto"/>
          <w:highlight w:val="none"/>
        </w:rPr>
        <w:t>1、水文</w:t>
      </w:r>
    </w:p>
    <w:p>
      <w:pPr>
        <w:ind w:firstLine="480"/>
        <w:rPr>
          <w:color w:val="auto"/>
          <w:highlight w:val="none"/>
        </w:rPr>
      </w:pPr>
      <w:r>
        <w:rPr>
          <w:rFonts w:hint="eastAsia"/>
          <w:color w:val="auto"/>
          <w:highlight w:val="none"/>
        </w:rPr>
        <w:t>本流域具有黄河和淮河流域的过渡性气候特点，四季分明。夏季受亚热带季风的影响。流域多年平均降雨量为815mm，降水主要发生年内的6～9月份，多年平均6～9月份降水量为587mm，占年降水量的70%，冬季在蒙古高气压控制下，空气寒冷，雨雪稀少，降雨量仅占年降水量的9%。</w:t>
      </w:r>
    </w:p>
    <w:p>
      <w:pPr>
        <w:ind w:firstLine="480"/>
        <w:rPr>
          <w:color w:val="auto"/>
          <w:highlight w:val="none"/>
        </w:rPr>
      </w:pPr>
      <w:r>
        <w:rPr>
          <w:rFonts w:hint="eastAsia"/>
          <w:color w:val="auto"/>
          <w:highlight w:val="none"/>
        </w:rPr>
        <w:t>本流域的洪水主要是季节性的暴雨所形成，一般是由西向东稍偏北方向移动，暴雨历时长，范围广，该流域处于山东省多年平均降雨量的高值区，由于受季风的影响，该区降水量年际、年内变化都很大，从而使本流域常出现集中暴雨和旱涝急转交替、阴雨连绵或连年干旱现象。实测资料中最大年降水量为1312.2mm，发生于1963年；最小年降水量为499.7mm，发生在1988年。年降水量的变化幅度较大，丰枯比达2.63，年平均径流深278.5mm，变差系数0.61。</w:t>
      </w:r>
    </w:p>
    <w:p>
      <w:pPr>
        <w:ind w:firstLine="480"/>
        <w:rPr>
          <w:color w:val="auto"/>
          <w:highlight w:val="none"/>
        </w:rPr>
      </w:pPr>
      <w:r>
        <w:rPr>
          <w:rFonts w:hint="eastAsia"/>
          <w:color w:val="auto"/>
          <w:highlight w:val="none"/>
        </w:rPr>
        <w:t>2、气象</w:t>
      </w:r>
    </w:p>
    <w:p>
      <w:pPr>
        <w:ind w:firstLine="480"/>
        <w:rPr>
          <w:color w:val="auto"/>
          <w:highlight w:val="none"/>
        </w:rPr>
      </w:pPr>
      <w:r>
        <w:rPr>
          <w:rFonts w:hint="eastAsia"/>
          <w:color w:val="auto"/>
          <w:highlight w:val="none"/>
        </w:rPr>
        <w:t>（1）气候特征</w:t>
      </w:r>
    </w:p>
    <w:p>
      <w:pPr>
        <w:ind w:firstLine="480"/>
        <w:rPr>
          <w:color w:val="auto"/>
          <w:highlight w:val="none"/>
        </w:rPr>
      </w:pPr>
      <w:r>
        <w:rPr>
          <w:rFonts w:hint="eastAsia"/>
          <w:color w:val="auto"/>
          <w:highlight w:val="none"/>
        </w:rPr>
        <w:t>本流域属温带季风大陆性气候，四季分明，具有冬夏季风气候的特点。春季受华北、华东气旋的影响，温度高，湿度大，常产生大范围降雨，时有大风、暴雨或冰雹等灾害天气。秋季常出现秋高气爽天气，有时也有秋雨连绵的情况，形成局部地区内涝。冬季常有偏北大风，大气干燥寒冷，雨雪稀少。</w:t>
      </w:r>
    </w:p>
    <w:p>
      <w:pPr>
        <w:ind w:firstLine="480"/>
        <w:rPr>
          <w:color w:val="auto"/>
          <w:highlight w:val="none"/>
        </w:rPr>
      </w:pPr>
      <w:r>
        <w:rPr>
          <w:rFonts w:hint="eastAsia"/>
          <w:color w:val="auto"/>
          <w:highlight w:val="none"/>
        </w:rPr>
        <w:t>（2）气温</w:t>
      </w:r>
    </w:p>
    <w:p>
      <w:pPr>
        <w:ind w:firstLine="480"/>
        <w:rPr>
          <w:color w:val="auto"/>
          <w:highlight w:val="none"/>
        </w:rPr>
      </w:pPr>
      <w:r>
        <w:rPr>
          <w:rFonts w:hint="eastAsia"/>
          <w:color w:val="auto"/>
          <w:highlight w:val="none"/>
        </w:rPr>
        <w:t>本流域多年平均气温为 14 ℃，历年最高气温为 39.6 ℃（1966 年 7月 19 日），最低气温为-19.20℃（1969 年 1 月 31 日）。月平均最高气温一般为 28 ℃左右，月平均最低气温为-3.5℃，气温年差一般在 30℃左右。日平均气温大于或等于零度的时间约265～315天。</w:t>
      </w:r>
    </w:p>
    <w:p>
      <w:pPr>
        <w:ind w:firstLine="480"/>
        <w:rPr>
          <w:color w:val="auto"/>
          <w:highlight w:val="none"/>
        </w:rPr>
      </w:pPr>
      <w:r>
        <w:rPr>
          <w:rFonts w:hint="eastAsia"/>
          <w:color w:val="auto"/>
          <w:highlight w:val="none"/>
        </w:rPr>
        <w:t>（3）风况</w:t>
      </w:r>
    </w:p>
    <w:p>
      <w:pPr>
        <w:ind w:firstLine="480"/>
        <w:rPr>
          <w:color w:val="auto"/>
          <w:highlight w:val="none"/>
        </w:rPr>
      </w:pPr>
      <w:r>
        <w:rPr>
          <w:rFonts w:hint="eastAsia"/>
          <w:color w:val="auto"/>
          <w:highlight w:val="none"/>
        </w:rPr>
        <w:t>因受季风影响，春季多东南风，夏季多南风，秋季多西风，冬季多东北风，风级最大八级，最大风速 18m/s。年平均出现大风（≥8 级）的日数为9天，最多为24天。</w:t>
      </w:r>
    </w:p>
    <w:p>
      <w:pPr>
        <w:ind w:firstLine="480"/>
        <w:rPr>
          <w:color w:val="auto"/>
          <w:highlight w:val="none"/>
        </w:rPr>
      </w:pPr>
      <w:r>
        <w:rPr>
          <w:rFonts w:hint="eastAsia"/>
          <w:color w:val="auto"/>
          <w:highlight w:val="none"/>
        </w:rPr>
        <w:t>（4）冰情</w:t>
      </w:r>
    </w:p>
    <w:p>
      <w:pPr>
        <w:ind w:firstLine="480"/>
        <w:rPr>
          <w:color w:val="auto"/>
          <w:highlight w:val="none"/>
        </w:rPr>
      </w:pPr>
      <w:r>
        <w:rPr>
          <w:rFonts w:hint="eastAsia"/>
          <w:color w:val="auto"/>
          <w:highlight w:val="none"/>
        </w:rPr>
        <w:t>冬季最大冻土深度为26cm，最大岸冰厚度为20cm，积雪厚度为15cm 左右。</w:t>
      </w:r>
      <w:r>
        <w:rPr>
          <w:color w:val="auto"/>
          <w:highlight w:val="none"/>
        </w:rPr>
        <w:t>20</w:t>
      </w:r>
      <w:r>
        <w:rPr>
          <w:rFonts w:hint="eastAsia"/>
          <w:color w:val="auto"/>
          <w:highlight w:val="none"/>
        </w:rPr>
        <w:t>年平均相对湿度为60%～70%，最大相对湿度在7～8月。</w:t>
      </w:r>
    </w:p>
    <w:p>
      <w:pPr>
        <w:pStyle w:val="4"/>
        <w:rPr>
          <w:color w:val="auto"/>
          <w:highlight w:val="none"/>
        </w:rPr>
      </w:pPr>
      <w:r>
        <w:rPr>
          <w:rFonts w:hint="eastAsia"/>
          <w:color w:val="auto"/>
          <w:highlight w:val="none"/>
        </w:rPr>
        <w:t>3.2.3工程地质</w:t>
      </w:r>
    </w:p>
    <w:p>
      <w:pPr>
        <w:ind w:firstLine="480"/>
        <w:rPr>
          <w:color w:val="auto"/>
          <w:highlight w:val="none"/>
        </w:rPr>
      </w:pPr>
      <w:r>
        <w:rPr>
          <w:rFonts w:hint="eastAsia"/>
          <w:color w:val="auto"/>
          <w:highlight w:val="none"/>
        </w:rPr>
        <w:t>工程区在大地构造上位于中朝准地台（Ⅰ）—鲁西中台隆（Ⅱ）—鲁西拱断束（Ⅲ）—尼山穹断束（Ⅳ），中生代以来，由于燕山运动的影响地台复活，岩浆活动虽不甚剧烈，但断裂较发育。工程区周围 25m 范围内构造形式表现脆性断裂构造，主要较大构造包括峄城断裂、韩庄断裂等。以上断裂控制了第四系沉积轮廓，韩庄断裂新生代早期仍有活动，第四纪晚更新世（Q</w:t>
      </w:r>
      <w:r>
        <w:rPr>
          <w:rFonts w:hint="eastAsia"/>
          <w:color w:val="auto"/>
          <w:highlight w:val="none"/>
          <w:vertAlign w:val="subscript"/>
        </w:rPr>
        <w:t>3</w:t>
      </w:r>
      <w:r>
        <w:rPr>
          <w:rFonts w:hint="eastAsia"/>
          <w:color w:val="auto"/>
          <w:highlight w:val="none"/>
        </w:rPr>
        <w:t>）未发现过活动，因此该断裂对工程区的稳定性一般不会产生较大影响；峄城断裂最新活动时代为中更新世有过活动，因此峄城断裂对工程区的稳定性不会产生较大的影响。</w:t>
      </w:r>
    </w:p>
    <w:p>
      <w:pPr>
        <w:ind w:firstLine="480"/>
        <w:rPr>
          <w:color w:val="auto"/>
          <w:highlight w:val="none"/>
        </w:rPr>
      </w:pPr>
      <w:r>
        <w:rPr>
          <w:rFonts w:hint="eastAsia"/>
          <w:color w:val="auto"/>
          <w:highlight w:val="none"/>
        </w:rPr>
        <w:t>根据《中国地震动参数区划图》（GB18306-2015），工程区地震动反应谱特征周期为0.45s，地震动峰值加速度为0.10g，相应地震基本烈度为Ⅶ度。</w:t>
      </w:r>
    </w:p>
    <w:p>
      <w:pPr>
        <w:pStyle w:val="4"/>
        <w:rPr>
          <w:color w:val="auto"/>
          <w:highlight w:val="none"/>
        </w:rPr>
      </w:pPr>
      <w:r>
        <w:rPr>
          <w:rFonts w:hint="eastAsia"/>
          <w:color w:val="auto"/>
          <w:highlight w:val="none"/>
        </w:rPr>
        <w:t>3.2.4河流水系</w:t>
      </w:r>
    </w:p>
    <w:p>
      <w:pPr>
        <w:ind w:firstLine="480"/>
        <w:rPr>
          <w:color w:val="auto"/>
          <w:highlight w:val="none"/>
        </w:rPr>
      </w:pPr>
      <w:r>
        <w:rPr>
          <w:rFonts w:hint="eastAsia"/>
          <w:color w:val="auto"/>
          <w:highlight w:val="none"/>
        </w:rPr>
        <w:t>全区河流属淮河流域运河水系。运河北岸支流以峄城大沙河为界，河西属南四湖湖东地区，河东属邳苍地区。地面径流方向总的是自北向南，各条河道多为季节性泄洪河道。</w:t>
      </w:r>
    </w:p>
    <w:p>
      <w:pPr>
        <w:ind w:firstLine="480"/>
        <w:rPr>
          <w:color w:val="auto"/>
          <w:highlight w:val="none"/>
        </w:rPr>
      </w:pPr>
      <w:r>
        <w:rPr>
          <w:rFonts w:hint="eastAsia"/>
          <w:color w:val="auto"/>
          <w:highlight w:val="none"/>
        </w:rPr>
        <w:t>其中：峄城大沙河是枣庄市较大型河流之一，属淮河流域，运河水系，该河上游由齐村支流和郭里集支流、税郭支流汇集而成，流域形状似扇形。峄城大沙河发源于山亭区大鹰台，流经山亭区、市中区、峄城区、台儿庄区，于台儿庄区龙口附近入韩庄运河，河道自北向南干流河长31km，流域面积625.5km</w:t>
      </w:r>
      <w:r>
        <w:rPr>
          <w:rFonts w:hint="eastAsia"/>
          <w:color w:val="auto"/>
          <w:highlight w:val="none"/>
          <w:vertAlign w:val="superscript"/>
        </w:rPr>
        <w:t>2</w:t>
      </w:r>
      <w:r>
        <w:rPr>
          <w:rFonts w:hint="eastAsia"/>
          <w:color w:val="auto"/>
          <w:highlight w:val="none"/>
        </w:rPr>
        <w:t>，其中上游山区占77%，下游平原涝洼区占23%。</w:t>
      </w:r>
    </w:p>
    <w:p>
      <w:pPr>
        <w:ind w:firstLine="480"/>
        <w:rPr>
          <w:color w:val="auto"/>
          <w:highlight w:val="none"/>
        </w:rPr>
      </w:pPr>
      <w:r>
        <w:rPr>
          <w:rFonts w:hint="eastAsia"/>
          <w:color w:val="auto"/>
          <w:highlight w:val="none"/>
        </w:rPr>
        <w:t>峄城大沙河上游（枣庄市中区、山亭区段）有3条支流，分别为枣庄市东部郭里集支流、税郭支流和西沙河；中游（峄城区段）有2条支流，分别为峄城区西部的跃进河和大寨河；下游有峄城大沙河分洪道。</w:t>
      </w:r>
    </w:p>
    <w:p>
      <w:pPr>
        <w:ind w:firstLine="480"/>
        <w:rPr>
          <w:color w:val="auto"/>
          <w:highlight w:val="none"/>
        </w:rPr>
      </w:pPr>
      <w:r>
        <w:rPr>
          <w:rFonts w:hint="eastAsia"/>
          <w:color w:val="auto"/>
          <w:highlight w:val="none"/>
        </w:rPr>
        <w:t>峄城大沙河上游有务家后、谷山等6座小（1）型水库，总控制流域面积共53.7km</w:t>
      </w:r>
      <w:r>
        <w:rPr>
          <w:rFonts w:hint="eastAsia"/>
          <w:color w:val="auto"/>
          <w:highlight w:val="none"/>
          <w:vertAlign w:val="superscript"/>
        </w:rPr>
        <w:t>2</w:t>
      </w:r>
      <w:r>
        <w:rPr>
          <w:rFonts w:hint="eastAsia"/>
          <w:color w:val="auto"/>
          <w:highlight w:val="none"/>
        </w:rPr>
        <w:t>；19座小（2）型水库，总控制流域面积19.60km</w:t>
      </w:r>
      <w:r>
        <w:rPr>
          <w:rFonts w:hint="eastAsia"/>
          <w:color w:val="auto"/>
          <w:highlight w:val="none"/>
          <w:vertAlign w:val="superscript"/>
        </w:rPr>
        <w:t>2</w:t>
      </w:r>
      <w:r>
        <w:rPr>
          <w:rFonts w:hint="eastAsia"/>
          <w:color w:val="auto"/>
          <w:highlight w:val="none"/>
        </w:rPr>
        <w:t>。</w:t>
      </w:r>
    </w:p>
    <w:p>
      <w:pPr>
        <w:pStyle w:val="3"/>
        <w:rPr>
          <w:color w:val="auto"/>
          <w:highlight w:val="none"/>
        </w:rPr>
      </w:pPr>
      <w:bookmarkStart w:id="22" w:name="_Toc3382"/>
      <w:r>
        <w:rPr>
          <w:rFonts w:hint="eastAsia"/>
          <w:color w:val="auto"/>
          <w:highlight w:val="none"/>
        </w:rPr>
        <w:t>3.3社会经济概况</w:t>
      </w:r>
      <w:bookmarkEnd w:id="22"/>
    </w:p>
    <w:p>
      <w:pPr>
        <w:ind w:firstLine="480"/>
        <w:rPr>
          <w:color w:val="auto"/>
          <w:highlight w:val="none"/>
        </w:rPr>
      </w:pPr>
      <w:r>
        <w:rPr>
          <w:rFonts w:hint="eastAsia"/>
          <w:color w:val="auto"/>
          <w:kern w:val="0"/>
          <w:highlight w:val="none"/>
        </w:rPr>
        <w:t>峄城区辖5个镇、2个街道，466个行政村、10个居委会，耕地面积28364hm</w:t>
      </w:r>
      <w:r>
        <w:rPr>
          <w:rFonts w:hint="eastAsia"/>
          <w:color w:val="auto"/>
          <w:kern w:val="0"/>
          <w:highlight w:val="none"/>
          <w:vertAlign w:val="superscript"/>
        </w:rPr>
        <w:t>2</w:t>
      </w:r>
      <w:r>
        <w:rPr>
          <w:rFonts w:hint="eastAsia"/>
          <w:color w:val="auto"/>
          <w:kern w:val="0"/>
          <w:highlight w:val="none"/>
        </w:rPr>
        <w:t>。全区土地面积635.1km</w:t>
      </w:r>
      <w:r>
        <w:rPr>
          <w:rFonts w:hint="eastAsia"/>
          <w:color w:val="auto"/>
          <w:kern w:val="0"/>
          <w:highlight w:val="none"/>
          <w:vertAlign w:val="superscript"/>
        </w:rPr>
        <w:t>2</w:t>
      </w:r>
      <w:r>
        <w:rPr>
          <w:rFonts w:hint="eastAsia"/>
          <w:color w:val="auto"/>
          <w:kern w:val="0"/>
          <w:highlight w:val="none"/>
        </w:rPr>
        <w:t>，人口36.39万人。峄城区矿产资源丰富，易于开采，已探明矿产达20多种，其中石膏、石灰石、大理石、钾长石、石英石、白云石埋藏浅，品位高、储量大。全区土地肥沃，光照充足，雨量充沛，适宜农作物生长，是全省蔬菜副食品基地之一。峄城区历史悠久，有众多的风景名胜古迹，旅游之源丰富，位于城区西部的"万亩石榴园风景区"有"天下第一榴园"之美誉。  到</w:t>
      </w:r>
      <w:r>
        <w:rPr>
          <w:rFonts w:hint="eastAsia"/>
          <w:color w:val="auto"/>
          <w:highlight w:val="none"/>
        </w:rPr>
        <w:t>2018年，在市委、市政府和区委的正确领导下，在区人大和区政协的监督支持下，全区上下深入践行习近平新时代中国特色社会主义思想，坚持稳中求进工作总基调，贯彻新发展理念，锐意进取、开拓创新、主动作为，经济社会实现持续平稳健康发展。预计全区生产总值完成186.9亿元，增长4.1%；实现地方财政收入8.8亿元，四税占比为57.3%，可用财力增长33.8%；社会消费品零售总额达到65.3亿元，增长10%；城乡居民人均可支配收入增长8.3%。</w:t>
      </w:r>
    </w:p>
    <w:p>
      <w:pPr>
        <w:ind w:firstLine="480"/>
        <w:rPr>
          <w:color w:val="auto"/>
          <w:highlight w:val="none"/>
        </w:rPr>
      </w:pPr>
    </w:p>
    <w:p>
      <w:pPr>
        <w:ind w:firstLine="480"/>
        <w:rPr>
          <w:color w:val="auto"/>
          <w:highlight w:val="none"/>
        </w:rPr>
      </w:pPr>
    </w:p>
    <w:p>
      <w:pPr>
        <w:widowControl/>
        <w:spacing w:line="240" w:lineRule="auto"/>
        <w:ind w:firstLine="0" w:firstLineChars="0"/>
        <w:jc w:val="left"/>
        <w:rPr>
          <w:color w:val="auto"/>
          <w:highlight w:val="none"/>
        </w:rPr>
      </w:pPr>
      <w:r>
        <w:rPr>
          <w:color w:val="auto"/>
          <w:highlight w:val="none"/>
        </w:rPr>
        <w:br w:type="page"/>
      </w:r>
    </w:p>
    <w:p>
      <w:pPr>
        <w:pStyle w:val="2"/>
        <w:spacing w:before="31" w:after="31"/>
        <w:rPr>
          <w:color w:val="auto"/>
          <w:highlight w:val="none"/>
        </w:rPr>
      </w:pPr>
      <w:bookmarkStart w:id="23" w:name="_Toc22689"/>
      <w:r>
        <w:rPr>
          <w:rFonts w:hint="eastAsia"/>
          <w:color w:val="auto"/>
          <w:highlight w:val="none"/>
        </w:rPr>
        <w:t>4工程建设总体布局</w:t>
      </w:r>
      <w:bookmarkEnd w:id="23"/>
    </w:p>
    <w:p>
      <w:pPr>
        <w:pStyle w:val="3"/>
        <w:spacing w:before="31" w:after="31"/>
        <w:rPr>
          <w:color w:val="auto"/>
          <w:highlight w:val="none"/>
        </w:rPr>
      </w:pPr>
      <w:bookmarkStart w:id="24" w:name="_Toc31245"/>
      <w:r>
        <w:rPr>
          <w:rFonts w:hint="eastAsia"/>
          <w:color w:val="auto"/>
          <w:highlight w:val="none"/>
        </w:rPr>
        <w:t>4.1工程设计标准</w:t>
      </w:r>
      <w:bookmarkEnd w:id="24"/>
    </w:p>
    <w:p>
      <w:pPr>
        <w:ind w:firstLine="480"/>
        <w:rPr>
          <w:color w:val="auto"/>
          <w:highlight w:val="none"/>
        </w:rPr>
      </w:pPr>
      <w:r>
        <w:rPr>
          <w:rFonts w:hint="eastAsia"/>
          <w:color w:val="auto"/>
          <w:highlight w:val="none"/>
        </w:rPr>
        <w:t>1、南四湖取水工程：</w:t>
      </w:r>
    </w:p>
    <w:p>
      <w:pPr>
        <w:ind w:firstLine="480"/>
        <w:rPr>
          <w:color w:val="auto"/>
          <w:kern w:val="0"/>
          <w:highlight w:val="none"/>
        </w:rPr>
      </w:pPr>
      <w:r>
        <w:rPr>
          <w:color w:val="auto"/>
          <w:kern w:val="0"/>
          <w:highlight w:val="none"/>
        </w:rPr>
        <w:t>1</w:t>
      </w:r>
      <w:r>
        <w:rPr>
          <w:rFonts w:hint="eastAsia"/>
          <w:color w:val="auto"/>
          <w:kern w:val="0"/>
          <w:highlight w:val="none"/>
        </w:rPr>
        <w:t>）设计水平年基准年采用2018年，规划年为2023年。</w:t>
      </w:r>
    </w:p>
    <w:p>
      <w:pPr>
        <w:ind w:firstLine="480"/>
        <w:rPr>
          <w:color w:val="auto"/>
          <w:kern w:val="0"/>
          <w:highlight w:val="none"/>
        </w:rPr>
      </w:pPr>
      <w:r>
        <w:rPr>
          <w:color w:val="auto"/>
          <w:kern w:val="0"/>
          <w:highlight w:val="none"/>
        </w:rPr>
        <w:t>2</w:t>
      </w:r>
      <w:r>
        <w:rPr>
          <w:rFonts w:hint="eastAsia"/>
          <w:color w:val="auto"/>
          <w:kern w:val="0"/>
          <w:highlight w:val="none"/>
        </w:rPr>
        <w:t>）本工程主要供水目标为居民</w:t>
      </w:r>
      <w:r>
        <w:rPr>
          <w:rFonts w:hint="eastAsia"/>
          <w:color w:val="auto"/>
          <w:kern w:val="0"/>
          <w:highlight w:val="none"/>
          <w:lang w:val="en-US" w:eastAsia="zh-CN"/>
        </w:rPr>
        <w:t>生活用水</w:t>
      </w:r>
      <w:r>
        <w:rPr>
          <w:rFonts w:hint="eastAsia"/>
          <w:color w:val="auto"/>
          <w:kern w:val="0"/>
          <w:highlight w:val="none"/>
        </w:rPr>
        <w:t>和工业用水。</w:t>
      </w:r>
    </w:p>
    <w:p>
      <w:pPr>
        <w:ind w:firstLine="480"/>
        <w:rPr>
          <w:color w:val="auto"/>
          <w:highlight w:val="none"/>
        </w:rPr>
      </w:pPr>
      <w:r>
        <w:rPr>
          <w:rFonts w:hint="eastAsia"/>
          <w:color w:val="auto"/>
          <w:highlight w:val="none"/>
        </w:rPr>
        <w:t>2、龙泉庄水库清淤扩容工程：</w:t>
      </w:r>
    </w:p>
    <w:p>
      <w:pPr>
        <w:adjustRightInd w:val="0"/>
        <w:snapToGrid w:val="0"/>
        <w:ind w:firstLine="480"/>
        <w:rPr>
          <w:color w:val="auto"/>
          <w:highlight w:val="none"/>
        </w:rPr>
      </w:pPr>
      <w:r>
        <w:rPr>
          <w:color w:val="auto"/>
          <w:highlight w:val="none"/>
        </w:rPr>
        <w:t>依据《水利水电工程等级划分及洪水标准》（SL252-2017）</w:t>
      </w:r>
      <w:r>
        <w:rPr>
          <w:rFonts w:hint="eastAsia"/>
          <w:color w:val="auto"/>
          <w:highlight w:val="none"/>
        </w:rPr>
        <w:t>，龙泉庄</w:t>
      </w:r>
      <w:r>
        <w:rPr>
          <w:color w:val="auto"/>
          <w:highlight w:val="none"/>
        </w:rPr>
        <w:t>水库属于</w:t>
      </w:r>
      <w:r>
        <w:rPr>
          <w:rFonts w:hint="eastAsia"/>
          <w:color w:val="auto"/>
          <w:highlight w:val="none"/>
        </w:rPr>
        <w:t>小（1）</w:t>
      </w:r>
      <w:r>
        <w:rPr>
          <w:color w:val="auto"/>
          <w:highlight w:val="none"/>
        </w:rPr>
        <w:t>型水库，工程等别为</w:t>
      </w:r>
      <w:r>
        <w:rPr>
          <w:rFonts w:hint="eastAsia"/>
          <w:color w:val="auto"/>
          <w:highlight w:val="none"/>
        </w:rPr>
        <w:t>Ⅳ</w:t>
      </w:r>
      <w:r>
        <w:rPr>
          <w:color w:val="auto"/>
          <w:highlight w:val="none"/>
        </w:rPr>
        <w:t>等，其永久性主要建筑物大坝、溢洪道、放水洞等均为</w:t>
      </w:r>
      <w:r>
        <w:rPr>
          <w:rFonts w:hint="eastAsia"/>
          <w:color w:val="auto"/>
          <w:highlight w:val="none"/>
        </w:rPr>
        <w:t>4</w:t>
      </w:r>
      <w:r>
        <w:rPr>
          <w:color w:val="auto"/>
          <w:highlight w:val="none"/>
        </w:rPr>
        <w:t>级建筑物。水库建筑物洪水标准为</w:t>
      </w:r>
      <w:r>
        <w:rPr>
          <w:rFonts w:hint="eastAsia"/>
          <w:color w:val="auto"/>
          <w:highlight w:val="none"/>
        </w:rPr>
        <w:t>30</w:t>
      </w:r>
      <w:r>
        <w:rPr>
          <w:color w:val="auto"/>
          <w:highlight w:val="none"/>
        </w:rPr>
        <w:t>年一遇洪水设计，</w:t>
      </w:r>
      <w:r>
        <w:rPr>
          <w:rFonts w:hint="eastAsia"/>
          <w:color w:val="auto"/>
          <w:highlight w:val="none"/>
        </w:rPr>
        <w:t>300</w:t>
      </w:r>
      <w:r>
        <w:rPr>
          <w:color w:val="auto"/>
          <w:highlight w:val="none"/>
        </w:rPr>
        <w:t>年一遇洪水校核；水库下游河道防洪标准为20年一遇。</w:t>
      </w:r>
    </w:p>
    <w:p>
      <w:pPr>
        <w:ind w:firstLine="480"/>
        <w:rPr>
          <w:rFonts w:cs="Times New Roman"/>
          <w:color w:val="auto"/>
          <w:highlight w:val="none"/>
        </w:rPr>
      </w:pPr>
      <w:r>
        <w:rPr>
          <w:rFonts w:cs="Times New Roman"/>
          <w:color w:val="auto"/>
          <w:highlight w:val="none"/>
        </w:rPr>
        <w:t>3、峄城区东部地区水系连通工程</w:t>
      </w:r>
    </w:p>
    <w:p>
      <w:pPr>
        <w:ind w:firstLine="480"/>
        <w:rPr>
          <w:rFonts w:cs="Times New Roman"/>
          <w:color w:val="auto"/>
          <w:highlight w:val="none"/>
        </w:rPr>
      </w:pPr>
      <w:r>
        <w:rPr>
          <w:rFonts w:cs="Times New Roman"/>
          <w:color w:val="auto"/>
          <w:highlight w:val="none"/>
        </w:rPr>
        <w:t>峄城区东部水系连通工程</w:t>
      </w:r>
      <w:r>
        <w:rPr>
          <w:rFonts w:hint="eastAsia" w:cs="Times New Roman"/>
          <w:color w:val="auto"/>
          <w:highlight w:val="none"/>
        </w:rPr>
        <w:t>工程</w:t>
      </w:r>
      <w:r>
        <w:rPr>
          <w:rFonts w:cs="Times New Roman"/>
          <w:color w:val="auto"/>
          <w:highlight w:val="none"/>
        </w:rPr>
        <w:t>等别为Ⅳ等，工程规模为</w:t>
      </w:r>
      <w:r>
        <w:rPr>
          <w:rFonts w:hint="eastAsia" w:cs="Times New Roman"/>
          <w:color w:val="auto"/>
          <w:highlight w:val="none"/>
        </w:rPr>
        <w:t>小型，主要建筑物</w:t>
      </w:r>
      <w:r>
        <w:rPr>
          <w:rFonts w:cs="Times New Roman"/>
          <w:color w:val="auto"/>
          <w:highlight w:val="none"/>
        </w:rPr>
        <w:t>级别为4级，临时构筑物级别为5级</w:t>
      </w:r>
      <w:r>
        <w:rPr>
          <w:rFonts w:hint="eastAsia" w:cs="Times New Roman"/>
          <w:color w:val="auto"/>
          <w:highlight w:val="none"/>
        </w:rPr>
        <w:t>，计防洪标准为</w:t>
      </w:r>
      <w:r>
        <w:rPr>
          <w:rFonts w:cs="Times New Roman"/>
          <w:color w:val="auto"/>
          <w:highlight w:val="none"/>
        </w:rPr>
        <w:t>10</w:t>
      </w:r>
      <w:r>
        <w:rPr>
          <w:rFonts w:hint="eastAsia" w:cs="Times New Roman"/>
          <w:color w:val="auto"/>
          <w:highlight w:val="none"/>
        </w:rPr>
        <w:t>年一遇防洪标准，校核防洪标准取</w:t>
      </w:r>
      <w:r>
        <w:rPr>
          <w:rFonts w:cs="Times New Roman"/>
          <w:color w:val="auto"/>
          <w:highlight w:val="none"/>
        </w:rPr>
        <w:t>30</w:t>
      </w:r>
      <w:r>
        <w:rPr>
          <w:rFonts w:hint="eastAsia" w:cs="Times New Roman"/>
          <w:color w:val="auto"/>
          <w:highlight w:val="none"/>
        </w:rPr>
        <w:t>年一遇防洪标准。</w:t>
      </w:r>
      <w:r>
        <w:rPr>
          <w:rFonts w:cs="Times New Roman"/>
          <w:color w:val="auto"/>
          <w:highlight w:val="none"/>
        </w:rPr>
        <w:t>河道的防洪标准为20年一遇，排涝标准为5年一遇，所在河段的堤防、穿堤构筑物、跨河构筑物级别为4级，临时构筑物级别为5级。</w:t>
      </w:r>
    </w:p>
    <w:p>
      <w:pPr>
        <w:pStyle w:val="3"/>
        <w:spacing w:before="31" w:after="31"/>
        <w:rPr>
          <w:color w:val="auto"/>
          <w:highlight w:val="none"/>
        </w:rPr>
      </w:pPr>
      <w:bookmarkStart w:id="25" w:name="_Toc7728"/>
      <w:r>
        <w:rPr>
          <w:rFonts w:hint="eastAsia"/>
          <w:color w:val="auto"/>
          <w:highlight w:val="none"/>
        </w:rPr>
        <w:t>4.2工程任务和规模</w:t>
      </w:r>
      <w:bookmarkEnd w:id="25"/>
    </w:p>
    <w:p>
      <w:pPr>
        <w:ind w:firstLine="480"/>
        <w:rPr>
          <w:color w:val="auto"/>
          <w:highlight w:val="none"/>
        </w:rPr>
        <w:sectPr>
          <w:type w:val="continuous"/>
          <w:pgSz w:w="11906" w:h="16838"/>
          <w:pgMar w:top="1440" w:right="1797" w:bottom="1440" w:left="1797" w:header="851" w:footer="992" w:gutter="0"/>
          <w:pgNumType w:start="1"/>
          <w:cols w:space="720" w:num="1"/>
          <w:docGrid w:type="linesAndChars" w:linePitch="312" w:charSpace="0"/>
        </w:sectPr>
      </w:pPr>
    </w:p>
    <w:p>
      <w:pPr>
        <w:pStyle w:val="4"/>
        <w:rPr>
          <w:color w:val="auto"/>
          <w:highlight w:val="none"/>
        </w:rPr>
      </w:pPr>
      <w:r>
        <w:rPr>
          <w:rFonts w:hint="eastAsia"/>
          <w:color w:val="auto"/>
          <w:highlight w:val="none"/>
        </w:rPr>
        <w:t>4.2.1工程任务</w:t>
      </w:r>
    </w:p>
    <w:p>
      <w:pPr>
        <w:ind w:firstLine="480"/>
        <w:rPr>
          <w:color w:val="auto"/>
          <w:highlight w:val="none"/>
        </w:rPr>
      </w:pPr>
      <w:r>
        <w:rPr>
          <w:color w:val="auto"/>
          <w:highlight w:val="none"/>
        </w:rPr>
        <w:t>为满足枣庄市峄城区</w:t>
      </w:r>
      <w:r>
        <w:rPr>
          <w:rFonts w:hint="eastAsia"/>
          <w:color w:val="auto"/>
          <w:highlight w:val="none"/>
        </w:rPr>
        <w:t>居民</w:t>
      </w:r>
      <w:r>
        <w:rPr>
          <w:color w:val="auto"/>
          <w:highlight w:val="none"/>
        </w:rPr>
        <w:t>用水需求，</w:t>
      </w:r>
      <w:r>
        <w:rPr>
          <w:rFonts w:hint="eastAsia"/>
          <w:color w:val="auto"/>
          <w:highlight w:val="none"/>
        </w:rPr>
        <w:t>实现峄城区供水一体化，</w:t>
      </w:r>
      <w:r>
        <w:rPr>
          <w:color w:val="auto"/>
          <w:highlight w:val="none"/>
        </w:rPr>
        <w:t>峄城区</w:t>
      </w:r>
      <w:r>
        <w:rPr>
          <w:rFonts w:hint="eastAsia"/>
          <w:color w:val="auto"/>
          <w:highlight w:val="none"/>
        </w:rPr>
        <w:t>拟从</w:t>
      </w:r>
      <w:r>
        <w:rPr>
          <w:color w:val="auto"/>
          <w:highlight w:val="none"/>
        </w:rPr>
        <w:t>南四湖取水</w:t>
      </w:r>
      <w:r>
        <w:rPr>
          <w:rFonts w:hint="eastAsia"/>
          <w:color w:val="auto"/>
          <w:highlight w:val="none"/>
        </w:rPr>
        <w:t>，</w:t>
      </w:r>
      <w:r>
        <w:rPr>
          <w:color w:val="auto"/>
          <w:highlight w:val="none"/>
        </w:rPr>
        <w:t xml:space="preserve">采用南四湖地表水作为供水水源， </w:t>
      </w:r>
      <w:r>
        <w:rPr>
          <w:rFonts w:hint="eastAsia"/>
          <w:color w:val="auto"/>
          <w:highlight w:val="none"/>
        </w:rPr>
        <w:t>在</w:t>
      </w:r>
      <w:r>
        <w:rPr>
          <w:color w:val="auto"/>
          <w:highlight w:val="none"/>
        </w:rPr>
        <w:t>胜利灌区</w:t>
      </w:r>
      <w:r>
        <w:rPr>
          <w:rFonts w:hint="eastAsia"/>
          <w:color w:val="auto"/>
          <w:highlight w:val="none"/>
        </w:rPr>
        <w:t>渠首闸设</w:t>
      </w:r>
      <w:r>
        <w:rPr>
          <w:color w:val="auto"/>
          <w:highlight w:val="none"/>
        </w:rPr>
        <w:t>取水口将南四湖下级湖水通过加压泵站和输水管道调入龙泉庄水库，再由龙泉庄水库通过加压泵站和输水管道调入各自来水厂，自来水厂对调入的客水通过净水工艺流程后，沿输配水管网输送到各用水户。</w:t>
      </w:r>
    </w:p>
    <w:p>
      <w:pPr>
        <w:ind w:firstLine="480"/>
        <w:rPr>
          <w:color w:val="auto"/>
          <w:highlight w:val="none"/>
        </w:rPr>
      </w:pPr>
      <w:r>
        <w:rPr>
          <w:rFonts w:hint="eastAsia"/>
          <w:color w:val="auto"/>
          <w:highlight w:val="none"/>
        </w:rPr>
        <w:t>为提高峄城区城乡供水水平，缩小城乡供水差别，实施农村供水改造提升项目和城区供水管网提升改造工程。</w:t>
      </w:r>
    </w:p>
    <w:p>
      <w:pPr>
        <w:ind w:firstLine="480"/>
        <w:rPr>
          <w:color w:val="auto"/>
          <w:highlight w:val="none"/>
        </w:rPr>
      </w:pPr>
      <w:r>
        <w:rPr>
          <w:rFonts w:hint="eastAsia"/>
          <w:color w:val="auto"/>
          <w:highlight w:val="none"/>
        </w:rPr>
        <w:t>本项目主要建设内容如下：</w:t>
      </w:r>
    </w:p>
    <w:p>
      <w:pPr>
        <w:ind w:left="480" w:firstLine="0" w:firstLineChars="0"/>
        <w:rPr>
          <w:color w:val="auto"/>
          <w:highlight w:val="none"/>
        </w:rPr>
      </w:pPr>
      <w:r>
        <w:rPr>
          <w:rFonts w:hint="eastAsia"/>
          <w:color w:val="auto"/>
          <w:highlight w:val="none"/>
        </w:rPr>
        <w:t>1、南四湖取水工程</w:t>
      </w:r>
    </w:p>
    <w:p>
      <w:pPr>
        <w:ind w:firstLine="480"/>
        <w:rPr>
          <w:rFonts w:hint="eastAsia" w:eastAsia="宋体"/>
          <w:color w:val="auto"/>
          <w:highlight w:val="none"/>
          <w:lang w:val="en-US" w:eastAsia="zh-CN"/>
        </w:rPr>
      </w:pPr>
      <w:r>
        <w:rPr>
          <w:rFonts w:hint="eastAsia"/>
          <w:color w:val="auto"/>
          <w:highlight w:val="none"/>
        </w:rPr>
        <w:t>拟在南四湖胜利渠首闸上游（峄城辖区）设置</w:t>
      </w:r>
      <w:r>
        <w:rPr>
          <w:rFonts w:hint="eastAsia"/>
          <w:color w:val="auto"/>
          <w:highlight w:val="none"/>
          <w:lang w:val="en-US" w:eastAsia="zh-CN"/>
        </w:rPr>
        <w:t>八里沟</w:t>
      </w:r>
      <w:r>
        <w:rPr>
          <w:rFonts w:hint="eastAsia"/>
          <w:color w:val="auto"/>
          <w:highlight w:val="none"/>
        </w:rPr>
        <w:t>提水泵站</w:t>
      </w:r>
      <w:r>
        <w:rPr>
          <w:rFonts w:hint="eastAsia"/>
          <w:color w:val="auto"/>
          <w:highlight w:val="none"/>
          <w:lang w:eastAsia="zh-CN"/>
        </w:rPr>
        <w:t>，</w:t>
      </w:r>
      <w:r>
        <w:rPr>
          <w:rFonts w:hint="eastAsia"/>
          <w:color w:val="auto"/>
          <w:highlight w:val="none"/>
        </w:rPr>
        <w:t>将南四湖水调至</w:t>
      </w:r>
      <w:r>
        <w:rPr>
          <w:rFonts w:hint="eastAsia"/>
          <w:color w:val="auto"/>
          <w:highlight w:val="none"/>
          <w:lang w:val="en-US" w:eastAsia="zh-CN"/>
        </w:rPr>
        <w:t>上刘扬水站加压</w:t>
      </w:r>
      <w:r>
        <w:rPr>
          <w:rFonts w:hint="eastAsia"/>
          <w:color w:val="auto"/>
          <w:highlight w:val="none"/>
        </w:rPr>
        <w:t>，</w:t>
      </w:r>
      <w:r>
        <w:rPr>
          <w:rFonts w:hint="eastAsia"/>
          <w:color w:val="auto"/>
          <w:highlight w:val="none"/>
          <w:lang w:val="en-US" w:eastAsia="zh-CN"/>
        </w:rPr>
        <w:t>后</w:t>
      </w:r>
      <w:r>
        <w:rPr>
          <w:rFonts w:hint="eastAsia"/>
          <w:color w:val="auto"/>
          <w:highlight w:val="none"/>
        </w:rPr>
        <w:t>调至龙泉庄水库调蓄</w:t>
      </w:r>
      <w:r>
        <w:rPr>
          <w:rFonts w:hint="eastAsia"/>
          <w:color w:val="auto"/>
          <w:highlight w:val="none"/>
          <w:lang w:eastAsia="zh-CN"/>
        </w:rPr>
        <w:t>。</w:t>
      </w:r>
      <w:r>
        <w:rPr>
          <w:rFonts w:hint="eastAsia"/>
          <w:color w:val="auto"/>
          <w:highlight w:val="none"/>
        </w:rPr>
        <w:t>由</w:t>
      </w:r>
      <w:r>
        <w:rPr>
          <w:rFonts w:hint="eastAsia"/>
          <w:color w:val="auto"/>
          <w:highlight w:val="none"/>
          <w:lang w:val="en-US" w:eastAsia="zh-CN"/>
        </w:rPr>
        <w:t>龙泉庄水库泵站</w:t>
      </w:r>
      <w:r>
        <w:rPr>
          <w:rFonts w:hint="eastAsia"/>
          <w:color w:val="auto"/>
          <w:highlight w:val="none"/>
        </w:rPr>
        <w:t>加压</w:t>
      </w:r>
      <w:r>
        <w:rPr>
          <w:rFonts w:hint="eastAsia"/>
          <w:color w:val="auto"/>
          <w:highlight w:val="none"/>
          <w:lang w:val="en-US" w:eastAsia="zh-CN"/>
        </w:rPr>
        <w:t>后</w:t>
      </w:r>
      <w:r>
        <w:rPr>
          <w:rFonts w:hint="eastAsia"/>
          <w:color w:val="auto"/>
          <w:highlight w:val="none"/>
        </w:rPr>
        <w:t>分别输送至</w:t>
      </w:r>
      <w:r>
        <w:rPr>
          <w:rFonts w:hint="eastAsia"/>
          <w:color w:val="auto"/>
          <w:highlight w:val="none"/>
          <w:lang w:val="en-US" w:eastAsia="zh-CN"/>
        </w:rPr>
        <w:t>龙泉庄水库水厂和西棠阴扬水站，再由西棠阴扬水站加压后输送至娘娘村水库、</w:t>
      </w:r>
      <w:r>
        <w:rPr>
          <w:rFonts w:hint="eastAsia"/>
          <w:color w:val="auto"/>
          <w:highlight w:val="none"/>
        </w:rPr>
        <w:t>东郊水厂</w:t>
      </w:r>
      <w:r>
        <w:rPr>
          <w:rFonts w:hint="eastAsia"/>
          <w:color w:val="auto"/>
          <w:highlight w:val="none"/>
          <w:lang w:val="en-US" w:eastAsia="zh-CN"/>
        </w:rPr>
        <w:t>和吴林扬水站，由吴林扬水站加压后送至魏楼扬水站，再由魏楼扬水站加压后送至</w:t>
      </w:r>
      <w:r>
        <w:rPr>
          <w:rFonts w:hint="eastAsia"/>
          <w:color w:val="auto"/>
          <w:highlight w:val="none"/>
        </w:rPr>
        <w:t>东部水厂</w:t>
      </w:r>
      <w:r>
        <w:rPr>
          <w:rFonts w:hint="eastAsia"/>
          <w:color w:val="auto"/>
          <w:highlight w:val="none"/>
          <w:lang w:eastAsia="zh-CN"/>
        </w:rPr>
        <w:t>；</w:t>
      </w:r>
      <w:r>
        <w:rPr>
          <w:rFonts w:hint="eastAsia"/>
          <w:color w:val="auto"/>
          <w:highlight w:val="none"/>
          <w:lang w:val="en-US" w:eastAsia="zh-CN"/>
        </w:rPr>
        <w:t>拟</w:t>
      </w:r>
      <w:r>
        <w:rPr>
          <w:rFonts w:hint="eastAsia"/>
          <w:color w:val="auto"/>
          <w:highlight w:val="none"/>
        </w:rPr>
        <w:t>铺设DN900球墨铸铁管道</w:t>
      </w:r>
      <w:r>
        <w:rPr>
          <w:rFonts w:hint="eastAsia"/>
          <w:color w:val="auto"/>
          <w:highlight w:val="none"/>
          <w:lang w:val="en-US" w:eastAsia="zh-CN"/>
        </w:rPr>
        <w:t>72.74</w:t>
      </w:r>
      <w:r>
        <w:rPr>
          <w:rFonts w:hint="eastAsia"/>
          <w:color w:val="auto"/>
          <w:highlight w:val="none"/>
        </w:rPr>
        <w:t>km</w:t>
      </w:r>
      <w:r>
        <w:rPr>
          <w:rFonts w:hint="eastAsia"/>
          <w:color w:val="auto"/>
          <w:highlight w:val="none"/>
          <w:lang w:eastAsia="zh-CN"/>
        </w:rPr>
        <w:t>。</w:t>
      </w:r>
    </w:p>
    <w:p>
      <w:pPr>
        <w:ind w:firstLine="480"/>
        <w:rPr>
          <w:color w:val="auto"/>
          <w:highlight w:val="none"/>
        </w:rPr>
      </w:pPr>
      <w:r>
        <w:rPr>
          <w:rFonts w:hint="eastAsia"/>
          <w:color w:val="auto"/>
          <w:highlight w:val="none"/>
        </w:rPr>
        <w:t>2、龙泉庄水库清淤扩容工程</w:t>
      </w:r>
    </w:p>
    <w:p>
      <w:pPr>
        <w:ind w:firstLine="480"/>
        <w:rPr>
          <w:color w:val="auto"/>
          <w:highlight w:val="none"/>
        </w:rPr>
      </w:pPr>
      <w:r>
        <w:rPr>
          <w:rFonts w:hint="eastAsia"/>
          <w:color w:val="auto"/>
          <w:highlight w:val="none"/>
        </w:rPr>
        <w:t>龙泉庄水库经过几十年年运行，从未清淤，导致水库兴利库容不断萎缩，水库蓄水能力下降，亟需清淤。计划对龙泉庄水库实施清淤，恢复兴利库容29.78万m</w:t>
      </w:r>
      <w:r>
        <w:rPr>
          <w:rFonts w:hint="eastAsia"/>
          <w:color w:val="auto"/>
          <w:highlight w:val="none"/>
          <w:vertAlign w:val="superscript"/>
        </w:rPr>
        <w:t>3</w:t>
      </w:r>
      <w:r>
        <w:rPr>
          <w:rFonts w:hint="eastAsia"/>
          <w:color w:val="auto"/>
          <w:highlight w:val="none"/>
        </w:rPr>
        <w:t>。</w:t>
      </w:r>
    </w:p>
    <w:p>
      <w:pPr>
        <w:adjustRightInd w:val="0"/>
        <w:snapToGrid w:val="0"/>
        <w:ind w:firstLine="480"/>
        <w:rPr>
          <w:color w:val="auto"/>
          <w:highlight w:val="none"/>
        </w:rPr>
      </w:pPr>
      <w:r>
        <w:rPr>
          <w:rFonts w:hint="eastAsia"/>
          <w:color w:val="auto"/>
          <w:highlight w:val="none"/>
        </w:rPr>
        <w:t>水库扩容实施主要内容：水库大坝加高培厚、溢洪道改建并增设调节闸、放水洞改建、库区扩挖及库区周边抬田。</w:t>
      </w:r>
    </w:p>
    <w:p>
      <w:pPr>
        <w:ind w:firstLine="480"/>
        <w:rPr>
          <w:color w:val="auto"/>
          <w:highlight w:val="none"/>
        </w:rPr>
      </w:pPr>
      <w:r>
        <w:rPr>
          <w:rFonts w:hint="eastAsia"/>
          <w:color w:val="auto"/>
          <w:highlight w:val="none"/>
        </w:rPr>
        <w:t>3、</w:t>
      </w:r>
      <w:r>
        <w:rPr>
          <w:rFonts w:hint="eastAsia"/>
          <w:color w:val="auto"/>
          <w:highlight w:val="none"/>
          <w:lang w:val="en-US" w:eastAsia="zh-CN"/>
        </w:rPr>
        <w:t>龙泉庄水库水厂</w:t>
      </w:r>
      <w:r>
        <w:rPr>
          <w:rFonts w:hint="eastAsia"/>
          <w:color w:val="auto"/>
          <w:highlight w:val="none"/>
        </w:rPr>
        <w:t>工程</w:t>
      </w:r>
    </w:p>
    <w:p>
      <w:pPr>
        <w:ind w:firstLine="480"/>
        <w:rPr>
          <w:rFonts w:hint="eastAsia"/>
          <w:color w:val="auto"/>
          <w:highlight w:val="none"/>
          <w:lang w:val="en-US" w:eastAsia="zh-CN"/>
        </w:rPr>
      </w:pPr>
      <w:r>
        <w:rPr>
          <w:rFonts w:hint="eastAsia"/>
          <w:color w:val="auto"/>
          <w:highlight w:val="none"/>
          <w:lang w:val="en-US" w:eastAsia="zh-CN"/>
        </w:rPr>
        <w:t>龙泉庄水库水厂主要服务范围：榴园镇、阴平镇和古邵镇。净水厂日处理能力5万吨。新建龙泉庄水库水厂位于龙泉庄水库西北角，占地面积20亩，土地部分现状为林地，土地性质为坑塘水面及农用地-其他林地土地性质，土地权属分属为区城乡水务局及榴园镇龙泉村和马山套村。</w:t>
      </w:r>
    </w:p>
    <w:p>
      <w:pPr>
        <w:ind w:firstLine="480"/>
        <w:rPr>
          <w:rFonts w:hint="eastAsia"/>
          <w:color w:val="auto"/>
          <w:highlight w:val="none"/>
          <w:lang w:val="en-US" w:eastAsia="zh-CN"/>
        </w:rPr>
      </w:pPr>
      <w:r>
        <w:rPr>
          <w:rFonts w:hint="eastAsia"/>
          <w:color w:val="auto"/>
          <w:highlight w:val="none"/>
          <w:lang w:val="en-US" w:eastAsia="zh-CN"/>
        </w:rPr>
        <w:t>4、东郊水厂改扩建工程</w:t>
      </w:r>
    </w:p>
    <w:p>
      <w:pPr>
        <w:ind w:firstLine="480"/>
        <w:rPr>
          <w:rFonts w:hint="eastAsia"/>
          <w:color w:val="auto"/>
          <w:highlight w:val="none"/>
          <w:lang w:val="en-US" w:eastAsia="zh-CN"/>
        </w:rPr>
      </w:pPr>
      <w:r>
        <w:rPr>
          <w:rFonts w:hint="eastAsia"/>
          <w:color w:val="auto"/>
          <w:highlight w:val="none"/>
          <w:lang w:val="en-US" w:eastAsia="zh-CN"/>
        </w:rPr>
        <w:t>对现有东郊水厂实施改建为模块化地表水厂，设计净水能力3万m3/d，主要服务范围：峄城城区、坛山街道、吴林街道。位于峄城区坛山街道凤凰路东首路南，该水厂占地32亩，所有权属为峄城区城市供排水管理中心，全部为建设用地。</w:t>
      </w:r>
    </w:p>
    <w:p>
      <w:pPr>
        <w:ind w:firstLine="480"/>
        <w:rPr>
          <w:color w:val="auto"/>
          <w:highlight w:val="none"/>
        </w:rPr>
      </w:pPr>
      <w:r>
        <w:rPr>
          <w:rFonts w:hint="eastAsia"/>
          <w:color w:val="auto"/>
          <w:highlight w:val="none"/>
        </w:rPr>
        <w:t>5、东部水厂建设工程</w:t>
      </w:r>
    </w:p>
    <w:p>
      <w:pPr>
        <w:numPr>
          <w:ilvl w:val="0"/>
          <w:numId w:val="0"/>
        </w:numPr>
        <w:ind w:firstLine="480" w:firstLineChars="200"/>
        <w:rPr>
          <w:rFonts w:hint="default" w:ascii="仿宋_GB2312" w:hAnsi="仿宋_GB2312" w:eastAsia="仿宋_GB2312" w:cs="仿宋_GB2312"/>
          <w:color w:val="auto"/>
          <w:sz w:val="32"/>
          <w:szCs w:val="32"/>
          <w:highlight w:val="none"/>
          <w:lang w:val="en-US" w:eastAsia="zh-CN"/>
        </w:rPr>
      </w:pPr>
      <w:r>
        <w:rPr>
          <w:rFonts w:hint="eastAsia"/>
          <w:color w:val="auto"/>
          <w:highlight w:val="none"/>
        </w:rPr>
        <w:t>新建东部水厂，采用模块化净水设备，设计净水能力3万m</w:t>
      </w:r>
      <w:r>
        <w:rPr>
          <w:rFonts w:hint="eastAsia"/>
          <w:color w:val="auto"/>
          <w:highlight w:val="none"/>
          <w:vertAlign w:val="superscript"/>
        </w:rPr>
        <w:t>3</w:t>
      </w:r>
      <w:r>
        <w:rPr>
          <w:rFonts w:hint="eastAsia"/>
          <w:color w:val="auto"/>
          <w:highlight w:val="none"/>
        </w:rPr>
        <w:t>/d，主要服务范围：峨山镇、底阁镇。</w:t>
      </w:r>
      <w:r>
        <w:rPr>
          <w:rFonts w:hint="eastAsia"/>
          <w:color w:val="auto"/>
          <w:highlight w:val="none"/>
          <w:lang w:val="en-US" w:eastAsia="zh-CN"/>
        </w:rPr>
        <w:t>位于峨山镇前山头村西北，刘庄水库东侧，该地块现状为林地、裸岩地、土地性质为农用地-其它林地、未利用地，裸地，土地权属为峨山镇刘庄村，本次水厂用地约15亩。</w:t>
      </w:r>
    </w:p>
    <w:p>
      <w:pPr>
        <w:ind w:firstLine="480"/>
        <w:rPr>
          <w:color w:val="auto"/>
          <w:highlight w:val="none"/>
        </w:rPr>
      </w:pPr>
      <w:r>
        <w:rPr>
          <w:rFonts w:hint="eastAsia"/>
          <w:color w:val="auto"/>
          <w:highlight w:val="none"/>
        </w:rPr>
        <w:t>6、峄城区农村供水改造提升工程</w:t>
      </w:r>
    </w:p>
    <w:p>
      <w:pPr>
        <w:ind w:firstLine="480"/>
        <w:rPr>
          <w:color w:val="auto"/>
          <w:highlight w:val="none"/>
        </w:rPr>
      </w:pPr>
      <w:r>
        <w:rPr>
          <w:rFonts w:hint="eastAsia"/>
          <w:color w:val="auto"/>
          <w:highlight w:val="none"/>
        </w:rPr>
        <w:t>为保障农村饮用水水质安全，让村民喝上放心水，充分利用新建及扩建的西郊水厂、东部水厂及东郊水厂，铺设PE供水主管道与现有镇级和村级管网并网。共铺设管道149.12km，其中dn500PE管道2.30km，dn400PE管道21.40km，dn315PE管道38.55km，dn200PE管道21.30km，dn160PE管道37.74km，dn125PE管道6.39km，dn110PE管道11.50km，dn90PE管道8.14km，dn75PE管道1.80km；新建加压泵站5座；拆除恢复混凝土路面53500m</w:t>
      </w:r>
      <w:r>
        <w:rPr>
          <w:rFonts w:hint="eastAsia"/>
          <w:color w:val="auto"/>
          <w:highlight w:val="none"/>
          <w:vertAlign w:val="superscript"/>
        </w:rPr>
        <w:t>2</w:t>
      </w:r>
      <w:r>
        <w:rPr>
          <w:rFonts w:hint="eastAsia"/>
          <w:color w:val="auto"/>
          <w:highlight w:val="none"/>
        </w:rPr>
        <w:t>。</w:t>
      </w:r>
    </w:p>
    <w:p>
      <w:pPr>
        <w:ind w:firstLine="480"/>
        <w:rPr>
          <w:rFonts w:cs="Times New Roman"/>
          <w:color w:val="auto"/>
          <w:highlight w:val="none"/>
        </w:rPr>
      </w:pPr>
      <w:r>
        <w:rPr>
          <w:rFonts w:hint="eastAsia"/>
          <w:color w:val="auto"/>
          <w:highlight w:val="none"/>
        </w:rPr>
        <w:t>7、</w:t>
      </w:r>
      <w:r>
        <w:rPr>
          <w:rFonts w:cs="Times New Roman"/>
          <w:color w:val="auto"/>
          <w:highlight w:val="none"/>
        </w:rPr>
        <w:t>峄城区东部水系连通工程</w:t>
      </w:r>
    </w:p>
    <w:p>
      <w:pPr>
        <w:ind w:firstLine="480"/>
        <w:rPr>
          <w:rFonts w:cs="Times New Roman"/>
          <w:color w:val="auto"/>
          <w:highlight w:val="none"/>
        </w:rPr>
      </w:pPr>
      <w:r>
        <w:rPr>
          <w:rFonts w:cs="Times New Roman"/>
          <w:color w:val="auto"/>
          <w:highlight w:val="none"/>
        </w:rPr>
        <w:t>为提高灌溉水利用率，改善贾庄节制闸灌区管理设施和管理手段落后的现状，2019年峄城区水务局已对贾庄节制闸灌区实施节水配套改造工程，峄城区东部地区水系连通工程利用已完建的贾庄节制闸灌区实施节水配套改造工程进行延伸，在已延伸</w:t>
      </w:r>
      <w:r>
        <w:rPr>
          <w:rFonts w:hint="eastAsia" w:cs="Times New Roman"/>
          <w:color w:val="auto"/>
          <w:highlight w:val="none"/>
        </w:rPr>
        <w:t>渠道、</w:t>
      </w:r>
      <w:r>
        <w:rPr>
          <w:rFonts w:cs="Times New Roman"/>
          <w:color w:val="auto"/>
          <w:highlight w:val="none"/>
        </w:rPr>
        <w:t>管道与左庄沙河、大刘庄河、新沟河、拉沟河及陶沟河交叉处设分水口，适时对河道进行生态补水，同时设分水管道调水至刘庄水库</w:t>
      </w:r>
      <w:r>
        <w:rPr>
          <w:rFonts w:hint="eastAsia" w:cs="Times New Roman"/>
          <w:color w:val="auto"/>
          <w:highlight w:val="none"/>
        </w:rPr>
        <w:t>，同时对</w:t>
      </w:r>
      <w:r>
        <w:rPr>
          <w:rFonts w:cs="Times New Roman"/>
          <w:color w:val="auto"/>
          <w:highlight w:val="none"/>
        </w:rPr>
        <w:t>左庄沙河、大刘庄河、新沟河、拉沟河及陶沟河，其中左庄河治理长度</w:t>
      </w:r>
      <w:r>
        <w:rPr>
          <w:rFonts w:hint="eastAsia" w:cs="Times New Roman"/>
          <w:color w:val="auto"/>
          <w:highlight w:val="none"/>
        </w:rPr>
        <w:t>6.50</w:t>
      </w:r>
      <w:r>
        <w:rPr>
          <w:rFonts w:cs="Times New Roman"/>
          <w:color w:val="auto"/>
          <w:highlight w:val="none"/>
        </w:rPr>
        <w:t>km；大刘庄河治理长度5.1</w:t>
      </w:r>
      <w:r>
        <w:rPr>
          <w:rFonts w:hint="eastAsia" w:cs="Times New Roman"/>
          <w:color w:val="auto"/>
          <w:highlight w:val="none"/>
        </w:rPr>
        <w:t>0</w:t>
      </w:r>
      <w:r>
        <w:rPr>
          <w:rFonts w:cs="Times New Roman"/>
          <w:color w:val="auto"/>
          <w:highlight w:val="none"/>
        </w:rPr>
        <w:t>km；新沟河（西支）治理长度5.70km；新沟河（东支）治理长度9.</w:t>
      </w:r>
      <w:r>
        <w:rPr>
          <w:rFonts w:hint="eastAsia" w:cs="Times New Roman"/>
          <w:color w:val="auto"/>
          <w:highlight w:val="none"/>
        </w:rPr>
        <w:t>4</w:t>
      </w:r>
      <w:r>
        <w:rPr>
          <w:rFonts w:cs="Times New Roman"/>
          <w:color w:val="auto"/>
          <w:highlight w:val="none"/>
        </w:rPr>
        <w:t>0km；拉沟河治理长度6.</w:t>
      </w:r>
      <w:r>
        <w:rPr>
          <w:rFonts w:hint="eastAsia" w:cs="Times New Roman"/>
          <w:color w:val="auto"/>
          <w:highlight w:val="none"/>
        </w:rPr>
        <w:t>6</w:t>
      </w:r>
      <w:r>
        <w:rPr>
          <w:rFonts w:cs="Times New Roman"/>
          <w:color w:val="auto"/>
          <w:highlight w:val="none"/>
        </w:rPr>
        <w:t>0km；陶沟河治理长度5.</w:t>
      </w:r>
      <w:r>
        <w:rPr>
          <w:rFonts w:hint="eastAsia" w:cs="Times New Roman"/>
          <w:color w:val="auto"/>
          <w:highlight w:val="none"/>
        </w:rPr>
        <w:t>3</w:t>
      </w:r>
      <w:r>
        <w:rPr>
          <w:rFonts w:cs="Times New Roman"/>
          <w:color w:val="auto"/>
          <w:highlight w:val="none"/>
        </w:rPr>
        <w:t>0km。主要工程内容：清淤疏浚、堤防填筑、新建橡胶坝。</w:t>
      </w:r>
    </w:p>
    <w:p>
      <w:pPr>
        <w:pStyle w:val="4"/>
        <w:rPr>
          <w:color w:val="auto"/>
          <w:highlight w:val="none"/>
        </w:rPr>
      </w:pPr>
      <w:r>
        <w:rPr>
          <w:rFonts w:hint="eastAsia"/>
          <w:color w:val="auto"/>
          <w:highlight w:val="none"/>
        </w:rPr>
        <w:t>4.2.2工程规模</w:t>
      </w:r>
    </w:p>
    <w:p>
      <w:pPr>
        <w:ind w:firstLine="480"/>
        <w:rPr>
          <w:color w:val="auto"/>
          <w:highlight w:val="none"/>
        </w:rPr>
      </w:pPr>
      <w:r>
        <w:rPr>
          <w:color w:val="auto"/>
          <w:highlight w:val="none"/>
        </w:rPr>
        <w:t>根据《防洪标准》（GB50201-2014）</w:t>
      </w:r>
      <w:r>
        <w:rPr>
          <w:rFonts w:hint="eastAsia"/>
          <w:color w:val="auto"/>
          <w:highlight w:val="none"/>
        </w:rPr>
        <w:t>、《水利水电工程等级划分及洪水标准》（SL252-2017）</w:t>
      </w:r>
      <w:r>
        <w:rPr>
          <w:color w:val="auto"/>
          <w:highlight w:val="none"/>
        </w:rPr>
        <w:t>及《堤防工程设计规范》（</w:t>
      </w:r>
      <w:r>
        <w:rPr>
          <w:rFonts w:hint="eastAsia"/>
          <w:color w:val="auto"/>
          <w:highlight w:val="none"/>
        </w:rPr>
        <w:t>GB50286-2013</w:t>
      </w:r>
      <w:r>
        <w:rPr>
          <w:color w:val="auto"/>
          <w:highlight w:val="none"/>
        </w:rPr>
        <w:t>）</w:t>
      </w:r>
      <w:r>
        <w:rPr>
          <w:rFonts w:hint="eastAsia"/>
          <w:color w:val="auto"/>
          <w:highlight w:val="none"/>
        </w:rPr>
        <w:t>确定各类工程规模如下：</w:t>
      </w:r>
    </w:p>
    <w:p>
      <w:pPr>
        <w:ind w:firstLine="480"/>
        <w:rPr>
          <w:color w:val="auto"/>
          <w:highlight w:val="none"/>
        </w:rPr>
      </w:pPr>
      <w:r>
        <w:rPr>
          <w:rFonts w:hint="eastAsia"/>
          <w:color w:val="auto"/>
          <w:highlight w:val="none"/>
        </w:rPr>
        <w:t>1、南四湖取水工程：</w:t>
      </w:r>
    </w:p>
    <w:p>
      <w:pPr>
        <w:adjustRightInd w:val="0"/>
        <w:snapToGrid w:val="0"/>
        <w:ind w:firstLine="480"/>
        <w:rPr>
          <w:color w:val="auto"/>
          <w:highlight w:val="none"/>
        </w:rPr>
      </w:pPr>
      <w:r>
        <w:rPr>
          <w:color w:val="auto"/>
          <w:highlight w:val="none"/>
        </w:rPr>
        <w:t>工程设计年引水量为</w:t>
      </w:r>
      <w:r>
        <w:rPr>
          <w:rFonts w:hint="eastAsia"/>
          <w:color w:val="auto"/>
          <w:highlight w:val="none"/>
          <w:lang w:val="en-US" w:eastAsia="zh-CN"/>
        </w:rPr>
        <w:t>1277</w:t>
      </w:r>
      <w:r>
        <w:rPr>
          <w:color w:val="auto"/>
          <w:highlight w:val="none"/>
        </w:rPr>
        <w:t>万m³</w:t>
      </w:r>
      <w:r>
        <w:rPr>
          <w:rFonts w:hint="eastAsia"/>
          <w:color w:val="auto"/>
          <w:highlight w:val="none"/>
        </w:rPr>
        <w:t>，设计</w:t>
      </w:r>
      <w:r>
        <w:rPr>
          <w:color w:val="auto"/>
          <w:highlight w:val="none"/>
        </w:rPr>
        <w:t>流量</w:t>
      </w:r>
      <w:r>
        <w:rPr>
          <w:rFonts w:hint="eastAsia"/>
          <w:color w:val="auto"/>
          <w:highlight w:val="none"/>
        </w:rPr>
        <w:t>0.8</w:t>
      </w:r>
      <w:r>
        <w:rPr>
          <w:color w:val="auto"/>
          <w:highlight w:val="none"/>
        </w:rPr>
        <w:t>m³/s</w:t>
      </w:r>
      <w:r>
        <w:rPr>
          <w:rFonts w:hint="eastAsia"/>
          <w:color w:val="auto"/>
          <w:highlight w:val="none"/>
        </w:rPr>
        <w:t>，</w:t>
      </w:r>
      <w:r>
        <w:rPr>
          <w:color w:val="auto"/>
          <w:highlight w:val="none"/>
        </w:rPr>
        <w:t>运行</w:t>
      </w:r>
      <w:r>
        <w:rPr>
          <w:rFonts w:hint="eastAsia"/>
          <w:color w:val="auto"/>
          <w:highlight w:val="none"/>
        </w:rPr>
        <w:t>246</w:t>
      </w:r>
      <w:r>
        <w:rPr>
          <w:color w:val="auto"/>
          <w:highlight w:val="none"/>
        </w:rPr>
        <w:t>天。依据《水利水电工程等级划分及洪水标准》（SL252-2017）</w:t>
      </w:r>
      <w:r>
        <w:rPr>
          <w:rFonts w:hint="eastAsia"/>
          <w:color w:val="auto"/>
          <w:highlight w:val="none"/>
        </w:rPr>
        <w:t>、</w:t>
      </w:r>
      <w:r>
        <w:rPr>
          <w:color w:val="auto"/>
          <w:highlight w:val="none"/>
        </w:rPr>
        <w:t>《调水工程设计导则》（SL430-2008），根据供水对象重要程度、设计流量及年引水量综合确定：等别为</w:t>
      </w:r>
      <w:r>
        <w:rPr>
          <w:rFonts w:hint="eastAsia" w:ascii="宋体" w:hAnsi="宋体"/>
          <w:color w:val="auto"/>
          <w:highlight w:val="none"/>
        </w:rPr>
        <w:t>Ⅲ</w:t>
      </w:r>
      <w:r>
        <w:rPr>
          <w:color w:val="auto"/>
          <w:highlight w:val="none"/>
        </w:rPr>
        <w:t>等，工程规模为</w:t>
      </w:r>
      <w:r>
        <w:rPr>
          <w:rFonts w:hint="eastAsia"/>
          <w:color w:val="auto"/>
          <w:highlight w:val="none"/>
        </w:rPr>
        <w:t>中</w:t>
      </w:r>
      <w:r>
        <w:rPr>
          <w:color w:val="auto"/>
          <w:highlight w:val="none"/>
        </w:rPr>
        <w:t>型。</w:t>
      </w:r>
    </w:p>
    <w:p>
      <w:pPr>
        <w:ind w:firstLine="480"/>
        <w:rPr>
          <w:color w:val="auto"/>
          <w:highlight w:val="none"/>
        </w:rPr>
      </w:pPr>
      <w:r>
        <w:rPr>
          <w:rFonts w:hint="eastAsia"/>
          <w:color w:val="auto"/>
          <w:highlight w:val="none"/>
        </w:rPr>
        <w:t>2、龙泉庄水库清淤扩容工程：</w:t>
      </w:r>
    </w:p>
    <w:p>
      <w:pPr>
        <w:ind w:firstLine="480"/>
        <w:rPr>
          <w:color w:val="auto"/>
          <w:highlight w:val="none"/>
        </w:rPr>
      </w:pPr>
      <w:r>
        <w:rPr>
          <w:color w:val="auto"/>
          <w:highlight w:val="none"/>
        </w:rPr>
        <w:t>根据《水利水电工程等级划分及洪水标准》（SL252-2</w:t>
      </w:r>
      <w:r>
        <w:rPr>
          <w:rFonts w:hint="eastAsia"/>
          <w:color w:val="auto"/>
          <w:highlight w:val="none"/>
        </w:rPr>
        <w:t>017</w:t>
      </w:r>
      <w:r>
        <w:rPr>
          <w:color w:val="auto"/>
          <w:highlight w:val="none"/>
        </w:rPr>
        <w:t>），</w:t>
      </w:r>
      <w:r>
        <w:rPr>
          <w:rFonts w:hint="eastAsia"/>
          <w:color w:val="auto"/>
          <w:highlight w:val="none"/>
        </w:rPr>
        <w:t>龙泉庄</w:t>
      </w:r>
      <w:r>
        <w:rPr>
          <w:color w:val="auto"/>
          <w:highlight w:val="none"/>
        </w:rPr>
        <w:t>水库属于</w:t>
      </w:r>
      <w:r>
        <w:rPr>
          <w:rFonts w:hint="eastAsia"/>
          <w:color w:val="auto"/>
          <w:highlight w:val="none"/>
        </w:rPr>
        <w:t>小（1）</w:t>
      </w:r>
      <w:r>
        <w:rPr>
          <w:color w:val="auto"/>
          <w:highlight w:val="none"/>
        </w:rPr>
        <w:t>型水库，工程等别为</w:t>
      </w:r>
      <w:r>
        <w:rPr>
          <w:rFonts w:hint="eastAsia" w:ascii="宋体" w:hAnsi="宋体"/>
          <w:color w:val="auto"/>
          <w:highlight w:val="none"/>
        </w:rPr>
        <w:t>Ⅳ</w:t>
      </w:r>
      <w:r>
        <w:rPr>
          <w:color w:val="auto"/>
          <w:highlight w:val="none"/>
        </w:rPr>
        <w:t>等，其永久性主要建筑物大坝、溢洪道、放水洞等均为</w:t>
      </w:r>
      <w:r>
        <w:rPr>
          <w:rFonts w:hint="eastAsia"/>
          <w:color w:val="auto"/>
          <w:highlight w:val="none"/>
        </w:rPr>
        <w:t>4</w:t>
      </w:r>
      <w:r>
        <w:rPr>
          <w:color w:val="auto"/>
          <w:highlight w:val="none"/>
        </w:rPr>
        <w:t>级建筑物。</w:t>
      </w:r>
    </w:p>
    <w:p>
      <w:pPr>
        <w:ind w:firstLine="480"/>
        <w:rPr>
          <w:color w:val="auto"/>
          <w:highlight w:val="none"/>
        </w:rPr>
      </w:pPr>
      <w:r>
        <w:rPr>
          <w:rFonts w:hint="eastAsia"/>
          <w:color w:val="auto"/>
          <w:highlight w:val="none"/>
        </w:rPr>
        <w:t>3、净水厂建设工程</w:t>
      </w:r>
    </w:p>
    <w:p>
      <w:pPr>
        <w:ind w:firstLine="480"/>
        <w:rPr>
          <w:color w:val="auto"/>
          <w:highlight w:val="none"/>
        </w:rPr>
      </w:pPr>
      <w:r>
        <w:rPr>
          <w:rFonts w:hint="eastAsia"/>
          <w:color w:val="auto"/>
          <w:highlight w:val="none"/>
        </w:rPr>
        <w:t>根据建设方要求与用水需求预测、供水现状的平衡及水源条件，确定：</w:t>
      </w:r>
      <w:r>
        <w:rPr>
          <w:rFonts w:hint="eastAsia"/>
          <w:color w:val="auto"/>
          <w:highlight w:val="none"/>
          <w:lang w:val="en-US" w:eastAsia="zh-CN"/>
        </w:rPr>
        <w:t>龙泉庄水库</w:t>
      </w:r>
      <w:r>
        <w:rPr>
          <w:rFonts w:hint="eastAsia"/>
          <w:color w:val="auto"/>
          <w:highlight w:val="none"/>
        </w:rPr>
        <w:t>建设规模为</w:t>
      </w:r>
      <w:r>
        <w:rPr>
          <w:rFonts w:hint="eastAsia"/>
          <w:color w:val="auto"/>
          <w:highlight w:val="none"/>
          <w:lang w:val="en-US" w:eastAsia="zh-CN"/>
        </w:rPr>
        <w:t>5</w:t>
      </w:r>
      <w:r>
        <w:rPr>
          <w:rFonts w:hint="eastAsia"/>
          <w:color w:val="auto"/>
          <w:highlight w:val="none"/>
        </w:rPr>
        <w:t>万 m</w:t>
      </w:r>
      <w:r>
        <w:rPr>
          <w:rFonts w:hint="eastAsia"/>
          <w:color w:val="auto"/>
          <w:highlight w:val="none"/>
          <w:vertAlign w:val="superscript"/>
        </w:rPr>
        <w:t xml:space="preserve"> 3 </w:t>
      </w:r>
      <w:r>
        <w:rPr>
          <w:rFonts w:hint="eastAsia"/>
          <w:color w:val="auto"/>
          <w:highlight w:val="none"/>
        </w:rPr>
        <w:t>/d，</w:t>
      </w:r>
      <w:r>
        <w:rPr>
          <w:rFonts w:hint="eastAsia"/>
          <w:color w:val="auto"/>
          <w:highlight w:val="none"/>
          <w:lang w:val="en-US" w:eastAsia="zh-CN"/>
        </w:rPr>
        <w:t>东郊水厂和东部水厂建设规模为3万</w:t>
      </w:r>
      <w:r>
        <w:rPr>
          <w:rFonts w:hint="eastAsia"/>
          <w:color w:val="auto"/>
          <w:highlight w:val="none"/>
        </w:rPr>
        <w:t xml:space="preserve"> m</w:t>
      </w:r>
      <w:r>
        <w:rPr>
          <w:rFonts w:hint="eastAsia"/>
          <w:color w:val="auto"/>
          <w:highlight w:val="none"/>
          <w:vertAlign w:val="superscript"/>
        </w:rPr>
        <w:t xml:space="preserve"> 3 </w:t>
      </w:r>
      <w:r>
        <w:rPr>
          <w:rFonts w:hint="eastAsia"/>
          <w:color w:val="auto"/>
          <w:highlight w:val="none"/>
        </w:rPr>
        <w:t>/d，共建设3座。</w:t>
      </w:r>
    </w:p>
    <w:p>
      <w:pPr>
        <w:ind w:firstLine="480"/>
        <w:rPr>
          <w:color w:val="auto"/>
          <w:highlight w:val="none"/>
        </w:rPr>
      </w:pPr>
      <w:r>
        <w:rPr>
          <w:color w:val="auto"/>
          <w:highlight w:val="none"/>
        </w:rPr>
        <w:t>4</w:t>
      </w:r>
      <w:r>
        <w:rPr>
          <w:rFonts w:hint="eastAsia"/>
          <w:color w:val="auto"/>
          <w:highlight w:val="none"/>
        </w:rPr>
        <w:t>、</w:t>
      </w:r>
      <w:r>
        <w:rPr>
          <w:rFonts w:cs="Times New Roman"/>
          <w:color w:val="auto"/>
          <w:highlight w:val="none"/>
        </w:rPr>
        <w:t>峄城区东部水系连通工程</w:t>
      </w:r>
    </w:p>
    <w:p>
      <w:pPr>
        <w:ind w:firstLine="480"/>
        <w:rPr>
          <w:color w:val="auto"/>
          <w:highlight w:val="none"/>
        </w:rPr>
      </w:pPr>
      <w:r>
        <w:rPr>
          <w:rFonts w:cs="Times New Roman"/>
          <w:color w:val="auto"/>
          <w:highlight w:val="none"/>
        </w:rPr>
        <w:t>工程设计流量0.93m³/s</w:t>
      </w:r>
      <w:r>
        <w:rPr>
          <w:rFonts w:hint="eastAsia" w:cs="Times New Roman"/>
          <w:color w:val="auto"/>
          <w:highlight w:val="none"/>
        </w:rPr>
        <w:t>，</w:t>
      </w:r>
      <w:r>
        <w:rPr>
          <w:rFonts w:cs="Times New Roman"/>
          <w:color w:val="auto"/>
          <w:highlight w:val="none"/>
        </w:rPr>
        <w:t>依据《水利水电工程等级划分及洪水标准》（SL252-2017）、《调水工程设计导则》（SL430-2008），根据供水对象重要程度、设计流量综合确定：等别为Ⅳ等，工程规模为</w:t>
      </w:r>
      <w:r>
        <w:rPr>
          <w:rFonts w:hint="eastAsia" w:cs="Times New Roman"/>
          <w:color w:val="auto"/>
          <w:highlight w:val="none"/>
        </w:rPr>
        <w:t>小型</w:t>
      </w:r>
      <w:r>
        <w:rPr>
          <w:rFonts w:cs="Times New Roman"/>
          <w:color w:val="auto"/>
          <w:highlight w:val="none"/>
        </w:rPr>
        <w:t>。</w:t>
      </w:r>
    </w:p>
    <w:p>
      <w:pPr>
        <w:pStyle w:val="3"/>
        <w:spacing w:before="31" w:after="31"/>
        <w:rPr>
          <w:color w:val="auto"/>
          <w:highlight w:val="none"/>
        </w:rPr>
      </w:pPr>
      <w:bookmarkStart w:id="26" w:name="_Toc7750"/>
      <w:r>
        <w:rPr>
          <w:rFonts w:hint="eastAsia"/>
          <w:color w:val="auto"/>
          <w:highlight w:val="none"/>
        </w:rPr>
        <w:t>4.3工程总体布局</w:t>
      </w:r>
      <w:bookmarkEnd w:id="26"/>
    </w:p>
    <w:p>
      <w:pPr>
        <w:ind w:firstLine="480"/>
        <w:rPr>
          <w:color w:val="auto"/>
          <w:highlight w:val="none"/>
        </w:rPr>
      </w:pPr>
      <w:r>
        <w:rPr>
          <w:color w:val="auto"/>
          <w:highlight w:val="none"/>
        </w:rPr>
        <w:t>为满足枣庄市峄城区</w:t>
      </w:r>
      <w:r>
        <w:rPr>
          <w:rFonts w:hint="eastAsia"/>
          <w:color w:val="auto"/>
          <w:highlight w:val="none"/>
        </w:rPr>
        <w:t>居民</w:t>
      </w:r>
      <w:r>
        <w:rPr>
          <w:color w:val="auto"/>
          <w:highlight w:val="none"/>
        </w:rPr>
        <w:t>用水需求</w:t>
      </w:r>
      <w:r>
        <w:rPr>
          <w:rFonts w:hint="eastAsia"/>
          <w:color w:val="auto"/>
          <w:highlight w:val="none"/>
        </w:rPr>
        <w:t>，</w:t>
      </w:r>
      <w:r>
        <w:rPr>
          <w:color w:val="auto"/>
          <w:highlight w:val="none"/>
        </w:rPr>
        <w:t>峄城区</w:t>
      </w:r>
      <w:r>
        <w:rPr>
          <w:rFonts w:hint="eastAsia"/>
          <w:color w:val="auto"/>
          <w:highlight w:val="none"/>
        </w:rPr>
        <w:t>拟从</w:t>
      </w:r>
      <w:r>
        <w:rPr>
          <w:color w:val="auto"/>
          <w:highlight w:val="none"/>
        </w:rPr>
        <w:t>南四湖取水</w:t>
      </w:r>
      <w:r>
        <w:rPr>
          <w:rFonts w:hint="eastAsia"/>
          <w:color w:val="auto"/>
          <w:highlight w:val="none"/>
        </w:rPr>
        <w:t>，</w:t>
      </w:r>
      <w:r>
        <w:rPr>
          <w:color w:val="auto"/>
          <w:highlight w:val="none"/>
        </w:rPr>
        <w:t xml:space="preserve">采用南四湖地表水作为供水水源， </w:t>
      </w:r>
      <w:r>
        <w:rPr>
          <w:rFonts w:hint="eastAsia"/>
          <w:color w:val="auto"/>
          <w:highlight w:val="none"/>
        </w:rPr>
        <w:t>在</w:t>
      </w:r>
      <w:r>
        <w:rPr>
          <w:color w:val="auto"/>
          <w:highlight w:val="none"/>
        </w:rPr>
        <w:t>胜利灌区</w:t>
      </w:r>
      <w:r>
        <w:rPr>
          <w:rFonts w:hint="eastAsia"/>
          <w:color w:val="auto"/>
          <w:highlight w:val="none"/>
        </w:rPr>
        <w:t>渠首闸设</w:t>
      </w:r>
      <w:r>
        <w:rPr>
          <w:color w:val="auto"/>
          <w:highlight w:val="none"/>
        </w:rPr>
        <w:t>取水口将南四湖下级湖水通过加压泵站和输水管道调入龙泉庄水库，再由龙泉庄水库通过加压泵站和输水管道调入各自来水厂，自来水厂对调入的客水通过净水工艺流程后，沿输配水管网输送到各用水户。</w:t>
      </w:r>
    </w:p>
    <w:p>
      <w:pPr>
        <w:ind w:firstLine="480"/>
        <w:rPr>
          <w:color w:val="auto"/>
          <w:highlight w:val="none"/>
        </w:rPr>
      </w:pPr>
      <w:r>
        <w:rPr>
          <w:color w:val="auto"/>
          <w:highlight w:val="none"/>
        </w:rPr>
        <w:t>在已规划实施的贾庄节制闸灌区节水配套改造项目的基础上进行延伸，</w:t>
      </w:r>
      <w:r>
        <w:rPr>
          <w:rFonts w:hint="eastAsia"/>
          <w:color w:val="auto"/>
          <w:highlight w:val="none"/>
        </w:rPr>
        <w:t>在已建渠道与左庄沙河交叉处设分水闸，对左庄沙河进行补水，同时对左庄沙河分水闸至前香屯段、前香屯南至新沟河（东支）段进行护砌，渠道</w:t>
      </w:r>
      <w:r>
        <w:rPr>
          <w:color w:val="auto"/>
          <w:highlight w:val="none"/>
        </w:rPr>
        <w:t>与河道交叉处设分水口，连通左庄沙河、大刘庄河、新沟河、拉沟河，适时对河道进行生态补水。</w:t>
      </w:r>
    </w:p>
    <w:p>
      <w:pPr>
        <w:ind w:firstLine="480"/>
        <w:rPr>
          <w:b/>
          <w:bCs/>
          <w:color w:val="auto"/>
          <w:kern w:val="44"/>
          <w:sz w:val="32"/>
          <w:szCs w:val="44"/>
          <w:highlight w:val="none"/>
        </w:rPr>
      </w:pPr>
      <w:r>
        <w:rPr>
          <w:color w:val="auto"/>
          <w:highlight w:val="none"/>
        </w:rPr>
        <w:t>在圈里村西新建提升泵站，调水管线沿村村通道路向北铺设，途经圈里、魏楼、邱家庄、倪堂、王家庄至刘庄水库，在前进桥处向东沿S234省道铺设分水管线，在途经拉沟河、陶沟河处设分水口，对河道进行适时生态补水。</w:t>
      </w:r>
      <w:r>
        <w:rPr>
          <w:color w:val="auto"/>
          <w:highlight w:val="none"/>
        </w:rPr>
        <w:br w:type="page"/>
      </w:r>
    </w:p>
    <w:p>
      <w:pPr>
        <w:pStyle w:val="2"/>
        <w:rPr>
          <w:color w:val="auto"/>
          <w:highlight w:val="none"/>
        </w:rPr>
      </w:pPr>
      <w:bookmarkStart w:id="27" w:name="_Toc1909"/>
      <w:r>
        <w:rPr>
          <w:rFonts w:hint="eastAsia"/>
          <w:color w:val="auto"/>
          <w:highlight w:val="none"/>
        </w:rPr>
        <w:t>5工程设计</w:t>
      </w:r>
      <w:bookmarkEnd w:id="27"/>
    </w:p>
    <w:p>
      <w:pPr>
        <w:pStyle w:val="3"/>
        <w:rPr>
          <w:color w:val="auto"/>
          <w:highlight w:val="none"/>
        </w:rPr>
      </w:pPr>
      <w:bookmarkStart w:id="28" w:name="_Toc17088"/>
      <w:r>
        <w:rPr>
          <w:rFonts w:hint="eastAsia"/>
          <w:color w:val="auto"/>
          <w:highlight w:val="none"/>
        </w:rPr>
        <w:t>5.1设计依据</w:t>
      </w:r>
      <w:bookmarkEnd w:id="28"/>
    </w:p>
    <w:p>
      <w:pPr>
        <w:pStyle w:val="4"/>
        <w:rPr>
          <w:color w:val="auto"/>
          <w:highlight w:val="none"/>
        </w:rPr>
      </w:pPr>
      <w:r>
        <w:rPr>
          <w:rFonts w:hint="eastAsia"/>
          <w:color w:val="auto"/>
          <w:highlight w:val="none"/>
        </w:rPr>
        <w:t>5.1.1</w:t>
      </w:r>
      <w:r>
        <w:rPr>
          <w:color w:val="auto"/>
          <w:highlight w:val="none"/>
        </w:rPr>
        <w:t>主要法律法规</w:t>
      </w:r>
    </w:p>
    <w:p>
      <w:pPr>
        <w:ind w:firstLine="480"/>
        <w:rPr>
          <w:color w:val="auto"/>
          <w:highlight w:val="none"/>
        </w:rPr>
      </w:pPr>
      <w:r>
        <w:rPr>
          <w:rFonts w:hint="eastAsia"/>
          <w:color w:val="auto"/>
          <w:highlight w:val="none"/>
        </w:rPr>
        <w:t>1、</w:t>
      </w:r>
      <w:r>
        <w:rPr>
          <w:color w:val="auto"/>
          <w:highlight w:val="none"/>
        </w:rPr>
        <w:t>《中华人民共和国水法》</w:t>
      </w:r>
      <w:r>
        <w:rPr>
          <w:rFonts w:hint="eastAsia"/>
          <w:color w:val="auto"/>
          <w:highlight w:val="none"/>
        </w:rPr>
        <w:t>；</w:t>
      </w:r>
    </w:p>
    <w:p>
      <w:pPr>
        <w:ind w:firstLine="480"/>
        <w:rPr>
          <w:color w:val="auto"/>
          <w:highlight w:val="none"/>
        </w:rPr>
      </w:pPr>
      <w:r>
        <w:rPr>
          <w:rFonts w:hint="eastAsia"/>
          <w:color w:val="auto"/>
          <w:highlight w:val="none"/>
        </w:rPr>
        <w:t>2、</w:t>
      </w:r>
      <w:r>
        <w:rPr>
          <w:color w:val="auto"/>
          <w:highlight w:val="none"/>
        </w:rPr>
        <w:t>《中华人民共和国防洪法》</w:t>
      </w:r>
      <w:r>
        <w:rPr>
          <w:rFonts w:hint="eastAsia"/>
          <w:color w:val="auto"/>
          <w:highlight w:val="none"/>
        </w:rPr>
        <w:t>；</w:t>
      </w:r>
    </w:p>
    <w:p>
      <w:pPr>
        <w:ind w:firstLine="480"/>
        <w:rPr>
          <w:color w:val="auto"/>
          <w:highlight w:val="none"/>
        </w:rPr>
      </w:pPr>
      <w:r>
        <w:rPr>
          <w:rFonts w:hint="eastAsia"/>
          <w:color w:val="auto"/>
          <w:highlight w:val="none"/>
        </w:rPr>
        <w:t>3、</w:t>
      </w:r>
      <w:r>
        <w:rPr>
          <w:color w:val="auto"/>
          <w:highlight w:val="none"/>
        </w:rPr>
        <w:t>《中华人民共和国水土保持法》</w:t>
      </w:r>
      <w:r>
        <w:rPr>
          <w:rFonts w:hint="eastAsia"/>
          <w:color w:val="auto"/>
          <w:highlight w:val="none"/>
        </w:rPr>
        <w:t>；</w:t>
      </w:r>
    </w:p>
    <w:p>
      <w:pPr>
        <w:ind w:firstLine="480"/>
        <w:rPr>
          <w:color w:val="auto"/>
          <w:highlight w:val="none"/>
        </w:rPr>
      </w:pPr>
      <w:r>
        <w:rPr>
          <w:rFonts w:hint="eastAsia"/>
          <w:color w:val="auto"/>
          <w:highlight w:val="none"/>
        </w:rPr>
        <w:t>4、</w:t>
      </w:r>
      <w:r>
        <w:rPr>
          <w:color w:val="auto"/>
          <w:highlight w:val="none"/>
        </w:rPr>
        <w:t>《中华人民共和国环境保护法》</w:t>
      </w:r>
      <w:r>
        <w:rPr>
          <w:rFonts w:hint="eastAsia"/>
          <w:color w:val="auto"/>
          <w:highlight w:val="none"/>
        </w:rPr>
        <w:t>；</w:t>
      </w:r>
    </w:p>
    <w:p>
      <w:pPr>
        <w:ind w:firstLine="480"/>
        <w:rPr>
          <w:color w:val="auto"/>
          <w:highlight w:val="none"/>
        </w:rPr>
      </w:pPr>
      <w:r>
        <w:rPr>
          <w:rFonts w:hint="eastAsia"/>
          <w:color w:val="auto"/>
          <w:highlight w:val="none"/>
        </w:rPr>
        <w:t>5、</w:t>
      </w:r>
      <w:r>
        <w:rPr>
          <w:color w:val="auto"/>
          <w:highlight w:val="none"/>
        </w:rPr>
        <w:t>《中华人民共和国环境影响评价法》</w:t>
      </w:r>
      <w:r>
        <w:rPr>
          <w:rFonts w:hint="eastAsia"/>
          <w:color w:val="auto"/>
          <w:highlight w:val="none"/>
        </w:rPr>
        <w:t>；</w:t>
      </w:r>
    </w:p>
    <w:p>
      <w:pPr>
        <w:ind w:firstLine="480"/>
        <w:rPr>
          <w:color w:val="auto"/>
          <w:highlight w:val="none"/>
        </w:rPr>
      </w:pPr>
      <w:r>
        <w:rPr>
          <w:rFonts w:hint="eastAsia"/>
          <w:color w:val="auto"/>
          <w:highlight w:val="none"/>
        </w:rPr>
        <w:t>6、</w:t>
      </w:r>
      <w:r>
        <w:rPr>
          <w:color w:val="auto"/>
          <w:highlight w:val="none"/>
        </w:rPr>
        <w:t>《中华人民共和国河道管理条例》</w:t>
      </w:r>
      <w:r>
        <w:rPr>
          <w:rFonts w:hint="eastAsia"/>
          <w:color w:val="auto"/>
          <w:highlight w:val="none"/>
        </w:rPr>
        <w:t>；</w:t>
      </w:r>
    </w:p>
    <w:p>
      <w:pPr>
        <w:ind w:firstLine="480"/>
        <w:rPr>
          <w:color w:val="auto"/>
          <w:highlight w:val="none"/>
        </w:rPr>
      </w:pPr>
      <w:r>
        <w:rPr>
          <w:rFonts w:hint="eastAsia"/>
          <w:color w:val="auto"/>
          <w:highlight w:val="none"/>
        </w:rPr>
        <w:t>7、《枣庄市河道管理条例》；</w:t>
      </w:r>
    </w:p>
    <w:p>
      <w:pPr>
        <w:ind w:firstLine="480"/>
        <w:rPr>
          <w:color w:val="auto"/>
          <w:highlight w:val="none"/>
        </w:rPr>
      </w:pPr>
      <w:r>
        <w:rPr>
          <w:rFonts w:hint="eastAsia"/>
          <w:color w:val="auto"/>
          <w:highlight w:val="none"/>
        </w:rPr>
        <w:t>8、</w:t>
      </w:r>
      <w:r>
        <w:rPr>
          <w:color w:val="auto"/>
          <w:highlight w:val="none"/>
        </w:rPr>
        <w:t>国家、政府及相关主管部门的相关法律法规</w:t>
      </w:r>
      <w:r>
        <w:rPr>
          <w:rFonts w:hint="eastAsia"/>
          <w:color w:val="auto"/>
          <w:highlight w:val="none"/>
        </w:rPr>
        <w:t>。</w:t>
      </w:r>
    </w:p>
    <w:p>
      <w:pPr>
        <w:pStyle w:val="4"/>
        <w:rPr>
          <w:color w:val="auto"/>
          <w:highlight w:val="none"/>
        </w:rPr>
      </w:pPr>
      <w:r>
        <w:rPr>
          <w:rFonts w:hint="eastAsia"/>
          <w:color w:val="auto"/>
          <w:highlight w:val="none"/>
        </w:rPr>
        <w:t>5.1.2</w:t>
      </w:r>
      <w:r>
        <w:rPr>
          <w:color w:val="auto"/>
          <w:highlight w:val="none"/>
        </w:rPr>
        <w:t>有关技术规范及技术标准</w:t>
      </w:r>
    </w:p>
    <w:p>
      <w:pPr>
        <w:ind w:firstLine="480"/>
        <w:rPr>
          <w:color w:val="auto"/>
          <w:highlight w:val="none"/>
        </w:rPr>
      </w:pPr>
      <w:r>
        <w:rPr>
          <w:rFonts w:hint="eastAsia"/>
          <w:color w:val="auto"/>
          <w:highlight w:val="none"/>
        </w:rPr>
        <w:t>1、</w:t>
      </w:r>
      <w:r>
        <w:rPr>
          <w:color w:val="auto"/>
          <w:highlight w:val="none"/>
        </w:rPr>
        <w:t>《水利水电工程初步设计报告编制规程》（SL61</w:t>
      </w:r>
      <w:r>
        <w:rPr>
          <w:rFonts w:hint="eastAsia"/>
          <w:color w:val="auto"/>
          <w:highlight w:val="none"/>
        </w:rPr>
        <w:t>8</w:t>
      </w:r>
      <w:r>
        <w:rPr>
          <w:color w:val="auto"/>
          <w:highlight w:val="none"/>
        </w:rPr>
        <w:t>-201</w:t>
      </w:r>
      <w:r>
        <w:rPr>
          <w:rFonts w:hint="eastAsia"/>
          <w:color w:val="auto"/>
          <w:highlight w:val="none"/>
        </w:rPr>
        <w:t>8</w:t>
      </w:r>
      <w:r>
        <w:rPr>
          <w:color w:val="auto"/>
          <w:highlight w:val="none"/>
        </w:rPr>
        <w:t>）；</w:t>
      </w:r>
    </w:p>
    <w:p>
      <w:pPr>
        <w:ind w:firstLine="480"/>
        <w:rPr>
          <w:color w:val="auto"/>
          <w:highlight w:val="none"/>
        </w:rPr>
      </w:pPr>
      <w:r>
        <w:rPr>
          <w:rFonts w:hint="eastAsia"/>
          <w:color w:val="auto"/>
          <w:highlight w:val="none"/>
        </w:rPr>
        <w:t>2、</w:t>
      </w:r>
      <w:r>
        <w:rPr>
          <w:color w:val="auto"/>
          <w:highlight w:val="none"/>
        </w:rPr>
        <w:t>《防洪标准》(GB50201-2014)；</w:t>
      </w:r>
    </w:p>
    <w:p>
      <w:pPr>
        <w:ind w:firstLine="480"/>
        <w:rPr>
          <w:color w:val="auto"/>
          <w:highlight w:val="none"/>
        </w:rPr>
      </w:pPr>
      <w:r>
        <w:rPr>
          <w:rFonts w:hint="eastAsia"/>
          <w:color w:val="auto"/>
          <w:highlight w:val="none"/>
        </w:rPr>
        <w:t>3、</w:t>
      </w:r>
      <w:r>
        <w:rPr>
          <w:color w:val="auto"/>
          <w:highlight w:val="none"/>
        </w:rPr>
        <w:t>《水利水电工程等级划分及洪水标准》(SL252</w:t>
      </w:r>
      <w:r>
        <w:rPr>
          <w:rFonts w:hint="eastAsia"/>
          <w:color w:val="auto"/>
          <w:highlight w:val="none"/>
        </w:rPr>
        <w:t>-</w:t>
      </w:r>
      <w:r>
        <w:rPr>
          <w:color w:val="auto"/>
          <w:highlight w:val="none"/>
        </w:rPr>
        <w:t>20</w:t>
      </w:r>
      <w:r>
        <w:rPr>
          <w:rFonts w:hint="eastAsia"/>
          <w:color w:val="auto"/>
          <w:highlight w:val="none"/>
        </w:rPr>
        <w:t>17</w:t>
      </w:r>
      <w:r>
        <w:rPr>
          <w:color w:val="auto"/>
          <w:highlight w:val="none"/>
        </w:rPr>
        <w:t>)；</w:t>
      </w:r>
    </w:p>
    <w:p>
      <w:pPr>
        <w:ind w:firstLine="480"/>
        <w:rPr>
          <w:color w:val="auto"/>
          <w:highlight w:val="none"/>
        </w:rPr>
      </w:pPr>
      <w:r>
        <w:rPr>
          <w:rFonts w:hint="eastAsia"/>
          <w:color w:val="auto"/>
          <w:highlight w:val="none"/>
        </w:rPr>
        <w:t>4、</w:t>
      </w:r>
      <w:r>
        <w:rPr>
          <w:color w:val="auto"/>
          <w:highlight w:val="none"/>
        </w:rPr>
        <w:t>《水利水电工程边坡设计规范》（SL386-2007）；</w:t>
      </w:r>
    </w:p>
    <w:p>
      <w:pPr>
        <w:ind w:firstLine="480"/>
        <w:rPr>
          <w:color w:val="auto"/>
          <w:highlight w:val="none"/>
        </w:rPr>
      </w:pPr>
      <w:r>
        <w:rPr>
          <w:rFonts w:hint="eastAsia"/>
          <w:color w:val="auto"/>
          <w:highlight w:val="none"/>
        </w:rPr>
        <w:t>5、</w:t>
      </w:r>
      <w:r>
        <w:rPr>
          <w:color w:val="auto"/>
          <w:highlight w:val="none"/>
        </w:rPr>
        <w:t>《水工混凝土结构设计规范》(SL191-2008)；</w:t>
      </w:r>
    </w:p>
    <w:p>
      <w:pPr>
        <w:ind w:firstLine="480"/>
        <w:rPr>
          <w:color w:val="auto"/>
          <w:highlight w:val="none"/>
        </w:rPr>
      </w:pPr>
      <w:r>
        <w:rPr>
          <w:rFonts w:hint="eastAsia"/>
          <w:color w:val="auto"/>
          <w:highlight w:val="none"/>
        </w:rPr>
        <w:t>6、</w:t>
      </w:r>
      <w:r>
        <w:rPr>
          <w:color w:val="auto"/>
          <w:highlight w:val="none"/>
        </w:rPr>
        <w:t>《堤防工程设计规范》（GB50286-2013）；</w:t>
      </w:r>
    </w:p>
    <w:p>
      <w:pPr>
        <w:ind w:firstLine="480"/>
        <w:rPr>
          <w:color w:val="auto"/>
          <w:highlight w:val="none"/>
        </w:rPr>
      </w:pPr>
      <w:r>
        <w:rPr>
          <w:rFonts w:hint="eastAsia"/>
          <w:color w:val="auto"/>
          <w:highlight w:val="none"/>
        </w:rPr>
        <w:t>7、</w:t>
      </w:r>
      <w:r>
        <w:rPr>
          <w:color w:val="auto"/>
          <w:highlight w:val="none"/>
        </w:rPr>
        <w:t>《公路桥涵设计通用规范》（JTG D60－2015）</w:t>
      </w:r>
      <w:r>
        <w:rPr>
          <w:rFonts w:hint="eastAsia"/>
          <w:color w:val="auto"/>
          <w:highlight w:val="none"/>
        </w:rPr>
        <w:t>；</w:t>
      </w:r>
      <w:r>
        <w:rPr>
          <w:color w:val="auto"/>
          <w:highlight w:val="none"/>
        </w:rPr>
        <w:t xml:space="preserve"> </w:t>
      </w:r>
    </w:p>
    <w:p>
      <w:pPr>
        <w:ind w:firstLine="480"/>
        <w:rPr>
          <w:color w:val="auto"/>
          <w:highlight w:val="none"/>
        </w:rPr>
      </w:pPr>
      <w:r>
        <w:rPr>
          <w:rFonts w:hint="eastAsia"/>
          <w:color w:val="auto"/>
          <w:highlight w:val="none"/>
        </w:rPr>
        <w:t>8、</w:t>
      </w:r>
      <w:r>
        <w:rPr>
          <w:color w:val="auto"/>
          <w:highlight w:val="none"/>
        </w:rPr>
        <w:t>《水工建筑物抗震设计规范》（</w:t>
      </w:r>
      <w:r>
        <w:rPr>
          <w:rFonts w:hint="eastAsia"/>
          <w:color w:val="auto"/>
          <w:highlight w:val="none"/>
        </w:rPr>
        <w:t>GB 51247-2018</w:t>
      </w:r>
      <w:r>
        <w:rPr>
          <w:color w:val="auto"/>
          <w:highlight w:val="none"/>
        </w:rPr>
        <w:t>）；</w:t>
      </w:r>
    </w:p>
    <w:p>
      <w:pPr>
        <w:ind w:firstLine="480"/>
        <w:rPr>
          <w:color w:val="auto"/>
          <w:highlight w:val="none"/>
        </w:rPr>
      </w:pPr>
      <w:r>
        <w:rPr>
          <w:rFonts w:hint="eastAsia"/>
          <w:color w:val="auto"/>
          <w:highlight w:val="none"/>
        </w:rPr>
        <w:t>9、</w:t>
      </w:r>
      <w:r>
        <w:rPr>
          <w:color w:val="auto"/>
          <w:highlight w:val="none"/>
        </w:rPr>
        <w:t>《水工建筑物荷载设计规范》（</w:t>
      </w:r>
      <w:r>
        <w:rPr>
          <w:rFonts w:hint="eastAsia"/>
          <w:color w:val="auto"/>
          <w:highlight w:val="none"/>
        </w:rPr>
        <w:t>SL744-2016</w:t>
      </w:r>
      <w:r>
        <w:rPr>
          <w:color w:val="auto"/>
          <w:highlight w:val="none"/>
        </w:rPr>
        <w:t>）；</w:t>
      </w:r>
    </w:p>
    <w:p>
      <w:pPr>
        <w:ind w:firstLine="480"/>
        <w:rPr>
          <w:color w:val="auto"/>
          <w:highlight w:val="none"/>
        </w:rPr>
      </w:pPr>
      <w:r>
        <w:rPr>
          <w:rFonts w:hint="eastAsia"/>
          <w:color w:val="auto"/>
          <w:highlight w:val="none"/>
        </w:rPr>
        <w:t>10、</w:t>
      </w:r>
      <w:r>
        <w:rPr>
          <w:color w:val="auto"/>
          <w:highlight w:val="none"/>
        </w:rPr>
        <w:t>《建筑地基基础设计规范》(GB50007-2011)；</w:t>
      </w:r>
    </w:p>
    <w:p>
      <w:pPr>
        <w:ind w:firstLine="480"/>
        <w:rPr>
          <w:color w:val="auto"/>
          <w:highlight w:val="none"/>
        </w:rPr>
      </w:pPr>
      <w:r>
        <w:rPr>
          <w:rFonts w:hint="eastAsia"/>
          <w:color w:val="auto"/>
          <w:highlight w:val="none"/>
        </w:rPr>
        <w:t>11、</w:t>
      </w:r>
      <w:r>
        <w:rPr>
          <w:color w:val="auto"/>
          <w:highlight w:val="none"/>
        </w:rPr>
        <w:t>《水利水电工程施工组织设计规范》（SL303-2004）；</w:t>
      </w:r>
    </w:p>
    <w:p>
      <w:pPr>
        <w:ind w:firstLine="480"/>
        <w:rPr>
          <w:color w:val="auto"/>
          <w:highlight w:val="none"/>
        </w:rPr>
      </w:pPr>
      <w:r>
        <w:rPr>
          <w:rFonts w:hint="eastAsia"/>
          <w:color w:val="auto"/>
          <w:highlight w:val="none"/>
        </w:rPr>
        <w:t>12、</w:t>
      </w:r>
      <w:r>
        <w:rPr>
          <w:color w:val="auto"/>
          <w:highlight w:val="none"/>
        </w:rPr>
        <w:t>《水利水电工程设计工程量计算规定》（SL328-2005）；</w:t>
      </w:r>
    </w:p>
    <w:p>
      <w:pPr>
        <w:ind w:firstLine="480"/>
        <w:rPr>
          <w:color w:val="auto"/>
          <w:highlight w:val="none"/>
        </w:rPr>
      </w:pPr>
      <w:r>
        <w:rPr>
          <w:rFonts w:hint="eastAsia"/>
          <w:color w:val="auto"/>
          <w:highlight w:val="none"/>
        </w:rPr>
        <w:t>13、</w:t>
      </w:r>
      <w:r>
        <w:rPr>
          <w:color w:val="auto"/>
          <w:highlight w:val="none"/>
        </w:rPr>
        <w:t>《水利水电工程建设征地移民安置规划设计规范》（SL290-2009）；</w:t>
      </w:r>
    </w:p>
    <w:p>
      <w:pPr>
        <w:ind w:firstLine="480"/>
        <w:rPr>
          <w:color w:val="auto"/>
          <w:highlight w:val="none"/>
        </w:rPr>
      </w:pPr>
      <w:r>
        <w:rPr>
          <w:rFonts w:hint="eastAsia"/>
          <w:color w:val="auto"/>
          <w:highlight w:val="none"/>
        </w:rPr>
        <w:t>14、</w:t>
      </w:r>
      <w:r>
        <w:rPr>
          <w:color w:val="auto"/>
          <w:highlight w:val="none"/>
        </w:rPr>
        <w:t>《水利水电工程建设农村移民安置规划设计规范》（SL440-2009）；</w:t>
      </w:r>
    </w:p>
    <w:p>
      <w:pPr>
        <w:ind w:firstLine="480"/>
        <w:rPr>
          <w:color w:val="auto"/>
          <w:highlight w:val="none"/>
        </w:rPr>
      </w:pPr>
      <w:r>
        <w:rPr>
          <w:rFonts w:hint="eastAsia"/>
          <w:color w:val="auto"/>
          <w:highlight w:val="none"/>
        </w:rPr>
        <w:t>15、</w:t>
      </w:r>
      <w:r>
        <w:rPr>
          <w:color w:val="auto"/>
          <w:highlight w:val="none"/>
        </w:rPr>
        <w:t>《中华人民共和国河道管理条例》（1988年6月10日）；</w:t>
      </w:r>
    </w:p>
    <w:p>
      <w:pPr>
        <w:ind w:firstLine="480"/>
        <w:rPr>
          <w:color w:val="auto"/>
          <w:highlight w:val="none"/>
        </w:rPr>
      </w:pPr>
      <w:r>
        <w:rPr>
          <w:rFonts w:hint="eastAsia"/>
          <w:color w:val="auto"/>
          <w:highlight w:val="none"/>
        </w:rPr>
        <w:t>16、《室外给水设计规范》（GB50013-2006）</w:t>
      </w:r>
      <w:r>
        <w:rPr>
          <w:color w:val="auto"/>
          <w:highlight w:val="none"/>
        </w:rPr>
        <w:t>；</w:t>
      </w:r>
    </w:p>
    <w:p>
      <w:pPr>
        <w:ind w:firstLine="480"/>
        <w:rPr>
          <w:color w:val="auto"/>
          <w:highlight w:val="none"/>
        </w:rPr>
      </w:pPr>
      <w:r>
        <w:rPr>
          <w:rFonts w:hint="eastAsia"/>
          <w:color w:val="auto"/>
          <w:highlight w:val="none"/>
        </w:rPr>
        <w:t>17、《地表水环境质量标准》（GB3838-2002）</w:t>
      </w:r>
      <w:r>
        <w:rPr>
          <w:color w:val="auto"/>
          <w:highlight w:val="none"/>
        </w:rPr>
        <w:t>；</w:t>
      </w:r>
    </w:p>
    <w:p>
      <w:pPr>
        <w:ind w:firstLine="480"/>
        <w:rPr>
          <w:color w:val="auto"/>
          <w:highlight w:val="none"/>
        </w:rPr>
      </w:pPr>
      <w:r>
        <w:rPr>
          <w:rFonts w:hint="eastAsia"/>
          <w:color w:val="auto"/>
          <w:highlight w:val="none"/>
        </w:rPr>
        <w:t>18、《生活饮用水水源水质标准》（ CJ 3020-93）</w:t>
      </w:r>
      <w:r>
        <w:rPr>
          <w:color w:val="auto"/>
          <w:highlight w:val="none"/>
        </w:rPr>
        <w:t>；</w:t>
      </w:r>
    </w:p>
    <w:p>
      <w:pPr>
        <w:ind w:firstLine="480"/>
        <w:rPr>
          <w:color w:val="auto"/>
          <w:highlight w:val="none"/>
        </w:rPr>
      </w:pPr>
      <w:r>
        <w:rPr>
          <w:rFonts w:hint="eastAsia"/>
          <w:color w:val="auto"/>
          <w:highlight w:val="none"/>
        </w:rPr>
        <w:t>19、《生活饮用水卫生标准》（GB5749-2006）</w:t>
      </w:r>
      <w:r>
        <w:rPr>
          <w:color w:val="auto"/>
          <w:highlight w:val="none"/>
        </w:rPr>
        <w:t>；</w:t>
      </w:r>
    </w:p>
    <w:p>
      <w:pPr>
        <w:ind w:firstLine="480"/>
        <w:rPr>
          <w:color w:val="auto"/>
          <w:highlight w:val="none"/>
        </w:rPr>
      </w:pPr>
      <w:r>
        <w:rPr>
          <w:rFonts w:hint="eastAsia"/>
          <w:color w:val="auto"/>
          <w:highlight w:val="none"/>
        </w:rPr>
        <w:t>20、《城镇供水长距离输水管（渠）道工程技术规程》（CECS193：2005）</w:t>
      </w:r>
      <w:r>
        <w:rPr>
          <w:color w:val="auto"/>
          <w:highlight w:val="none"/>
        </w:rPr>
        <w:t>；</w:t>
      </w:r>
    </w:p>
    <w:p>
      <w:pPr>
        <w:ind w:firstLine="480"/>
        <w:rPr>
          <w:color w:val="auto"/>
          <w:highlight w:val="none"/>
        </w:rPr>
      </w:pPr>
      <w:r>
        <w:rPr>
          <w:rFonts w:hint="eastAsia"/>
          <w:color w:val="auto"/>
          <w:highlight w:val="none"/>
        </w:rPr>
        <w:t>21、《城镇给水厂附属建筑和附属设备设计标准》（CJJ41-1991）</w:t>
      </w:r>
      <w:r>
        <w:rPr>
          <w:color w:val="auto"/>
          <w:highlight w:val="none"/>
        </w:rPr>
        <w:t>；</w:t>
      </w:r>
    </w:p>
    <w:p>
      <w:pPr>
        <w:ind w:firstLine="480"/>
        <w:rPr>
          <w:color w:val="auto"/>
          <w:highlight w:val="none"/>
        </w:rPr>
      </w:pPr>
      <w:r>
        <w:rPr>
          <w:rFonts w:hint="eastAsia"/>
          <w:color w:val="auto"/>
          <w:highlight w:val="none"/>
        </w:rPr>
        <w:t>22、《室外排水设计规范》 GB50014-2006（2014年版）</w:t>
      </w:r>
      <w:r>
        <w:rPr>
          <w:color w:val="auto"/>
          <w:highlight w:val="none"/>
        </w:rPr>
        <w:t>；</w:t>
      </w:r>
    </w:p>
    <w:p>
      <w:pPr>
        <w:ind w:firstLine="480"/>
        <w:rPr>
          <w:color w:val="auto"/>
          <w:highlight w:val="none"/>
        </w:rPr>
      </w:pPr>
      <w:r>
        <w:rPr>
          <w:rFonts w:hint="eastAsia"/>
          <w:color w:val="auto"/>
          <w:highlight w:val="none"/>
        </w:rPr>
        <w:t>23、《建筑给水排水设计规范》 GB50015-2003（2009年版）</w:t>
      </w:r>
      <w:r>
        <w:rPr>
          <w:color w:val="auto"/>
          <w:highlight w:val="none"/>
        </w:rPr>
        <w:t>；</w:t>
      </w:r>
    </w:p>
    <w:p>
      <w:pPr>
        <w:ind w:firstLine="480"/>
        <w:rPr>
          <w:color w:val="auto"/>
          <w:highlight w:val="none"/>
        </w:rPr>
      </w:pPr>
      <w:r>
        <w:rPr>
          <w:rFonts w:hint="eastAsia"/>
          <w:color w:val="auto"/>
          <w:highlight w:val="none"/>
        </w:rPr>
        <w:t>24、《泵站设计规范》 （GB50265-2010）</w:t>
      </w:r>
      <w:r>
        <w:rPr>
          <w:color w:val="auto"/>
          <w:highlight w:val="none"/>
        </w:rPr>
        <w:t>；</w:t>
      </w:r>
    </w:p>
    <w:p>
      <w:pPr>
        <w:ind w:firstLine="480"/>
        <w:rPr>
          <w:color w:val="auto"/>
          <w:highlight w:val="none"/>
        </w:rPr>
      </w:pPr>
      <w:r>
        <w:rPr>
          <w:rFonts w:hint="eastAsia"/>
          <w:color w:val="auto"/>
          <w:highlight w:val="none"/>
        </w:rPr>
        <w:t>25、《村镇供水工程设计规范》（SL687-2014）</w:t>
      </w:r>
      <w:r>
        <w:rPr>
          <w:color w:val="auto"/>
          <w:highlight w:val="none"/>
        </w:rPr>
        <w:t>；</w:t>
      </w:r>
    </w:p>
    <w:p>
      <w:pPr>
        <w:ind w:firstLine="480"/>
        <w:rPr>
          <w:color w:val="auto"/>
          <w:highlight w:val="none"/>
        </w:rPr>
      </w:pPr>
      <w:r>
        <w:rPr>
          <w:rFonts w:hint="eastAsia"/>
          <w:color w:val="auto"/>
          <w:highlight w:val="none"/>
        </w:rPr>
        <w:t>26、《水利建设项目经济评价规范》（SL72-2013）</w:t>
      </w:r>
      <w:r>
        <w:rPr>
          <w:color w:val="auto"/>
          <w:highlight w:val="none"/>
        </w:rPr>
        <w:t>；</w:t>
      </w:r>
    </w:p>
    <w:p>
      <w:pPr>
        <w:ind w:firstLine="480"/>
        <w:rPr>
          <w:color w:val="auto"/>
          <w:highlight w:val="none"/>
        </w:rPr>
      </w:pPr>
      <w:r>
        <w:rPr>
          <w:rFonts w:hint="eastAsia"/>
          <w:color w:val="auto"/>
          <w:highlight w:val="none"/>
        </w:rPr>
        <w:t>27、《镇（乡）村给水工程技术规程》（CJJ123-2008）</w:t>
      </w:r>
      <w:r>
        <w:rPr>
          <w:color w:val="auto"/>
          <w:highlight w:val="none"/>
        </w:rPr>
        <w:t>；</w:t>
      </w:r>
    </w:p>
    <w:p>
      <w:pPr>
        <w:ind w:firstLine="480"/>
        <w:rPr>
          <w:color w:val="auto"/>
          <w:highlight w:val="none"/>
        </w:rPr>
      </w:pPr>
      <w:r>
        <w:rPr>
          <w:rFonts w:hint="eastAsia"/>
          <w:color w:val="auto"/>
          <w:highlight w:val="none"/>
        </w:rPr>
        <w:t>28、《室外给水设计规范》（GB50013-2006）</w:t>
      </w:r>
      <w:r>
        <w:rPr>
          <w:color w:val="auto"/>
          <w:highlight w:val="none"/>
        </w:rPr>
        <w:t>；</w:t>
      </w:r>
    </w:p>
    <w:p>
      <w:pPr>
        <w:ind w:firstLine="480"/>
        <w:rPr>
          <w:color w:val="auto"/>
          <w:highlight w:val="none"/>
        </w:rPr>
      </w:pPr>
      <w:r>
        <w:rPr>
          <w:rFonts w:hint="eastAsia"/>
          <w:color w:val="auto"/>
          <w:highlight w:val="none"/>
        </w:rPr>
        <w:t>29、《室外给水排水和燃气热力工程抗震设计规范》（GB50032-2003）</w:t>
      </w:r>
      <w:r>
        <w:rPr>
          <w:color w:val="auto"/>
          <w:highlight w:val="none"/>
        </w:rPr>
        <w:t>；</w:t>
      </w:r>
    </w:p>
    <w:p>
      <w:pPr>
        <w:ind w:firstLine="480"/>
        <w:rPr>
          <w:color w:val="auto"/>
          <w:highlight w:val="none"/>
        </w:rPr>
      </w:pPr>
      <w:r>
        <w:rPr>
          <w:rFonts w:hint="eastAsia"/>
          <w:color w:val="auto"/>
          <w:highlight w:val="none"/>
        </w:rPr>
        <w:t>30、《中国地震动参数区划图》（GB 18306-2015）</w:t>
      </w:r>
      <w:r>
        <w:rPr>
          <w:color w:val="auto"/>
          <w:highlight w:val="none"/>
        </w:rPr>
        <w:t>；</w:t>
      </w:r>
    </w:p>
    <w:p>
      <w:pPr>
        <w:ind w:firstLine="480"/>
        <w:rPr>
          <w:color w:val="auto"/>
          <w:highlight w:val="none"/>
        </w:rPr>
      </w:pPr>
      <w:r>
        <w:rPr>
          <w:rFonts w:hint="eastAsia"/>
          <w:color w:val="auto"/>
          <w:highlight w:val="none"/>
        </w:rPr>
        <w:t>31、《建筑抗震设计规范》（GB50011-2015）</w:t>
      </w:r>
      <w:r>
        <w:rPr>
          <w:color w:val="auto"/>
          <w:highlight w:val="none"/>
        </w:rPr>
        <w:t>；</w:t>
      </w:r>
    </w:p>
    <w:p>
      <w:pPr>
        <w:ind w:firstLine="480"/>
        <w:rPr>
          <w:color w:val="auto"/>
          <w:highlight w:val="none"/>
        </w:rPr>
      </w:pPr>
      <w:r>
        <w:rPr>
          <w:rFonts w:hint="eastAsia"/>
          <w:color w:val="auto"/>
          <w:highlight w:val="none"/>
        </w:rPr>
        <w:t>32、《建筑设计防火规范》（GB50016-2006）</w:t>
      </w:r>
      <w:r>
        <w:rPr>
          <w:color w:val="auto"/>
          <w:highlight w:val="none"/>
        </w:rPr>
        <w:t>；</w:t>
      </w:r>
    </w:p>
    <w:p>
      <w:pPr>
        <w:ind w:firstLine="480"/>
        <w:rPr>
          <w:color w:val="auto"/>
          <w:highlight w:val="none"/>
        </w:rPr>
      </w:pPr>
      <w:r>
        <w:rPr>
          <w:rFonts w:hint="eastAsia"/>
          <w:color w:val="auto"/>
          <w:highlight w:val="none"/>
        </w:rPr>
        <w:t>33、《建筑灭火器配置设计规范》(GB50240-2005)。</w:t>
      </w:r>
    </w:p>
    <w:p>
      <w:pPr>
        <w:ind w:firstLine="480"/>
        <w:rPr>
          <w:color w:val="auto"/>
          <w:highlight w:val="none"/>
        </w:rPr>
      </w:pPr>
      <w:r>
        <w:rPr>
          <w:rFonts w:hint="eastAsia"/>
          <w:color w:val="auto"/>
          <w:highlight w:val="none"/>
        </w:rPr>
        <w:t xml:space="preserve">34、 </w:t>
      </w:r>
      <w:r>
        <w:rPr>
          <w:color w:val="auto"/>
          <w:highlight w:val="none"/>
        </w:rPr>
        <w:t>国家颁布的其他有关现行规范、规程及技术标准。</w:t>
      </w:r>
    </w:p>
    <w:p>
      <w:pPr>
        <w:pStyle w:val="4"/>
        <w:rPr>
          <w:color w:val="auto"/>
          <w:highlight w:val="none"/>
        </w:rPr>
      </w:pPr>
      <w:r>
        <w:rPr>
          <w:rFonts w:hint="eastAsia"/>
          <w:color w:val="auto"/>
          <w:highlight w:val="none"/>
        </w:rPr>
        <w:t>5.1.3有关技术资料</w:t>
      </w:r>
    </w:p>
    <w:p>
      <w:pPr>
        <w:ind w:firstLine="480"/>
        <w:rPr>
          <w:color w:val="auto"/>
          <w:highlight w:val="none"/>
        </w:rPr>
      </w:pPr>
      <w:r>
        <w:rPr>
          <w:rFonts w:hint="eastAsia"/>
          <w:color w:val="auto"/>
          <w:highlight w:val="none"/>
        </w:rPr>
        <w:t>1、《枣庄市峄城大沙河治理工程（变更）初步设计》（枣庄市水利局勘测设计室于1986年3月）；</w:t>
      </w:r>
    </w:p>
    <w:p>
      <w:pPr>
        <w:ind w:firstLine="480"/>
        <w:rPr>
          <w:color w:val="auto"/>
          <w:highlight w:val="none"/>
        </w:rPr>
      </w:pPr>
      <w:r>
        <w:rPr>
          <w:rFonts w:hint="eastAsia"/>
          <w:color w:val="auto"/>
          <w:highlight w:val="none"/>
        </w:rPr>
        <w:t>2、《</w:t>
      </w:r>
      <w:r>
        <w:rPr>
          <w:color w:val="auto"/>
          <w:highlight w:val="none"/>
        </w:rPr>
        <w:t>枣庄市峄城区</w:t>
      </w:r>
      <w:r>
        <w:rPr>
          <w:rFonts w:hint="eastAsia"/>
          <w:color w:val="auto"/>
          <w:highlight w:val="none"/>
        </w:rPr>
        <w:t>大沙河</w:t>
      </w:r>
      <w:r>
        <w:rPr>
          <w:color w:val="auto"/>
          <w:highlight w:val="none"/>
        </w:rPr>
        <w:t>贾庄节制闸除险加固工程初步设计报告</w:t>
      </w:r>
      <w:r>
        <w:rPr>
          <w:rFonts w:hint="eastAsia"/>
          <w:color w:val="auto"/>
          <w:highlight w:val="none"/>
        </w:rPr>
        <w:t>》（枣庄市水利勘测设计院，2019年8月）；</w:t>
      </w:r>
    </w:p>
    <w:p>
      <w:pPr>
        <w:ind w:firstLine="480"/>
        <w:rPr>
          <w:color w:val="auto"/>
          <w:highlight w:val="none"/>
        </w:rPr>
      </w:pPr>
      <w:r>
        <w:rPr>
          <w:rFonts w:hint="eastAsia"/>
          <w:color w:val="auto"/>
          <w:highlight w:val="none"/>
        </w:rPr>
        <w:t>3、《枣庄市峄城区南四湖取水工程水资源论证报告》（济南军龙水利科技有限公司，2020年3月），</w:t>
      </w:r>
    </w:p>
    <w:p>
      <w:pPr>
        <w:ind w:firstLine="480"/>
        <w:rPr>
          <w:rFonts w:cs="Times New Roman"/>
          <w:color w:val="auto"/>
          <w:highlight w:val="none"/>
        </w:rPr>
      </w:pPr>
      <w:r>
        <w:rPr>
          <w:rFonts w:cs="Times New Roman"/>
          <w:color w:val="auto"/>
          <w:highlight w:val="none"/>
        </w:rPr>
        <w:t>4、《枣庄市峄城区贾庄节制闸灌区节水配套改造项目实施方案》（枣庄市水利勘测设计院，2019年8月）；</w:t>
      </w:r>
    </w:p>
    <w:p>
      <w:pPr>
        <w:pStyle w:val="3"/>
        <w:rPr>
          <w:color w:val="auto"/>
          <w:highlight w:val="none"/>
        </w:rPr>
      </w:pPr>
      <w:bookmarkStart w:id="29" w:name="_Toc21195"/>
      <w:r>
        <w:rPr>
          <w:rFonts w:hint="eastAsia"/>
          <w:color w:val="auto"/>
          <w:highlight w:val="none"/>
        </w:rPr>
        <w:t>5.2南四湖取水工程</w:t>
      </w:r>
      <w:bookmarkEnd w:id="29"/>
    </w:p>
    <w:p>
      <w:pPr>
        <w:ind w:firstLine="480"/>
        <w:rPr>
          <w:color w:val="auto"/>
          <w:highlight w:val="none"/>
        </w:rPr>
      </w:pPr>
      <w:r>
        <w:rPr>
          <w:rFonts w:hint="eastAsia"/>
          <w:color w:val="auto"/>
          <w:highlight w:val="none"/>
        </w:rPr>
        <w:t>南四湖取水工程规模：</w:t>
      </w:r>
      <w:r>
        <w:rPr>
          <w:rFonts w:hint="eastAsia"/>
          <w:color w:val="auto"/>
          <w:highlight w:val="none"/>
          <w:lang w:val="en-US" w:eastAsia="zh-CN"/>
        </w:rPr>
        <w:t>1277</w:t>
      </w:r>
      <w:r>
        <w:rPr>
          <w:rFonts w:hint="eastAsia"/>
          <w:color w:val="auto"/>
          <w:highlight w:val="none"/>
        </w:rPr>
        <w:t>万m</w:t>
      </w:r>
      <w:r>
        <w:rPr>
          <w:rFonts w:hint="eastAsia"/>
          <w:color w:val="auto"/>
          <w:highlight w:val="none"/>
          <w:vertAlign w:val="superscript"/>
        </w:rPr>
        <w:t>3</w:t>
      </w:r>
      <w:r>
        <w:rPr>
          <w:rFonts w:hint="eastAsia"/>
          <w:color w:val="auto"/>
          <w:highlight w:val="none"/>
        </w:rPr>
        <w:t>/</w:t>
      </w:r>
      <w:r>
        <w:rPr>
          <w:rFonts w:hint="eastAsia"/>
          <w:color w:val="auto"/>
          <w:highlight w:val="none"/>
          <w:lang w:val="en-US" w:eastAsia="zh-CN"/>
        </w:rPr>
        <w:t>a</w:t>
      </w:r>
      <w:r>
        <w:rPr>
          <w:rFonts w:hint="eastAsia"/>
          <w:color w:val="auto"/>
          <w:highlight w:val="none"/>
        </w:rPr>
        <w:t>，主要工程建设内容为：</w:t>
      </w:r>
      <w:r>
        <w:rPr>
          <w:rFonts w:hint="eastAsia"/>
          <w:color w:val="auto"/>
          <w:highlight w:val="none"/>
          <w:lang w:val="en-US" w:eastAsia="zh-CN"/>
        </w:rPr>
        <w:t>一座</w:t>
      </w:r>
      <w:r>
        <w:rPr>
          <w:rFonts w:hint="eastAsia"/>
          <w:color w:val="auto"/>
          <w:highlight w:val="none"/>
        </w:rPr>
        <w:t>提水泵站、</w:t>
      </w:r>
      <w:r>
        <w:rPr>
          <w:rFonts w:hint="eastAsia"/>
          <w:color w:val="auto"/>
          <w:highlight w:val="none"/>
          <w:lang w:val="en-US" w:eastAsia="zh-CN"/>
        </w:rPr>
        <w:t>五座</w:t>
      </w:r>
      <w:r>
        <w:rPr>
          <w:rFonts w:hint="eastAsia"/>
          <w:color w:val="auto"/>
          <w:highlight w:val="none"/>
        </w:rPr>
        <w:t>加压泵站</w:t>
      </w:r>
      <w:r>
        <w:rPr>
          <w:rFonts w:hint="eastAsia"/>
          <w:color w:val="auto"/>
          <w:highlight w:val="none"/>
          <w:lang w:val="en-US" w:eastAsia="zh-CN"/>
        </w:rPr>
        <w:t>、</w:t>
      </w:r>
      <w:r>
        <w:rPr>
          <w:rFonts w:hint="eastAsia"/>
          <w:color w:val="auto"/>
          <w:highlight w:val="none"/>
        </w:rPr>
        <w:t>调水管线及附属构筑物等。</w:t>
      </w:r>
    </w:p>
    <w:p>
      <w:pPr>
        <w:pStyle w:val="4"/>
        <w:rPr>
          <w:color w:val="auto"/>
          <w:highlight w:val="none"/>
        </w:rPr>
      </w:pPr>
      <w:r>
        <w:rPr>
          <w:rFonts w:hint="eastAsia"/>
          <w:color w:val="auto"/>
          <w:highlight w:val="none"/>
        </w:rPr>
        <w:t>5.2.1工程等级和标准</w:t>
      </w:r>
    </w:p>
    <w:p>
      <w:pPr>
        <w:pStyle w:val="5"/>
        <w:rPr>
          <w:color w:val="auto"/>
          <w:highlight w:val="none"/>
        </w:rPr>
      </w:pPr>
      <w:r>
        <w:rPr>
          <w:rFonts w:hint="eastAsia"/>
          <w:color w:val="auto"/>
          <w:highlight w:val="none"/>
        </w:rPr>
        <w:t>5.2.1.1</w:t>
      </w:r>
      <w:r>
        <w:rPr>
          <w:color w:val="auto"/>
          <w:highlight w:val="none"/>
        </w:rPr>
        <w:t>工程等</w:t>
      </w:r>
      <w:r>
        <w:rPr>
          <w:rFonts w:hint="eastAsia"/>
          <w:color w:val="auto"/>
          <w:highlight w:val="none"/>
        </w:rPr>
        <w:t>别</w:t>
      </w:r>
    </w:p>
    <w:p>
      <w:pPr>
        <w:adjustRightInd w:val="0"/>
        <w:snapToGrid w:val="0"/>
        <w:ind w:firstLine="480"/>
        <w:rPr>
          <w:color w:val="auto"/>
          <w:highlight w:val="none"/>
        </w:rPr>
      </w:pPr>
      <w:r>
        <w:rPr>
          <w:color w:val="auto"/>
          <w:highlight w:val="none"/>
        </w:rPr>
        <w:t>工程设计年引水量为</w:t>
      </w:r>
      <w:r>
        <w:rPr>
          <w:rFonts w:hint="eastAsia"/>
          <w:color w:val="auto"/>
          <w:highlight w:val="none"/>
          <w:lang w:val="en-US" w:eastAsia="zh-CN"/>
        </w:rPr>
        <w:t>1277</w:t>
      </w:r>
      <w:r>
        <w:rPr>
          <w:color w:val="auto"/>
          <w:highlight w:val="none"/>
        </w:rPr>
        <w:t>万m³</w:t>
      </w:r>
      <w:r>
        <w:rPr>
          <w:rFonts w:hint="eastAsia"/>
          <w:color w:val="auto"/>
          <w:highlight w:val="none"/>
        </w:rPr>
        <w:t>，设计</w:t>
      </w:r>
      <w:r>
        <w:rPr>
          <w:color w:val="auto"/>
          <w:highlight w:val="none"/>
        </w:rPr>
        <w:t>流量</w:t>
      </w:r>
      <w:r>
        <w:rPr>
          <w:rFonts w:hint="eastAsia"/>
          <w:color w:val="auto"/>
          <w:highlight w:val="none"/>
        </w:rPr>
        <w:t>0.8</w:t>
      </w:r>
      <w:r>
        <w:rPr>
          <w:color w:val="auto"/>
          <w:highlight w:val="none"/>
        </w:rPr>
        <w:t>m³/s</w:t>
      </w:r>
      <w:r>
        <w:rPr>
          <w:rFonts w:hint="eastAsia"/>
          <w:color w:val="auto"/>
          <w:highlight w:val="none"/>
        </w:rPr>
        <w:t>，</w:t>
      </w:r>
      <w:r>
        <w:rPr>
          <w:color w:val="auto"/>
          <w:highlight w:val="none"/>
        </w:rPr>
        <w:t>运行</w:t>
      </w:r>
      <w:r>
        <w:rPr>
          <w:rFonts w:hint="eastAsia"/>
          <w:color w:val="auto"/>
          <w:highlight w:val="none"/>
        </w:rPr>
        <w:t>246</w:t>
      </w:r>
      <w:r>
        <w:rPr>
          <w:color w:val="auto"/>
          <w:highlight w:val="none"/>
        </w:rPr>
        <w:t>天。依据《水利水电工程等级划分及洪水标准》（SL252-2017）</w:t>
      </w:r>
      <w:r>
        <w:rPr>
          <w:rFonts w:hint="eastAsia"/>
          <w:color w:val="auto"/>
          <w:highlight w:val="none"/>
        </w:rPr>
        <w:t>、</w:t>
      </w:r>
      <w:r>
        <w:rPr>
          <w:color w:val="auto"/>
          <w:highlight w:val="none"/>
        </w:rPr>
        <w:t>《调水工程设计导则》（SL430-2008），根据供水对象重要程度、设计流量及年引水量综合确定：等别为</w:t>
      </w:r>
      <w:r>
        <w:rPr>
          <w:rFonts w:hint="eastAsia" w:ascii="宋体" w:hAnsi="宋体"/>
          <w:color w:val="auto"/>
          <w:highlight w:val="none"/>
        </w:rPr>
        <w:t>Ⅲ</w:t>
      </w:r>
      <w:r>
        <w:rPr>
          <w:color w:val="auto"/>
          <w:highlight w:val="none"/>
        </w:rPr>
        <w:t>等，工程规模为</w:t>
      </w:r>
      <w:r>
        <w:rPr>
          <w:rFonts w:hint="eastAsia"/>
          <w:color w:val="auto"/>
          <w:highlight w:val="none"/>
        </w:rPr>
        <w:t>中</w:t>
      </w:r>
      <w:r>
        <w:rPr>
          <w:color w:val="auto"/>
          <w:highlight w:val="none"/>
        </w:rPr>
        <w:t>型。</w:t>
      </w:r>
    </w:p>
    <w:p>
      <w:pPr>
        <w:pStyle w:val="5"/>
        <w:rPr>
          <w:color w:val="auto"/>
          <w:highlight w:val="none"/>
        </w:rPr>
      </w:pPr>
      <w:r>
        <w:rPr>
          <w:rFonts w:hint="eastAsia"/>
          <w:color w:val="auto"/>
          <w:highlight w:val="none"/>
        </w:rPr>
        <w:t>5.4.1.2建筑物级别</w:t>
      </w:r>
    </w:p>
    <w:p>
      <w:pPr>
        <w:adjustRightInd w:val="0"/>
        <w:snapToGrid w:val="0"/>
        <w:ind w:firstLine="480"/>
        <w:rPr>
          <w:color w:val="auto"/>
          <w:highlight w:val="none"/>
        </w:rPr>
      </w:pPr>
      <w:r>
        <w:rPr>
          <w:color w:val="auto"/>
          <w:highlight w:val="none"/>
        </w:rPr>
        <w:t>按《水利水电工程等级划分及洪水标准》(SL252-2017)、《调水工程设计导则》（SL430-2008）中有关规定综合分析。依据年引水量、流量，本工程工程等别为</w:t>
      </w:r>
      <w:r>
        <w:rPr>
          <w:rFonts w:hint="eastAsia" w:ascii="宋体" w:hAnsi="宋体"/>
          <w:color w:val="auto"/>
          <w:highlight w:val="none"/>
        </w:rPr>
        <w:t>Ⅲ</w:t>
      </w:r>
      <w:r>
        <w:rPr>
          <w:color w:val="auto"/>
          <w:highlight w:val="none"/>
        </w:rPr>
        <w:t>等，工程内的输水管道、</w:t>
      </w:r>
      <w:r>
        <w:rPr>
          <w:rFonts w:hint="eastAsia"/>
          <w:color w:val="auto"/>
          <w:highlight w:val="none"/>
        </w:rPr>
        <w:t>加压泵站</w:t>
      </w:r>
      <w:r>
        <w:rPr>
          <w:color w:val="auto"/>
          <w:highlight w:val="none"/>
        </w:rPr>
        <w:t>为主要建筑物，建筑物级别为</w:t>
      </w:r>
      <w:r>
        <w:rPr>
          <w:rFonts w:hint="eastAsia"/>
          <w:color w:val="auto"/>
          <w:highlight w:val="none"/>
        </w:rPr>
        <w:t>3</w:t>
      </w:r>
      <w:r>
        <w:rPr>
          <w:color w:val="auto"/>
          <w:highlight w:val="none"/>
        </w:rPr>
        <w:t>级</w:t>
      </w:r>
      <w:r>
        <w:rPr>
          <w:rFonts w:hint="eastAsia"/>
          <w:color w:val="auto"/>
          <w:highlight w:val="none"/>
        </w:rPr>
        <w:t>。</w:t>
      </w:r>
    </w:p>
    <w:p>
      <w:pPr>
        <w:pStyle w:val="5"/>
        <w:rPr>
          <w:color w:val="auto"/>
          <w:highlight w:val="none"/>
        </w:rPr>
      </w:pPr>
      <w:r>
        <w:rPr>
          <w:rFonts w:hint="eastAsia"/>
          <w:color w:val="auto"/>
          <w:highlight w:val="none"/>
        </w:rPr>
        <w:t>5.2.1.3</w:t>
      </w:r>
      <w:r>
        <w:rPr>
          <w:color w:val="auto"/>
          <w:highlight w:val="none"/>
        </w:rPr>
        <w:t>设计标准</w:t>
      </w:r>
    </w:p>
    <w:p>
      <w:pPr>
        <w:adjustRightInd w:val="0"/>
        <w:snapToGrid w:val="0"/>
        <w:ind w:firstLine="480"/>
        <w:rPr>
          <w:color w:val="auto"/>
          <w:highlight w:val="none"/>
        </w:rPr>
      </w:pPr>
      <w:bookmarkStart w:id="30" w:name="_Toc438146277"/>
      <w:bookmarkStart w:id="31" w:name="_Toc449830858"/>
      <w:bookmarkStart w:id="32" w:name="_Toc438198900"/>
      <w:bookmarkStart w:id="33" w:name="_Toc465198274"/>
      <w:r>
        <w:rPr>
          <w:color w:val="auto"/>
          <w:highlight w:val="none"/>
        </w:rPr>
        <w:t>1、抗震设计标准</w:t>
      </w:r>
      <w:bookmarkEnd w:id="30"/>
      <w:bookmarkEnd w:id="31"/>
      <w:bookmarkEnd w:id="32"/>
      <w:bookmarkEnd w:id="33"/>
    </w:p>
    <w:p>
      <w:pPr>
        <w:adjustRightInd w:val="0"/>
        <w:snapToGrid w:val="0"/>
        <w:ind w:firstLine="480"/>
        <w:rPr>
          <w:color w:val="auto"/>
          <w:highlight w:val="none"/>
        </w:rPr>
      </w:pPr>
      <w:r>
        <w:rPr>
          <w:color w:val="auto"/>
          <w:highlight w:val="none"/>
        </w:rPr>
        <w:t>据《中国地震动参数区划图》（GB18306-2015），场区基本地震动峰值加速度为0.10g，相应于地震基本烈度</w:t>
      </w:r>
      <w:r>
        <w:rPr>
          <w:rFonts w:hint="eastAsia"/>
          <w:color w:val="auto"/>
          <w:highlight w:val="none"/>
        </w:rPr>
        <w:t>Ⅶ</w:t>
      </w:r>
      <w:r>
        <w:rPr>
          <w:color w:val="auto"/>
          <w:highlight w:val="none"/>
        </w:rPr>
        <w:t>度。</w:t>
      </w:r>
    </w:p>
    <w:p>
      <w:pPr>
        <w:adjustRightInd w:val="0"/>
        <w:snapToGrid w:val="0"/>
        <w:ind w:firstLine="480"/>
        <w:rPr>
          <w:color w:val="auto"/>
          <w:highlight w:val="none"/>
        </w:rPr>
      </w:pPr>
      <w:r>
        <w:rPr>
          <w:color w:val="auto"/>
          <w:highlight w:val="none"/>
        </w:rPr>
        <w:t>2、高程系及坐标系</w:t>
      </w:r>
    </w:p>
    <w:p>
      <w:pPr>
        <w:adjustRightInd w:val="0"/>
        <w:snapToGrid w:val="0"/>
        <w:ind w:firstLine="480"/>
        <w:rPr>
          <w:color w:val="auto"/>
          <w:highlight w:val="none"/>
        </w:rPr>
      </w:pPr>
      <w:r>
        <w:rPr>
          <w:color w:val="auto"/>
          <w:highlight w:val="none"/>
        </w:rPr>
        <w:t>（1）高程系采用1985国家高程基准；</w:t>
      </w:r>
    </w:p>
    <w:p>
      <w:pPr>
        <w:adjustRightInd w:val="0"/>
        <w:snapToGrid w:val="0"/>
        <w:ind w:firstLine="480"/>
        <w:rPr>
          <w:color w:val="auto"/>
          <w:highlight w:val="none"/>
        </w:rPr>
      </w:pPr>
      <w:r>
        <w:rPr>
          <w:color w:val="auto"/>
          <w:highlight w:val="none"/>
        </w:rPr>
        <w:t>（2）坐标系采用80</w:t>
      </w:r>
      <w:r>
        <w:rPr>
          <w:rFonts w:hint="eastAsia"/>
          <w:color w:val="auto"/>
          <w:highlight w:val="none"/>
        </w:rPr>
        <w:t>西安坐标</w:t>
      </w:r>
      <w:r>
        <w:rPr>
          <w:color w:val="auto"/>
          <w:highlight w:val="none"/>
        </w:rPr>
        <w:t>系。</w:t>
      </w:r>
    </w:p>
    <w:p>
      <w:pPr>
        <w:pStyle w:val="5"/>
        <w:rPr>
          <w:color w:val="auto"/>
          <w:highlight w:val="none"/>
        </w:rPr>
      </w:pPr>
      <w:r>
        <w:rPr>
          <w:rFonts w:hint="eastAsia"/>
          <w:color w:val="auto"/>
          <w:highlight w:val="none"/>
        </w:rPr>
        <w:t>5.2.1.4工程耐久性</w:t>
      </w:r>
      <w:r>
        <w:rPr>
          <w:color w:val="auto"/>
          <w:highlight w:val="none"/>
        </w:rPr>
        <w:t>标准</w:t>
      </w:r>
    </w:p>
    <w:p>
      <w:pPr>
        <w:adjustRightInd w:val="0"/>
        <w:snapToGrid w:val="0"/>
        <w:ind w:firstLine="480"/>
        <w:rPr>
          <w:color w:val="auto"/>
          <w:highlight w:val="none"/>
        </w:rPr>
      </w:pPr>
      <w:r>
        <w:rPr>
          <w:rFonts w:hint="eastAsia"/>
          <w:color w:val="auto"/>
          <w:highlight w:val="none"/>
        </w:rPr>
        <w:t>南四湖取水</w:t>
      </w:r>
      <w:r>
        <w:rPr>
          <w:color w:val="auto"/>
          <w:highlight w:val="none"/>
        </w:rPr>
        <w:t>工程等别为</w:t>
      </w:r>
      <w:r>
        <w:rPr>
          <w:rFonts w:hint="eastAsia" w:ascii="宋体" w:hAnsi="宋体"/>
          <w:color w:val="auto"/>
          <w:highlight w:val="none"/>
        </w:rPr>
        <w:t>Ⅲ</w:t>
      </w:r>
      <w:r>
        <w:rPr>
          <w:rFonts w:hint="eastAsia"/>
          <w:color w:val="auto"/>
          <w:highlight w:val="none"/>
        </w:rPr>
        <w:t>等</w:t>
      </w:r>
      <w:r>
        <w:rPr>
          <w:color w:val="auto"/>
          <w:highlight w:val="none"/>
        </w:rPr>
        <w:t>，工程规模为</w:t>
      </w:r>
      <w:r>
        <w:rPr>
          <w:rFonts w:hint="eastAsia"/>
          <w:color w:val="auto"/>
          <w:highlight w:val="none"/>
        </w:rPr>
        <w:t>中</w:t>
      </w:r>
      <w:r>
        <w:rPr>
          <w:color w:val="auto"/>
          <w:highlight w:val="none"/>
        </w:rPr>
        <w:t>型</w:t>
      </w:r>
      <w:r>
        <w:rPr>
          <w:rFonts w:hint="eastAsia"/>
          <w:color w:val="auto"/>
          <w:highlight w:val="none"/>
        </w:rPr>
        <w:t>，主要建筑物为3级，根据</w:t>
      </w:r>
      <w:r>
        <w:rPr>
          <w:color w:val="auto"/>
          <w:highlight w:val="none"/>
        </w:rPr>
        <w:t>《</w:t>
      </w:r>
      <w:r>
        <w:rPr>
          <w:rFonts w:hint="eastAsia"/>
          <w:color w:val="auto"/>
          <w:highlight w:val="none"/>
        </w:rPr>
        <w:t>水利水电工程</w:t>
      </w:r>
      <w:r>
        <w:rPr>
          <w:color w:val="auto"/>
          <w:highlight w:val="none"/>
        </w:rPr>
        <w:t>合理使用年限及耐久性设计规范》</w:t>
      </w:r>
      <w:r>
        <w:rPr>
          <w:rFonts w:hint="eastAsia"/>
          <w:color w:val="auto"/>
          <w:highlight w:val="none"/>
        </w:rPr>
        <w:t>（SL654-2014），</w:t>
      </w:r>
      <w:r>
        <w:rPr>
          <w:color w:val="auto"/>
          <w:highlight w:val="none"/>
        </w:rPr>
        <w:t>本工程合理使用年限为</w:t>
      </w:r>
      <w:r>
        <w:rPr>
          <w:rFonts w:hint="eastAsia"/>
          <w:color w:val="auto"/>
          <w:highlight w:val="none"/>
        </w:rPr>
        <w:t>50年</w:t>
      </w:r>
      <w:r>
        <w:rPr>
          <w:color w:val="auto"/>
          <w:highlight w:val="none"/>
        </w:rPr>
        <w:t>，</w:t>
      </w:r>
      <w:r>
        <w:rPr>
          <w:rFonts w:hint="eastAsia"/>
          <w:color w:val="auto"/>
          <w:highlight w:val="none"/>
        </w:rPr>
        <w:t>其他主要建筑物</w:t>
      </w:r>
      <w:r>
        <w:rPr>
          <w:color w:val="auto"/>
          <w:highlight w:val="none"/>
        </w:rPr>
        <w:t>50</w:t>
      </w:r>
      <w:r>
        <w:rPr>
          <w:rFonts w:hint="eastAsia"/>
          <w:color w:val="auto"/>
          <w:highlight w:val="none"/>
        </w:rPr>
        <w:t>年</w:t>
      </w:r>
      <w:r>
        <w:rPr>
          <w:color w:val="auto"/>
          <w:highlight w:val="none"/>
        </w:rPr>
        <w:t>。</w:t>
      </w:r>
    </w:p>
    <w:p>
      <w:pPr>
        <w:pStyle w:val="4"/>
        <w:rPr>
          <w:color w:val="auto"/>
          <w:highlight w:val="none"/>
        </w:rPr>
      </w:pPr>
      <w:r>
        <w:rPr>
          <w:rFonts w:hint="eastAsia"/>
          <w:color w:val="auto"/>
          <w:highlight w:val="none"/>
        </w:rPr>
        <w:t>5.2.2工程总体布置</w:t>
      </w:r>
    </w:p>
    <w:p>
      <w:pPr>
        <w:ind w:firstLine="480"/>
        <w:rPr>
          <w:color w:val="auto"/>
          <w:highlight w:val="none"/>
        </w:rPr>
      </w:pPr>
      <w:r>
        <w:rPr>
          <w:rFonts w:hint="eastAsia"/>
          <w:color w:val="auto"/>
          <w:highlight w:val="none"/>
        </w:rPr>
        <w:t>调水路线：提水泵站设置在胜利渠首闸上游，调水管线沿胜利渠护渠路向东，沿途穿越一支沟后在大潘家楼村</w:t>
      </w:r>
      <w:r>
        <w:rPr>
          <w:rFonts w:hint="eastAsia"/>
          <w:color w:val="auto"/>
          <w:highlight w:val="none"/>
          <w:lang w:val="en-US" w:eastAsia="zh-CN"/>
        </w:rPr>
        <w:t>东</w:t>
      </w:r>
      <w:r>
        <w:rPr>
          <w:rFonts w:hint="eastAsia"/>
          <w:color w:val="auto"/>
          <w:highlight w:val="none"/>
        </w:rPr>
        <w:t>沿</w:t>
      </w:r>
      <w:r>
        <w:rPr>
          <w:rFonts w:hint="eastAsia"/>
          <w:color w:val="auto"/>
          <w:highlight w:val="none"/>
          <w:lang w:val="en-US" w:eastAsia="zh-CN"/>
        </w:rPr>
        <w:t>周营沙河西岸向北到达葛庄村东，穿越周营沙河后沿</w:t>
      </w:r>
      <w:r>
        <w:rPr>
          <w:rFonts w:hint="eastAsia"/>
          <w:color w:val="auto"/>
          <w:highlight w:val="none"/>
        </w:rPr>
        <w:t>县道（XD32）</w:t>
      </w:r>
      <w:r>
        <w:rPr>
          <w:rFonts w:hint="eastAsia"/>
          <w:color w:val="auto"/>
          <w:highlight w:val="none"/>
          <w:lang w:val="en-US" w:eastAsia="zh-CN"/>
        </w:rPr>
        <w:t>向北</w:t>
      </w:r>
      <w:r>
        <w:rPr>
          <w:rFonts w:hint="eastAsia"/>
          <w:color w:val="auto"/>
          <w:highlight w:val="none"/>
        </w:rPr>
        <w:t>到达上刘庄村南，经加压泵站加压后到达</w:t>
      </w:r>
      <w:r>
        <w:rPr>
          <w:rFonts w:hint="eastAsia"/>
          <w:color w:val="auto"/>
          <w:highlight w:val="none"/>
          <w:lang w:val="en-US" w:eastAsia="zh-CN"/>
        </w:rPr>
        <w:t>贺庄</w:t>
      </w:r>
      <w:r>
        <w:rPr>
          <w:rFonts w:hint="eastAsia"/>
          <w:color w:val="auto"/>
          <w:highlight w:val="none"/>
        </w:rPr>
        <w:t>，然后沿乡道向北敷设，直至龙泉庄水库。管道全长</w:t>
      </w:r>
      <w:r>
        <w:rPr>
          <w:rFonts w:hint="eastAsia"/>
          <w:color w:val="auto"/>
          <w:highlight w:val="none"/>
          <w:lang w:val="en-US" w:eastAsia="zh-CN"/>
        </w:rPr>
        <w:t>23.97</w:t>
      </w:r>
      <w:r>
        <w:rPr>
          <w:rFonts w:hint="eastAsia"/>
          <w:color w:val="auto"/>
          <w:highlight w:val="none"/>
        </w:rPr>
        <w:t>km。</w:t>
      </w:r>
    </w:p>
    <w:p>
      <w:pPr>
        <w:ind w:firstLine="480"/>
        <w:rPr>
          <w:rFonts w:hint="eastAsia" w:eastAsia="宋体"/>
          <w:color w:val="auto"/>
          <w:highlight w:val="none"/>
          <w:lang w:val="en-US" w:eastAsia="zh-CN"/>
        </w:rPr>
      </w:pPr>
      <w:r>
        <w:rPr>
          <w:rFonts w:hint="eastAsia"/>
          <w:color w:val="auto"/>
          <w:highlight w:val="none"/>
        </w:rPr>
        <w:t>原水经龙泉庄水库调蓄，</w:t>
      </w:r>
      <w:r>
        <w:rPr>
          <w:rFonts w:hint="eastAsia"/>
          <w:color w:val="auto"/>
          <w:highlight w:val="none"/>
          <w:lang w:val="en-US" w:eastAsia="zh-CN"/>
        </w:rPr>
        <w:t>经龙泉庄水库泵站</w:t>
      </w:r>
      <w:r>
        <w:rPr>
          <w:rFonts w:hint="eastAsia"/>
          <w:color w:val="auto"/>
          <w:highlight w:val="none"/>
        </w:rPr>
        <w:t>加压</w:t>
      </w:r>
      <w:r>
        <w:rPr>
          <w:rFonts w:hint="eastAsia"/>
          <w:color w:val="auto"/>
          <w:highlight w:val="none"/>
          <w:lang w:val="en-US" w:eastAsia="zh-CN"/>
        </w:rPr>
        <w:t>后</w:t>
      </w:r>
      <w:r>
        <w:rPr>
          <w:rFonts w:hint="eastAsia"/>
          <w:color w:val="auto"/>
          <w:highlight w:val="none"/>
        </w:rPr>
        <w:t>分别输送至</w:t>
      </w:r>
      <w:r>
        <w:rPr>
          <w:rFonts w:hint="eastAsia"/>
          <w:color w:val="auto"/>
          <w:highlight w:val="none"/>
          <w:lang w:val="en-US" w:eastAsia="zh-CN"/>
        </w:rPr>
        <w:t>龙泉庄水库水厂和西棠阴扬水站，再由西棠阴扬水站加压后输送至娘娘村水库、</w:t>
      </w:r>
      <w:r>
        <w:rPr>
          <w:rFonts w:hint="eastAsia"/>
          <w:color w:val="auto"/>
          <w:highlight w:val="none"/>
        </w:rPr>
        <w:t>东郊水厂</w:t>
      </w:r>
      <w:r>
        <w:rPr>
          <w:rFonts w:hint="eastAsia"/>
          <w:color w:val="auto"/>
          <w:highlight w:val="none"/>
          <w:lang w:val="en-US" w:eastAsia="zh-CN"/>
        </w:rPr>
        <w:t>和吴林扬水站，由吴林扬水站加压后送至魏楼扬水站，再由魏楼扬水站加压后送至</w:t>
      </w:r>
      <w:r>
        <w:rPr>
          <w:rFonts w:hint="eastAsia"/>
          <w:color w:val="auto"/>
          <w:highlight w:val="none"/>
        </w:rPr>
        <w:t>东部水厂</w:t>
      </w:r>
      <w:r>
        <w:rPr>
          <w:rFonts w:hint="eastAsia"/>
          <w:color w:val="auto"/>
          <w:highlight w:val="none"/>
          <w:lang w:eastAsia="zh-CN"/>
        </w:rPr>
        <w:t>；</w:t>
      </w:r>
      <w:r>
        <w:rPr>
          <w:rFonts w:hint="eastAsia"/>
          <w:color w:val="auto"/>
          <w:highlight w:val="none"/>
          <w:lang w:val="en-US" w:eastAsia="zh-CN"/>
        </w:rPr>
        <w:t>拟</w:t>
      </w:r>
      <w:r>
        <w:rPr>
          <w:rFonts w:hint="eastAsia"/>
          <w:color w:val="auto"/>
          <w:highlight w:val="none"/>
        </w:rPr>
        <w:t>铺设DN900球墨铸铁管道</w:t>
      </w:r>
      <w:r>
        <w:rPr>
          <w:rFonts w:hint="eastAsia"/>
          <w:color w:val="auto"/>
          <w:highlight w:val="none"/>
          <w:lang w:val="en-US" w:eastAsia="zh-CN"/>
        </w:rPr>
        <w:t>72.74</w:t>
      </w:r>
      <w:r>
        <w:rPr>
          <w:rFonts w:hint="eastAsia"/>
          <w:color w:val="auto"/>
          <w:highlight w:val="none"/>
        </w:rPr>
        <w:t>km</w:t>
      </w:r>
      <w:r>
        <w:rPr>
          <w:rFonts w:hint="eastAsia"/>
          <w:color w:val="auto"/>
          <w:highlight w:val="none"/>
          <w:lang w:eastAsia="zh-CN"/>
        </w:rPr>
        <w:t>。</w:t>
      </w:r>
    </w:p>
    <w:p>
      <w:pPr>
        <w:pStyle w:val="4"/>
        <w:rPr>
          <w:color w:val="auto"/>
          <w:highlight w:val="none"/>
        </w:rPr>
      </w:pPr>
      <w:r>
        <w:rPr>
          <w:rFonts w:hint="eastAsia"/>
          <w:color w:val="auto"/>
          <w:highlight w:val="none"/>
        </w:rPr>
        <w:t xml:space="preserve">5.2.3主要工程内容 </w:t>
      </w:r>
    </w:p>
    <w:p>
      <w:pPr>
        <w:ind w:firstLine="480"/>
        <w:rPr>
          <w:color w:val="auto"/>
          <w:highlight w:val="none"/>
        </w:rPr>
      </w:pPr>
      <w:r>
        <w:rPr>
          <w:rFonts w:hint="eastAsia"/>
          <w:color w:val="auto"/>
          <w:highlight w:val="none"/>
        </w:rPr>
        <w:t>敷设南四湖至龙泉庄水库DN900球墨铸铁管道</w:t>
      </w:r>
      <w:r>
        <w:rPr>
          <w:rFonts w:hint="eastAsia"/>
          <w:color w:val="auto"/>
          <w:highlight w:val="none"/>
          <w:lang w:val="en-US" w:eastAsia="zh-CN"/>
        </w:rPr>
        <w:t>23.97</w:t>
      </w:r>
      <w:r>
        <w:rPr>
          <w:rFonts w:hint="eastAsia"/>
          <w:color w:val="auto"/>
          <w:highlight w:val="none"/>
        </w:rPr>
        <w:t>km，龙泉庄水库至</w:t>
      </w:r>
      <w:r>
        <w:rPr>
          <w:rFonts w:hint="eastAsia"/>
          <w:color w:val="auto"/>
          <w:highlight w:val="none"/>
          <w:lang w:val="en-US" w:eastAsia="zh-CN"/>
        </w:rPr>
        <w:t>西棠阴扬水站</w:t>
      </w:r>
      <w:r>
        <w:rPr>
          <w:rFonts w:hint="eastAsia"/>
          <w:color w:val="auto"/>
          <w:highlight w:val="none"/>
        </w:rPr>
        <w:t>供水管线DN</w:t>
      </w:r>
      <w:r>
        <w:rPr>
          <w:rFonts w:hint="eastAsia"/>
          <w:color w:val="auto"/>
          <w:highlight w:val="none"/>
          <w:lang w:val="en-US" w:eastAsia="zh-CN"/>
        </w:rPr>
        <w:t>9</w:t>
      </w:r>
      <w:r>
        <w:rPr>
          <w:rFonts w:hint="eastAsia"/>
          <w:color w:val="auto"/>
          <w:highlight w:val="none"/>
        </w:rPr>
        <w:t>00球墨铸铁管道</w:t>
      </w:r>
      <w:r>
        <w:rPr>
          <w:rFonts w:hint="eastAsia"/>
          <w:color w:val="auto"/>
          <w:highlight w:val="none"/>
          <w:lang w:val="en-US" w:eastAsia="zh-CN"/>
        </w:rPr>
        <w:t>5.64</w:t>
      </w:r>
      <w:r>
        <w:rPr>
          <w:rFonts w:hint="eastAsia"/>
          <w:color w:val="auto"/>
          <w:highlight w:val="none"/>
        </w:rPr>
        <w:t>km，</w:t>
      </w:r>
      <w:r>
        <w:rPr>
          <w:rFonts w:hint="eastAsia"/>
          <w:color w:val="auto"/>
          <w:highlight w:val="none"/>
          <w:lang w:val="en-US" w:eastAsia="zh-CN"/>
        </w:rPr>
        <w:t>龙泉庄扬水站至龙泉庄水库水厂</w:t>
      </w:r>
      <w:r>
        <w:rPr>
          <w:rFonts w:hint="eastAsia"/>
          <w:color w:val="auto"/>
          <w:highlight w:val="none"/>
        </w:rPr>
        <w:t>供水管线DN</w:t>
      </w:r>
      <w:r>
        <w:rPr>
          <w:rFonts w:hint="eastAsia"/>
          <w:color w:val="auto"/>
          <w:highlight w:val="none"/>
          <w:lang w:val="en-US" w:eastAsia="zh-CN"/>
        </w:rPr>
        <w:t>8</w:t>
      </w:r>
      <w:r>
        <w:rPr>
          <w:rFonts w:hint="eastAsia"/>
          <w:color w:val="auto"/>
          <w:highlight w:val="none"/>
        </w:rPr>
        <w:t>00球墨铸铁管道</w:t>
      </w:r>
      <w:r>
        <w:rPr>
          <w:rFonts w:hint="eastAsia"/>
          <w:color w:val="auto"/>
          <w:highlight w:val="none"/>
          <w:lang w:val="en-US" w:eastAsia="zh-CN"/>
        </w:rPr>
        <w:t>0.2</w:t>
      </w:r>
      <w:r>
        <w:rPr>
          <w:rFonts w:hint="eastAsia"/>
          <w:color w:val="auto"/>
          <w:highlight w:val="none"/>
        </w:rPr>
        <w:t>km</w:t>
      </w:r>
      <w:r>
        <w:rPr>
          <w:rFonts w:hint="eastAsia"/>
          <w:color w:val="auto"/>
          <w:highlight w:val="none"/>
          <w:lang w:eastAsia="zh-CN"/>
        </w:rPr>
        <w:t>，</w:t>
      </w:r>
      <w:r>
        <w:rPr>
          <w:rFonts w:hint="eastAsia"/>
          <w:color w:val="auto"/>
          <w:highlight w:val="none"/>
          <w:lang w:val="en-US" w:eastAsia="zh-CN"/>
        </w:rPr>
        <w:t>西棠阴扬水站至娘娘村水库</w:t>
      </w:r>
      <w:r>
        <w:rPr>
          <w:rFonts w:hint="eastAsia"/>
          <w:color w:val="auto"/>
          <w:highlight w:val="none"/>
        </w:rPr>
        <w:t>供水管线DN</w:t>
      </w:r>
      <w:r>
        <w:rPr>
          <w:rFonts w:hint="eastAsia"/>
          <w:color w:val="auto"/>
          <w:highlight w:val="none"/>
          <w:lang w:val="en-US" w:eastAsia="zh-CN"/>
        </w:rPr>
        <w:t>350</w:t>
      </w:r>
      <w:r>
        <w:rPr>
          <w:rFonts w:hint="eastAsia"/>
          <w:color w:val="auto"/>
          <w:highlight w:val="none"/>
        </w:rPr>
        <w:t>球墨铸铁管道</w:t>
      </w:r>
      <w:r>
        <w:rPr>
          <w:rFonts w:hint="eastAsia"/>
          <w:color w:val="auto"/>
          <w:highlight w:val="none"/>
          <w:lang w:val="en-US" w:eastAsia="zh-CN"/>
        </w:rPr>
        <w:t>5.95</w:t>
      </w:r>
      <w:r>
        <w:rPr>
          <w:rFonts w:hint="eastAsia"/>
          <w:color w:val="auto"/>
          <w:highlight w:val="none"/>
        </w:rPr>
        <w:t>km</w:t>
      </w:r>
      <w:r>
        <w:rPr>
          <w:rFonts w:hint="eastAsia"/>
          <w:color w:val="auto"/>
          <w:highlight w:val="none"/>
          <w:lang w:eastAsia="zh-CN"/>
        </w:rPr>
        <w:t>，</w:t>
      </w:r>
      <w:r>
        <w:rPr>
          <w:rFonts w:hint="eastAsia"/>
          <w:color w:val="auto"/>
          <w:highlight w:val="none"/>
          <w:lang w:val="en-US" w:eastAsia="zh-CN"/>
        </w:rPr>
        <w:t>西棠阴扬水站至</w:t>
      </w:r>
      <w:r>
        <w:rPr>
          <w:rFonts w:hint="eastAsia"/>
          <w:color w:val="auto"/>
          <w:highlight w:val="none"/>
        </w:rPr>
        <w:t>东郊水厂和东部水厂DN800球墨铸铁管道</w:t>
      </w:r>
      <w:r>
        <w:rPr>
          <w:rFonts w:hint="eastAsia"/>
          <w:color w:val="auto"/>
          <w:highlight w:val="none"/>
          <w:lang w:val="en-US" w:eastAsia="zh-CN"/>
        </w:rPr>
        <w:t>13.21</w:t>
      </w:r>
      <w:r>
        <w:rPr>
          <w:rFonts w:hint="eastAsia"/>
          <w:color w:val="auto"/>
          <w:highlight w:val="none"/>
        </w:rPr>
        <w:t>km，东郊水厂DN600球墨铸铁管道</w:t>
      </w:r>
      <w:r>
        <w:rPr>
          <w:rFonts w:hint="eastAsia"/>
          <w:color w:val="auto"/>
          <w:highlight w:val="none"/>
          <w:lang w:val="en-US" w:eastAsia="zh-CN"/>
        </w:rPr>
        <w:t>2.71</w:t>
      </w:r>
      <w:r>
        <w:rPr>
          <w:rFonts w:hint="eastAsia"/>
          <w:color w:val="auto"/>
          <w:highlight w:val="none"/>
        </w:rPr>
        <w:t>km，东部水厂DN600球墨铸铁管道</w:t>
      </w:r>
      <w:r>
        <w:rPr>
          <w:rFonts w:hint="eastAsia"/>
          <w:color w:val="auto"/>
          <w:highlight w:val="none"/>
          <w:lang w:val="en-US" w:eastAsia="zh-CN"/>
        </w:rPr>
        <w:t>21.06</w:t>
      </w:r>
      <w:r>
        <w:rPr>
          <w:rFonts w:hint="eastAsia"/>
          <w:color w:val="auto"/>
          <w:highlight w:val="none"/>
        </w:rPr>
        <w:t>km，沿途设置加压泵站</w:t>
      </w:r>
      <w:r>
        <w:rPr>
          <w:rFonts w:hint="eastAsia"/>
          <w:color w:val="auto"/>
          <w:highlight w:val="none"/>
          <w:lang w:val="en-US" w:eastAsia="zh-CN"/>
        </w:rPr>
        <w:t>6</w:t>
      </w:r>
      <w:r>
        <w:rPr>
          <w:rFonts w:hint="eastAsia"/>
          <w:color w:val="auto"/>
          <w:highlight w:val="none"/>
        </w:rPr>
        <w:t>座。</w:t>
      </w:r>
    </w:p>
    <w:p>
      <w:pPr>
        <w:pStyle w:val="4"/>
        <w:rPr>
          <w:color w:val="auto"/>
          <w:highlight w:val="none"/>
        </w:rPr>
      </w:pPr>
      <w:r>
        <w:rPr>
          <w:rFonts w:hint="eastAsia"/>
          <w:color w:val="auto"/>
          <w:highlight w:val="none"/>
        </w:rPr>
        <w:t>5.2.4调水管线</w:t>
      </w:r>
    </w:p>
    <w:p>
      <w:pPr>
        <w:pStyle w:val="5"/>
        <w:rPr>
          <w:color w:val="auto"/>
          <w:highlight w:val="none"/>
        </w:rPr>
      </w:pPr>
      <w:r>
        <w:rPr>
          <w:rFonts w:hint="eastAsia"/>
          <w:color w:val="auto"/>
          <w:highlight w:val="none"/>
        </w:rPr>
        <w:t>5.2.4.1管线布置原则</w:t>
      </w:r>
    </w:p>
    <w:p>
      <w:pPr>
        <w:autoSpaceDE w:val="0"/>
        <w:autoSpaceDN w:val="0"/>
        <w:spacing w:line="520" w:lineRule="exact"/>
        <w:ind w:firstLine="480"/>
        <w:rPr>
          <w:rFonts w:hAnsi="宋体"/>
          <w:color w:val="auto"/>
          <w:highlight w:val="none"/>
        </w:rPr>
      </w:pPr>
      <w:r>
        <w:rPr>
          <w:rFonts w:hAnsi="宋体"/>
          <w:color w:val="auto"/>
          <w:highlight w:val="none"/>
        </w:rPr>
        <w:t>管线布置在根据《室外给水设计规范》（GB50013-2006）要求的基础上，同时考虑地质、运输、施工等情况，在管线选择时遵循了以下原则：</w:t>
      </w:r>
    </w:p>
    <w:p>
      <w:pPr>
        <w:autoSpaceDE w:val="0"/>
        <w:autoSpaceDN w:val="0"/>
        <w:spacing w:line="520" w:lineRule="exact"/>
        <w:ind w:firstLine="480"/>
        <w:rPr>
          <w:rFonts w:hAnsi="宋体"/>
          <w:color w:val="auto"/>
          <w:highlight w:val="none"/>
        </w:rPr>
      </w:pPr>
      <w:r>
        <w:rPr>
          <w:rFonts w:hAnsi="宋体"/>
          <w:color w:val="auto"/>
          <w:highlight w:val="none"/>
        </w:rPr>
        <w:t>（1）管线均采用地下敷设的方式。</w:t>
      </w:r>
    </w:p>
    <w:p>
      <w:pPr>
        <w:autoSpaceDE w:val="0"/>
        <w:autoSpaceDN w:val="0"/>
        <w:spacing w:line="520" w:lineRule="exact"/>
        <w:ind w:firstLine="480"/>
        <w:rPr>
          <w:rFonts w:hAnsi="宋体"/>
          <w:color w:val="auto"/>
          <w:highlight w:val="none"/>
        </w:rPr>
      </w:pPr>
      <w:r>
        <w:rPr>
          <w:rFonts w:hAnsi="宋体"/>
          <w:color w:val="auto"/>
          <w:highlight w:val="none"/>
        </w:rPr>
        <w:t>（2）为便于施工和管理，尽可能沿现有道路定线，选择有利地形和地质条件。</w:t>
      </w:r>
    </w:p>
    <w:p>
      <w:pPr>
        <w:autoSpaceDE w:val="0"/>
        <w:autoSpaceDN w:val="0"/>
        <w:spacing w:line="520" w:lineRule="exact"/>
        <w:ind w:firstLine="480"/>
        <w:rPr>
          <w:rFonts w:hAnsi="宋体"/>
          <w:color w:val="auto"/>
          <w:highlight w:val="none"/>
        </w:rPr>
      </w:pPr>
      <w:r>
        <w:rPr>
          <w:rFonts w:hAnsi="宋体"/>
          <w:color w:val="auto"/>
          <w:highlight w:val="none"/>
        </w:rPr>
        <w:t>（3）管线的布置应尽量与道路或建筑红线相平行。管线力求顺直，以减少管线长度和避免转弯过多。同一管线不宜从道路一侧转到另一侧。</w:t>
      </w:r>
    </w:p>
    <w:p>
      <w:pPr>
        <w:autoSpaceDE w:val="0"/>
        <w:autoSpaceDN w:val="0"/>
        <w:spacing w:line="520" w:lineRule="exact"/>
        <w:ind w:firstLine="480"/>
        <w:rPr>
          <w:rFonts w:hAnsi="宋体"/>
          <w:color w:val="auto"/>
          <w:highlight w:val="none"/>
        </w:rPr>
      </w:pPr>
      <w:r>
        <w:rPr>
          <w:rFonts w:hAnsi="宋体"/>
          <w:color w:val="auto"/>
          <w:highlight w:val="none"/>
        </w:rPr>
        <w:t>（4）尽量避免穿村庄、拆民房，减少占地。</w:t>
      </w:r>
    </w:p>
    <w:p>
      <w:pPr>
        <w:autoSpaceDE w:val="0"/>
        <w:autoSpaceDN w:val="0"/>
        <w:spacing w:line="520" w:lineRule="exact"/>
        <w:ind w:firstLine="480"/>
        <w:rPr>
          <w:rFonts w:hAnsi="宋体"/>
          <w:color w:val="auto"/>
          <w:highlight w:val="none"/>
        </w:rPr>
      </w:pPr>
      <w:r>
        <w:rPr>
          <w:rFonts w:hAnsi="宋体"/>
          <w:color w:val="auto"/>
          <w:highlight w:val="none"/>
        </w:rPr>
        <w:t>（5）减少管线与障碍物及其他管线的交叉。不得已需要交叉时，尽量采用正交。且自地表面向下循序为：电力管线、通信、燃气管线、给水管线、雨水管线、污水管线。</w:t>
      </w:r>
    </w:p>
    <w:p>
      <w:pPr>
        <w:autoSpaceDE w:val="0"/>
        <w:autoSpaceDN w:val="0"/>
        <w:spacing w:line="520" w:lineRule="exact"/>
        <w:ind w:firstLine="480"/>
        <w:rPr>
          <w:rFonts w:hAnsi="宋体"/>
          <w:color w:val="auto"/>
          <w:highlight w:val="none"/>
        </w:rPr>
      </w:pPr>
      <w:r>
        <w:rPr>
          <w:rFonts w:hAnsi="宋体"/>
          <w:color w:val="auto"/>
          <w:highlight w:val="none"/>
        </w:rPr>
        <w:t>（6）地下管线产生矛盾时，按下列避让原则：</w:t>
      </w:r>
    </w:p>
    <w:p>
      <w:pPr>
        <w:autoSpaceDE w:val="0"/>
        <w:autoSpaceDN w:val="0"/>
        <w:spacing w:line="520" w:lineRule="exact"/>
        <w:ind w:firstLine="480"/>
        <w:rPr>
          <w:rFonts w:hAnsi="宋体"/>
          <w:color w:val="auto"/>
          <w:highlight w:val="none"/>
        </w:rPr>
      </w:pPr>
      <w:r>
        <w:rPr>
          <w:rFonts w:hAnsi="宋体"/>
          <w:color w:val="auto"/>
          <w:highlight w:val="none"/>
        </w:rPr>
        <w:t xml:space="preserve">     1）压力管让自流管。</w:t>
      </w:r>
    </w:p>
    <w:p>
      <w:pPr>
        <w:autoSpaceDE w:val="0"/>
        <w:autoSpaceDN w:val="0"/>
        <w:spacing w:line="520" w:lineRule="exact"/>
        <w:ind w:firstLine="480"/>
        <w:rPr>
          <w:rFonts w:hAnsi="宋体"/>
          <w:color w:val="auto"/>
          <w:highlight w:val="none"/>
        </w:rPr>
      </w:pPr>
      <w:r>
        <w:rPr>
          <w:rFonts w:hAnsi="宋体"/>
          <w:color w:val="auto"/>
          <w:highlight w:val="none"/>
        </w:rPr>
        <w:t xml:space="preserve">     2）分支管让主干管。</w:t>
      </w:r>
    </w:p>
    <w:p>
      <w:pPr>
        <w:autoSpaceDE w:val="0"/>
        <w:autoSpaceDN w:val="0"/>
        <w:spacing w:line="520" w:lineRule="exact"/>
        <w:ind w:firstLine="480"/>
        <w:rPr>
          <w:rFonts w:hAnsi="宋体"/>
          <w:color w:val="auto"/>
          <w:highlight w:val="none"/>
        </w:rPr>
      </w:pPr>
      <w:r>
        <w:rPr>
          <w:rFonts w:hAnsi="宋体"/>
          <w:color w:val="auto"/>
          <w:highlight w:val="none"/>
        </w:rPr>
        <w:t xml:space="preserve">     3）管径小的让管径大的。</w:t>
      </w:r>
    </w:p>
    <w:p>
      <w:pPr>
        <w:autoSpaceDE w:val="0"/>
        <w:autoSpaceDN w:val="0"/>
        <w:spacing w:line="520" w:lineRule="exact"/>
        <w:ind w:firstLine="480"/>
        <w:rPr>
          <w:rFonts w:hAnsi="宋体"/>
          <w:color w:val="auto"/>
          <w:highlight w:val="none"/>
        </w:rPr>
      </w:pPr>
      <w:r>
        <w:rPr>
          <w:rFonts w:hAnsi="宋体"/>
          <w:color w:val="auto"/>
          <w:highlight w:val="none"/>
        </w:rPr>
        <w:t xml:space="preserve">     4）宜弯曲的让不宜弯曲的。</w:t>
      </w:r>
    </w:p>
    <w:p>
      <w:pPr>
        <w:autoSpaceDE w:val="0"/>
        <w:autoSpaceDN w:val="0"/>
        <w:spacing w:line="520" w:lineRule="exact"/>
        <w:ind w:firstLine="480"/>
        <w:rPr>
          <w:rFonts w:hAnsi="宋体"/>
          <w:color w:val="auto"/>
          <w:highlight w:val="none"/>
        </w:rPr>
      </w:pPr>
      <w:r>
        <w:rPr>
          <w:rFonts w:hAnsi="宋体"/>
          <w:color w:val="auto"/>
          <w:highlight w:val="none"/>
        </w:rPr>
        <w:t xml:space="preserve">     5）临时性的让永久性的。</w:t>
      </w:r>
    </w:p>
    <w:p>
      <w:pPr>
        <w:autoSpaceDE w:val="0"/>
        <w:autoSpaceDN w:val="0"/>
        <w:spacing w:line="520" w:lineRule="exact"/>
        <w:ind w:firstLine="480"/>
        <w:rPr>
          <w:rFonts w:hAnsi="宋体"/>
          <w:color w:val="auto"/>
          <w:highlight w:val="none"/>
        </w:rPr>
      </w:pPr>
      <w:r>
        <w:rPr>
          <w:rFonts w:hAnsi="宋体"/>
          <w:color w:val="auto"/>
          <w:highlight w:val="none"/>
        </w:rPr>
        <w:t xml:space="preserve">     6）工程量小的让工程量大的。</w:t>
      </w:r>
    </w:p>
    <w:p>
      <w:pPr>
        <w:autoSpaceDE w:val="0"/>
        <w:autoSpaceDN w:val="0"/>
        <w:spacing w:line="520" w:lineRule="exact"/>
        <w:ind w:firstLine="480"/>
        <w:rPr>
          <w:rFonts w:hAnsi="宋体"/>
          <w:color w:val="auto"/>
          <w:highlight w:val="none"/>
        </w:rPr>
      </w:pPr>
      <w:r>
        <w:rPr>
          <w:rFonts w:hAnsi="宋体"/>
          <w:color w:val="auto"/>
          <w:highlight w:val="none"/>
        </w:rPr>
        <w:t xml:space="preserve">     7）新建的让现有的。</w:t>
      </w:r>
    </w:p>
    <w:p>
      <w:pPr>
        <w:autoSpaceDE w:val="0"/>
        <w:autoSpaceDN w:val="0"/>
        <w:spacing w:line="520" w:lineRule="exact"/>
        <w:ind w:firstLine="480"/>
        <w:rPr>
          <w:rFonts w:hAnsi="宋体"/>
          <w:color w:val="auto"/>
          <w:highlight w:val="none"/>
        </w:rPr>
      </w:pPr>
      <w:r>
        <w:rPr>
          <w:rFonts w:hAnsi="宋体"/>
          <w:color w:val="auto"/>
          <w:highlight w:val="none"/>
        </w:rPr>
        <w:t xml:space="preserve">     8）检修次数少的、方便检修的让检修次数多的、不方便的。</w:t>
      </w:r>
    </w:p>
    <w:p>
      <w:pPr>
        <w:autoSpaceDE w:val="0"/>
        <w:autoSpaceDN w:val="0"/>
        <w:spacing w:line="520" w:lineRule="exact"/>
        <w:ind w:firstLine="480"/>
        <w:rPr>
          <w:rFonts w:hAnsi="宋体"/>
          <w:color w:val="auto"/>
          <w:highlight w:val="none"/>
        </w:rPr>
      </w:pPr>
      <w:r>
        <w:rPr>
          <w:rFonts w:hAnsi="宋体"/>
          <w:color w:val="auto"/>
          <w:highlight w:val="none"/>
        </w:rPr>
        <w:t>（7）管线与建筑物、管线与管线之间的最小水平间距及工程管线交叉时的最小垂直净距，应满足《城市工程管线综合规划规范》（GB50289-2016）有关规定。</w:t>
      </w:r>
    </w:p>
    <w:p>
      <w:pPr>
        <w:pStyle w:val="5"/>
        <w:rPr>
          <w:color w:val="auto"/>
          <w:highlight w:val="none"/>
        </w:rPr>
      </w:pPr>
      <w:r>
        <w:rPr>
          <w:rFonts w:hint="eastAsia"/>
          <w:color w:val="auto"/>
          <w:highlight w:val="none"/>
        </w:rPr>
        <w:t>5.2.4.2调水路线选择</w:t>
      </w:r>
    </w:p>
    <w:p>
      <w:pPr>
        <w:ind w:firstLine="480"/>
        <w:rPr>
          <w:color w:val="auto"/>
          <w:highlight w:val="none"/>
        </w:rPr>
      </w:pPr>
      <w:r>
        <w:rPr>
          <w:rFonts w:hint="eastAsia"/>
          <w:color w:val="auto"/>
          <w:highlight w:val="none"/>
        </w:rPr>
        <w:t>南四湖至龙泉庄水库调水路线方案一：提水泵站设置在胜利渠首闸上游，调水管线沿胜利渠护渠路向东，沿途穿越一支沟后在大潘家楼村</w:t>
      </w:r>
      <w:r>
        <w:rPr>
          <w:rFonts w:hint="eastAsia"/>
          <w:color w:val="auto"/>
          <w:highlight w:val="none"/>
          <w:lang w:val="en-US" w:eastAsia="zh-CN"/>
        </w:rPr>
        <w:t>东</w:t>
      </w:r>
      <w:r>
        <w:rPr>
          <w:rFonts w:hint="eastAsia"/>
          <w:color w:val="auto"/>
          <w:highlight w:val="none"/>
        </w:rPr>
        <w:t>沿</w:t>
      </w:r>
      <w:r>
        <w:rPr>
          <w:rFonts w:hint="eastAsia"/>
          <w:color w:val="auto"/>
          <w:highlight w:val="none"/>
          <w:lang w:val="en-US" w:eastAsia="zh-CN"/>
        </w:rPr>
        <w:t>周营沙河西岸向北到达葛庄村东，穿越周营沙河后沿</w:t>
      </w:r>
      <w:r>
        <w:rPr>
          <w:rFonts w:hint="eastAsia"/>
          <w:color w:val="auto"/>
          <w:highlight w:val="none"/>
        </w:rPr>
        <w:t>县道（XD32）</w:t>
      </w:r>
      <w:r>
        <w:rPr>
          <w:rFonts w:hint="eastAsia"/>
          <w:color w:val="auto"/>
          <w:highlight w:val="none"/>
          <w:lang w:val="en-US" w:eastAsia="zh-CN"/>
        </w:rPr>
        <w:t>向北</w:t>
      </w:r>
      <w:r>
        <w:rPr>
          <w:rFonts w:hint="eastAsia"/>
          <w:color w:val="auto"/>
          <w:highlight w:val="none"/>
        </w:rPr>
        <w:t>到达上刘庄村南，经加压泵站加压后到达</w:t>
      </w:r>
      <w:r>
        <w:rPr>
          <w:rFonts w:hint="eastAsia"/>
          <w:color w:val="auto"/>
          <w:highlight w:val="none"/>
          <w:lang w:val="en-US" w:eastAsia="zh-CN"/>
        </w:rPr>
        <w:t>贺庄</w:t>
      </w:r>
      <w:r>
        <w:rPr>
          <w:rFonts w:hint="eastAsia"/>
          <w:color w:val="auto"/>
          <w:highlight w:val="none"/>
        </w:rPr>
        <w:t>，然后沿乡道向北敷设，直至龙泉庄水库。管道全长</w:t>
      </w:r>
      <w:r>
        <w:rPr>
          <w:rFonts w:hint="eastAsia"/>
          <w:color w:val="auto"/>
          <w:highlight w:val="none"/>
          <w:lang w:val="en-US" w:eastAsia="zh-CN"/>
        </w:rPr>
        <w:t>23.97</w:t>
      </w:r>
      <w:r>
        <w:rPr>
          <w:rFonts w:hint="eastAsia"/>
          <w:color w:val="auto"/>
          <w:highlight w:val="none"/>
        </w:rPr>
        <w:t>km</w:t>
      </w:r>
      <w:r>
        <w:rPr>
          <w:rFonts w:hint="eastAsia"/>
          <w:color w:val="auto"/>
          <w:highlight w:val="none"/>
          <w:lang w:eastAsia="zh-CN"/>
        </w:rPr>
        <w:t>，</w:t>
      </w:r>
      <w:r>
        <w:rPr>
          <w:rFonts w:hint="eastAsia"/>
          <w:color w:val="auto"/>
          <w:highlight w:val="none"/>
        </w:rPr>
        <w:t>沿途最不利位置高程120m。</w:t>
      </w:r>
    </w:p>
    <w:p>
      <w:pPr>
        <w:ind w:firstLine="480"/>
        <w:rPr>
          <w:color w:val="auto"/>
          <w:highlight w:val="none"/>
        </w:rPr>
      </w:pPr>
      <w:r>
        <w:rPr>
          <w:rFonts w:hint="eastAsia"/>
          <w:color w:val="auto"/>
          <w:highlight w:val="none"/>
        </w:rPr>
        <w:t>南四湖至龙泉庄水库调水路线方案二：一级提水泵站设置在胜利渠首闸上游，调水管线沿胜利渠护渠路向东，沿途穿越一支沟、二支沟、阴平沙河、魏家沟，管道在大荒村东南拐弯，沿三支沟河道滩地一路向北至尚庄西村，然后沿乡道向西穿越光山，到达郑庄后沿乡道向北敷设，直至龙泉庄水库。管道直径DN900，全长29.91km，沿途最不利位置高程130.0m。</w:t>
      </w:r>
    </w:p>
    <w:p>
      <w:pPr>
        <w:ind w:firstLine="480"/>
        <w:rPr>
          <w:color w:val="auto"/>
          <w:highlight w:val="none"/>
        </w:rPr>
      </w:pPr>
      <w:r>
        <w:rPr>
          <w:rFonts w:hint="eastAsia"/>
          <w:color w:val="auto"/>
          <w:highlight w:val="none"/>
        </w:rPr>
        <w:t>方案一调水路线短，最不利位置高程较低，工程投资小，运行费用低，因此调水路线推荐方案一。</w:t>
      </w:r>
    </w:p>
    <w:p>
      <w:pPr>
        <w:ind w:firstLine="480"/>
        <w:rPr>
          <w:color w:val="auto"/>
          <w:highlight w:val="none"/>
        </w:rPr>
      </w:pPr>
      <w:r>
        <w:rPr>
          <w:rFonts w:hint="eastAsia"/>
          <w:color w:val="auto"/>
          <w:highlight w:val="none"/>
        </w:rPr>
        <w:t>龙泉庄水库至水厂输水干管：从</w:t>
      </w:r>
      <w:r>
        <w:rPr>
          <w:rFonts w:hint="eastAsia"/>
          <w:color w:val="auto"/>
          <w:highlight w:val="none"/>
          <w:lang w:val="en-US" w:eastAsia="zh-CN"/>
        </w:rPr>
        <w:t>龙泉庄水库扬水站</w:t>
      </w:r>
      <w:r>
        <w:rPr>
          <w:rFonts w:hint="eastAsia"/>
          <w:color w:val="auto"/>
          <w:highlight w:val="none"/>
        </w:rPr>
        <w:t>沿</w:t>
      </w:r>
      <w:r>
        <w:rPr>
          <w:rFonts w:hint="eastAsia"/>
          <w:color w:val="auto"/>
          <w:highlight w:val="none"/>
          <w:lang w:val="en-US" w:eastAsia="zh-CN"/>
        </w:rPr>
        <w:t>新建观光路</w:t>
      </w:r>
      <w:r>
        <w:rPr>
          <w:rFonts w:hint="eastAsia"/>
          <w:color w:val="auto"/>
          <w:highlight w:val="none"/>
        </w:rPr>
        <w:t>向北敷设，</w:t>
      </w:r>
      <w:r>
        <w:rPr>
          <w:rFonts w:hint="eastAsia"/>
          <w:color w:val="auto"/>
          <w:highlight w:val="none"/>
          <w:lang w:val="en-US" w:eastAsia="zh-CN"/>
        </w:rPr>
        <w:t>至东南山村后向西再向北至西棠阴羊水咋，</w:t>
      </w:r>
      <w:r>
        <w:rPr>
          <w:rFonts w:hint="eastAsia"/>
          <w:color w:val="auto"/>
          <w:highlight w:val="none"/>
        </w:rPr>
        <w:t>管道直径DN1000，全长</w:t>
      </w:r>
      <w:r>
        <w:rPr>
          <w:rFonts w:hint="eastAsia"/>
          <w:color w:val="auto"/>
          <w:highlight w:val="none"/>
          <w:lang w:val="en-US" w:eastAsia="zh-CN"/>
        </w:rPr>
        <w:t>5.64</w:t>
      </w:r>
      <w:r>
        <w:rPr>
          <w:rFonts w:hint="eastAsia"/>
          <w:color w:val="auto"/>
          <w:highlight w:val="none"/>
        </w:rPr>
        <w:t>km。</w:t>
      </w:r>
    </w:p>
    <w:p>
      <w:pPr>
        <w:ind w:firstLine="480"/>
        <w:rPr>
          <w:color w:val="auto"/>
          <w:highlight w:val="none"/>
        </w:rPr>
      </w:pPr>
      <w:r>
        <w:rPr>
          <w:rFonts w:hint="eastAsia"/>
          <w:color w:val="auto"/>
          <w:highlight w:val="none"/>
          <w:lang w:val="en-US" w:eastAsia="zh-CN"/>
        </w:rPr>
        <w:t>龙泉庄水库</w:t>
      </w:r>
      <w:r>
        <w:rPr>
          <w:rFonts w:hint="eastAsia"/>
          <w:color w:val="auto"/>
          <w:highlight w:val="none"/>
        </w:rPr>
        <w:t>水厂输水管线：输水干管设分水口至</w:t>
      </w:r>
      <w:r>
        <w:rPr>
          <w:rFonts w:hint="eastAsia"/>
          <w:color w:val="auto"/>
          <w:highlight w:val="none"/>
          <w:lang w:val="en-US" w:eastAsia="zh-CN"/>
        </w:rPr>
        <w:t>龙泉庄水库</w:t>
      </w:r>
      <w:r>
        <w:rPr>
          <w:rFonts w:hint="eastAsia"/>
          <w:color w:val="auto"/>
          <w:highlight w:val="none"/>
        </w:rPr>
        <w:t>水厂。管道直径DN600，全长</w:t>
      </w:r>
      <w:r>
        <w:rPr>
          <w:rFonts w:hint="eastAsia"/>
          <w:color w:val="auto"/>
          <w:highlight w:val="none"/>
          <w:lang w:val="en-US" w:eastAsia="zh-CN"/>
        </w:rPr>
        <w:t>1000</w:t>
      </w:r>
      <w:r>
        <w:rPr>
          <w:rFonts w:hint="eastAsia"/>
          <w:color w:val="auto"/>
          <w:highlight w:val="none"/>
        </w:rPr>
        <w:t>m。</w:t>
      </w:r>
    </w:p>
    <w:p>
      <w:pPr>
        <w:ind w:firstLine="480"/>
        <w:rPr>
          <w:color w:val="auto"/>
          <w:highlight w:val="none"/>
        </w:rPr>
      </w:pPr>
      <w:r>
        <w:rPr>
          <w:rFonts w:hint="eastAsia"/>
          <w:color w:val="auto"/>
          <w:highlight w:val="none"/>
        </w:rPr>
        <w:t>东郊及东部水厂输水管线：在</w:t>
      </w:r>
      <w:r>
        <w:rPr>
          <w:rFonts w:hint="eastAsia"/>
          <w:color w:val="auto"/>
          <w:highlight w:val="none"/>
          <w:lang w:val="en-US" w:eastAsia="zh-CN"/>
        </w:rPr>
        <w:t>西棠阴扬水站</w:t>
      </w:r>
      <w:r>
        <w:rPr>
          <w:rFonts w:hint="eastAsia"/>
          <w:color w:val="auto"/>
          <w:highlight w:val="none"/>
        </w:rPr>
        <w:t>设分水口沿跃进河滩地向东敷设管道，穿越大沙河后，分别沿郯薛线到达仙坛路，管道直径DN800，全长</w:t>
      </w:r>
      <w:r>
        <w:rPr>
          <w:rFonts w:hint="eastAsia"/>
          <w:color w:val="auto"/>
          <w:highlight w:val="none"/>
          <w:lang w:val="en-US" w:eastAsia="zh-CN"/>
        </w:rPr>
        <w:t>13.21</w:t>
      </w:r>
      <w:r>
        <w:rPr>
          <w:rFonts w:hint="eastAsia"/>
          <w:color w:val="auto"/>
          <w:highlight w:val="none"/>
        </w:rPr>
        <w:t>km。</w:t>
      </w:r>
    </w:p>
    <w:p>
      <w:pPr>
        <w:ind w:firstLine="480"/>
        <w:rPr>
          <w:color w:val="auto"/>
          <w:highlight w:val="none"/>
        </w:rPr>
      </w:pPr>
      <w:r>
        <w:rPr>
          <w:rFonts w:hint="eastAsia"/>
          <w:color w:val="auto"/>
          <w:highlight w:val="none"/>
        </w:rPr>
        <w:t>东郊水厂输水管线：沿仙坛路向北敷设至东郊水厂，管道直径DN600，全长</w:t>
      </w:r>
      <w:r>
        <w:rPr>
          <w:rFonts w:hint="eastAsia"/>
          <w:color w:val="auto"/>
          <w:highlight w:val="none"/>
          <w:lang w:val="en-US" w:eastAsia="zh-CN"/>
        </w:rPr>
        <w:t>2.71</w:t>
      </w:r>
      <w:r>
        <w:rPr>
          <w:rFonts w:hint="eastAsia"/>
          <w:color w:val="auto"/>
          <w:highlight w:val="none"/>
        </w:rPr>
        <w:t>km。</w:t>
      </w:r>
    </w:p>
    <w:p>
      <w:pPr>
        <w:ind w:firstLine="480"/>
        <w:rPr>
          <w:color w:val="auto"/>
          <w:highlight w:val="none"/>
        </w:rPr>
      </w:pPr>
      <w:r>
        <w:rPr>
          <w:rFonts w:hint="eastAsia"/>
          <w:color w:val="auto"/>
          <w:highlight w:val="none"/>
        </w:rPr>
        <w:t>东部水厂输水管线：沿郯薛线向东至前进桥附近，然后向北沿新沟河到达东部水厂。管道直径DN600，全场</w:t>
      </w:r>
      <w:r>
        <w:rPr>
          <w:rFonts w:hint="eastAsia"/>
          <w:color w:val="auto"/>
          <w:highlight w:val="none"/>
          <w:lang w:val="en-US" w:eastAsia="zh-CN"/>
        </w:rPr>
        <w:t>21.06</w:t>
      </w:r>
      <w:r>
        <w:rPr>
          <w:rFonts w:hint="eastAsia"/>
          <w:color w:val="auto"/>
          <w:highlight w:val="none"/>
        </w:rPr>
        <w:t>km。沿途设加压泵站</w:t>
      </w:r>
      <w:r>
        <w:rPr>
          <w:rFonts w:hint="eastAsia"/>
          <w:color w:val="auto"/>
          <w:highlight w:val="none"/>
          <w:lang w:val="en-US" w:eastAsia="zh-CN"/>
        </w:rPr>
        <w:t>2</w:t>
      </w:r>
      <w:r>
        <w:rPr>
          <w:rFonts w:hint="eastAsia"/>
          <w:color w:val="auto"/>
          <w:highlight w:val="none"/>
        </w:rPr>
        <w:t>座。</w:t>
      </w:r>
    </w:p>
    <w:p>
      <w:pPr>
        <w:pStyle w:val="5"/>
        <w:rPr>
          <w:color w:val="auto"/>
          <w:highlight w:val="none"/>
        </w:rPr>
      </w:pPr>
      <w:r>
        <w:rPr>
          <w:rFonts w:hint="eastAsia"/>
          <w:color w:val="auto"/>
          <w:highlight w:val="none"/>
        </w:rPr>
        <w:t>5.2.4.2</w:t>
      </w:r>
      <w:r>
        <w:rPr>
          <w:color w:val="auto"/>
          <w:highlight w:val="none"/>
        </w:rPr>
        <w:t>水力计算</w:t>
      </w:r>
    </w:p>
    <w:p>
      <w:pPr>
        <w:tabs>
          <w:tab w:val="left" w:pos="742"/>
        </w:tabs>
        <w:ind w:firstLine="480"/>
        <w:jc w:val="left"/>
        <w:rPr>
          <w:color w:val="auto"/>
          <w:highlight w:val="none"/>
        </w:rPr>
      </w:pPr>
      <w:r>
        <w:rPr>
          <w:color w:val="auto"/>
          <w:highlight w:val="none"/>
        </w:rPr>
        <w:t>1、总水头损失</w:t>
      </w:r>
    </w:p>
    <w:p>
      <w:pPr>
        <w:tabs>
          <w:tab w:val="left" w:pos="864"/>
        </w:tabs>
        <w:ind w:firstLine="480"/>
        <w:rPr>
          <w:color w:val="auto"/>
          <w:highlight w:val="none"/>
        </w:rPr>
      </w:pPr>
      <w:r>
        <w:rPr>
          <w:color w:val="auto"/>
          <w:highlight w:val="none"/>
        </w:rPr>
        <w:t>可按下式计算：</w:t>
      </w:r>
    </w:p>
    <w:p>
      <w:pPr>
        <w:ind w:firstLine="480"/>
        <w:rPr>
          <w:i/>
          <w:color w:val="auto"/>
          <w:highlight w:val="none"/>
        </w:rPr>
      </w:pPr>
      <m:oMathPara>
        <m:oMath>
          <m:sSub>
            <m:sSubPr>
              <m:ctrlPr>
                <w:rPr>
                  <w:rFonts w:ascii="Cambria Math" w:hAnsi="Cambria Math" w:eastAsia="等线"/>
                  <w:i/>
                  <w:color w:val="auto"/>
                  <w:highlight w:val="none"/>
                </w:rPr>
              </m:ctrlPr>
            </m:sSubPr>
            <m:e>
              <m:r>
                <m:rPr/>
                <w:rPr>
                  <w:rFonts w:ascii="Cambria Math" w:hAnsi="Cambria Math" w:eastAsia="等线"/>
                  <w:color w:val="auto"/>
                  <w:highlight w:val="none"/>
                </w:rPr>
                <m:t>ℎ</m:t>
              </m:r>
              <m:ctrlPr>
                <w:rPr>
                  <w:rFonts w:ascii="Cambria Math" w:hAnsi="Cambria Math" w:eastAsia="等线"/>
                  <w:i/>
                  <w:color w:val="auto"/>
                  <w:highlight w:val="none"/>
                </w:rPr>
              </m:ctrlPr>
            </m:e>
            <m:sub>
              <m:r>
                <m:rPr/>
                <w:rPr>
                  <w:rFonts w:ascii="Cambria Math" w:hAnsi="Cambria Math" w:eastAsia="等线"/>
                  <w:color w:val="auto"/>
                  <w:highlight w:val="none"/>
                </w:rPr>
                <m:t>z</m:t>
              </m:r>
              <m:ctrlPr>
                <w:rPr>
                  <w:rFonts w:ascii="Cambria Math" w:hAnsi="Cambria Math" w:eastAsia="等线"/>
                  <w:i/>
                  <w:color w:val="auto"/>
                  <w:highlight w:val="none"/>
                </w:rPr>
              </m:ctrlPr>
            </m:sub>
          </m:sSub>
          <m:r>
            <m:rPr/>
            <w:rPr>
              <w:rFonts w:ascii="Cambria Math" w:hAnsi="Cambria Math" w:eastAsia="等线"/>
              <w:color w:val="auto"/>
              <w:highlight w:val="none"/>
            </w:rPr>
            <m:t>=</m:t>
          </m:r>
          <m:sSub>
            <m:sSubPr>
              <m:ctrlPr>
                <w:rPr>
                  <w:rFonts w:ascii="Cambria Math" w:hAnsi="Cambria Math" w:eastAsia="等线"/>
                  <w:i/>
                  <w:color w:val="auto"/>
                  <w:highlight w:val="none"/>
                </w:rPr>
              </m:ctrlPr>
            </m:sSubPr>
            <m:e>
              <m:r>
                <m:rPr/>
                <w:rPr>
                  <w:rFonts w:ascii="Cambria Math" w:hAnsi="Cambria Math" w:eastAsia="等线"/>
                  <w:color w:val="auto"/>
                  <w:highlight w:val="none"/>
                </w:rPr>
                <m:t xml:space="preserve"> ℎ</m:t>
              </m:r>
              <m:ctrlPr>
                <w:rPr>
                  <w:rFonts w:ascii="Cambria Math" w:hAnsi="Cambria Math" w:eastAsia="等线"/>
                  <w:i/>
                  <w:color w:val="auto"/>
                  <w:highlight w:val="none"/>
                </w:rPr>
              </m:ctrlPr>
            </m:e>
            <m:sub>
              <m:r>
                <m:rPr/>
                <w:rPr>
                  <w:rFonts w:ascii="Cambria Math" w:hAnsi="Cambria Math" w:eastAsia="等线"/>
                  <w:color w:val="auto"/>
                  <w:highlight w:val="none"/>
                </w:rPr>
                <m:t>y</m:t>
              </m:r>
              <m:ctrlPr>
                <w:rPr>
                  <w:rFonts w:ascii="Cambria Math" w:hAnsi="Cambria Math" w:eastAsia="等线"/>
                  <w:i/>
                  <w:color w:val="auto"/>
                  <w:highlight w:val="none"/>
                </w:rPr>
              </m:ctrlPr>
            </m:sub>
          </m:sSub>
          <m:r>
            <m:rPr/>
            <w:rPr>
              <w:rFonts w:ascii="Cambria Math" w:hAnsi="Cambria Math" w:eastAsia="等线"/>
              <w:color w:val="auto"/>
              <w:highlight w:val="none"/>
            </w:rPr>
            <m:t>+</m:t>
          </m:r>
          <m:sSub>
            <m:sSubPr>
              <m:ctrlPr>
                <w:rPr>
                  <w:rFonts w:ascii="Cambria Math" w:hAnsi="Cambria Math" w:eastAsia="等线"/>
                  <w:i/>
                  <w:color w:val="auto"/>
                  <w:highlight w:val="none"/>
                </w:rPr>
              </m:ctrlPr>
            </m:sSubPr>
            <m:e>
              <m:r>
                <m:rPr/>
                <w:rPr>
                  <w:rFonts w:ascii="Cambria Math" w:hAnsi="Cambria Math" w:eastAsia="等线"/>
                  <w:color w:val="auto"/>
                  <w:highlight w:val="none"/>
                </w:rPr>
                <m:t>ℎ</m:t>
              </m:r>
              <m:ctrlPr>
                <w:rPr>
                  <w:rFonts w:ascii="Cambria Math" w:hAnsi="Cambria Math" w:eastAsia="等线"/>
                  <w:i/>
                  <w:color w:val="auto"/>
                  <w:highlight w:val="none"/>
                </w:rPr>
              </m:ctrlPr>
            </m:e>
            <m:sub>
              <m:r>
                <m:rPr/>
                <w:rPr>
                  <w:rFonts w:ascii="Cambria Math" w:hAnsi="Cambria Math" w:eastAsia="等线"/>
                  <w:color w:val="auto"/>
                  <w:highlight w:val="none"/>
                </w:rPr>
                <m:t>j</m:t>
              </m:r>
              <m:ctrlPr>
                <w:rPr>
                  <w:rFonts w:ascii="Cambria Math" w:hAnsi="Cambria Math" w:eastAsia="等线"/>
                  <w:i/>
                  <w:color w:val="auto"/>
                  <w:highlight w:val="none"/>
                </w:rPr>
              </m:ctrlPr>
            </m:sub>
          </m:sSub>
        </m:oMath>
      </m:oMathPara>
    </w:p>
    <w:p>
      <w:pPr>
        <w:ind w:firstLine="480"/>
        <w:rPr>
          <w:color w:val="auto"/>
          <w:highlight w:val="none"/>
        </w:rPr>
      </w:pPr>
      <w:r>
        <w:rPr>
          <w:color w:val="auto"/>
          <w:highlight w:val="none"/>
        </w:rPr>
        <w:t>式中：</w:t>
      </w:r>
      <m:oMath>
        <m:sSub>
          <m:sSubPr>
            <m:ctrlPr>
              <w:rPr>
                <w:rFonts w:ascii="Cambria Math" w:hAnsi="Cambria Math" w:eastAsia="等线"/>
                <w:i/>
                <w:color w:val="auto"/>
                <w:highlight w:val="none"/>
              </w:rPr>
            </m:ctrlPr>
          </m:sSubPr>
          <m:e>
            <m:r>
              <m:rPr/>
              <w:rPr>
                <w:rFonts w:ascii="Cambria Math" w:hAnsi="Cambria Math" w:eastAsia="等线"/>
                <w:color w:val="auto"/>
                <w:highlight w:val="none"/>
              </w:rPr>
              <m:t>ℎ</m:t>
            </m:r>
            <m:ctrlPr>
              <w:rPr>
                <w:rFonts w:ascii="Cambria Math" w:hAnsi="Cambria Math" w:eastAsia="等线"/>
                <w:i/>
                <w:color w:val="auto"/>
                <w:highlight w:val="none"/>
              </w:rPr>
            </m:ctrlPr>
          </m:e>
          <m:sub>
            <m:r>
              <m:rPr/>
              <w:rPr>
                <w:rFonts w:ascii="Cambria Math" w:hAnsi="Cambria Math" w:eastAsia="等线"/>
                <w:color w:val="auto"/>
                <w:highlight w:val="none"/>
              </w:rPr>
              <m:t>z</m:t>
            </m:r>
            <m:ctrlPr>
              <w:rPr>
                <w:rFonts w:ascii="Cambria Math" w:hAnsi="Cambria Math" w:eastAsia="等线"/>
                <w:i/>
                <w:color w:val="auto"/>
                <w:highlight w:val="none"/>
              </w:rPr>
            </m:ctrlPr>
          </m:sub>
        </m:sSub>
      </m:oMath>
      <w:r>
        <w:rPr>
          <w:color w:val="auto"/>
          <w:highlight w:val="none"/>
        </w:rPr>
        <w:t>—总水头损失（m）</w:t>
      </w:r>
    </w:p>
    <w:p>
      <w:pPr>
        <w:ind w:firstLine="1200" w:firstLineChars="500"/>
        <w:rPr>
          <w:color w:val="auto"/>
          <w:highlight w:val="none"/>
        </w:rPr>
      </w:pPr>
      <m:oMath>
        <m:sSub>
          <m:sSubPr>
            <m:ctrlPr>
              <w:rPr>
                <w:rFonts w:ascii="Cambria Math" w:hAnsi="Cambria Math" w:eastAsia="等线"/>
                <w:i/>
                <w:color w:val="auto"/>
                <w:highlight w:val="none"/>
              </w:rPr>
            </m:ctrlPr>
          </m:sSubPr>
          <m:e>
            <m:r>
              <m:rPr/>
              <w:rPr>
                <w:rFonts w:ascii="Cambria Math" w:hAnsi="Cambria Math" w:eastAsia="等线"/>
                <w:color w:val="auto"/>
                <w:highlight w:val="none"/>
              </w:rPr>
              <m:t xml:space="preserve"> ℎ</m:t>
            </m:r>
            <m:ctrlPr>
              <w:rPr>
                <w:rFonts w:ascii="Cambria Math" w:hAnsi="Cambria Math" w:eastAsia="等线"/>
                <w:i/>
                <w:color w:val="auto"/>
                <w:highlight w:val="none"/>
              </w:rPr>
            </m:ctrlPr>
          </m:e>
          <m:sub>
            <m:r>
              <m:rPr/>
              <w:rPr>
                <w:rFonts w:ascii="Cambria Math" w:hAnsi="Cambria Math" w:eastAsia="等线"/>
                <w:color w:val="auto"/>
                <w:highlight w:val="none"/>
              </w:rPr>
              <m:t>y</m:t>
            </m:r>
            <m:ctrlPr>
              <w:rPr>
                <w:rFonts w:ascii="Cambria Math" w:hAnsi="Cambria Math" w:eastAsia="等线"/>
                <w:i/>
                <w:color w:val="auto"/>
                <w:highlight w:val="none"/>
              </w:rPr>
            </m:ctrlPr>
          </m:sub>
        </m:sSub>
      </m:oMath>
      <w:r>
        <w:rPr>
          <w:color w:val="auto"/>
          <w:highlight w:val="none"/>
        </w:rPr>
        <w:t>沿程水头损失（m）</w:t>
      </w:r>
    </w:p>
    <w:p>
      <w:pPr>
        <w:ind w:firstLine="1200" w:firstLineChars="500"/>
        <w:rPr>
          <w:color w:val="auto"/>
          <w:highlight w:val="none"/>
        </w:rPr>
      </w:pPr>
      <m:oMath>
        <m:sSub>
          <m:sSubPr>
            <m:ctrlPr>
              <w:rPr>
                <w:rFonts w:ascii="Cambria Math" w:hAnsi="Cambria Math" w:eastAsia="等线"/>
                <w:i/>
                <w:color w:val="auto"/>
                <w:highlight w:val="none"/>
              </w:rPr>
            </m:ctrlPr>
          </m:sSubPr>
          <m:e>
            <m:r>
              <m:rPr/>
              <w:rPr>
                <w:rFonts w:ascii="Cambria Math" w:hAnsi="Cambria Math" w:eastAsia="等线"/>
                <w:color w:val="auto"/>
                <w:highlight w:val="none"/>
              </w:rPr>
              <m:t>ℎ</m:t>
            </m:r>
            <m:ctrlPr>
              <w:rPr>
                <w:rFonts w:ascii="Cambria Math" w:hAnsi="Cambria Math" w:eastAsia="等线"/>
                <w:i/>
                <w:color w:val="auto"/>
                <w:highlight w:val="none"/>
              </w:rPr>
            </m:ctrlPr>
          </m:e>
          <m:sub>
            <m:r>
              <m:rPr/>
              <w:rPr>
                <w:rFonts w:ascii="Cambria Math" w:hAnsi="Cambria Math" w:eastAsia="等线"/>
                <w:color w:val="auto"/>
                <w:highlight w:val="none"/>
              </w:rPr>
              <m:t>j</m:t>
            </m:r>
            <m:ctrlPr>
              <w:rPr>
                <w:rFonts w:ascii="Cambria Math" w:hAnsi="Cambria Math" w:eastAsia="等线"/>
                <w:i/>
                <w:color w:val="auto"/>
                <w:highlight w:val="none"/>
              </w:rPr>
            </m:ctrlPr>
          </m:sub>
        </m:sSub>
      </m:oMath>
      <w:r>
        <w:rPr>
          <w:color w:val="auto"/>
          <w:highlight w:val="none"/>
        </w:rPr>
        <w:t>—局部水头损失（m）</w:t>
      </w:r>
    </w:p>
    <w:p>
      <w:pPr>
        <w:tabs>
          <w:tab w:val="left" w:pos="742"/>
        </w:tabs>
        <w:ind w:firstLine="480"/>
        <w:jc w:val="left"/>
        <w:rPr>
          <w:color w:val="auto"/>
          <w:highlight w:val="none"/>
        </w:rPr>
      </w:pPr>
      <w:r>
        <w:rPr>
          <w:color w:val="auto"/>
          <w:highlight w:val="none"/>
        </w:rPr>
        <w:t>2、沿程水头损失</w:t>
      </w:r>
    </w:p>
    <w:p>
      <w:pPr>
        <w:ind w:firstLine="480"/>
        <w:rPr>
          <w:color w:val="auto"/>
          <w:highlight w:val="none"/>
        </w:rPr>
      </w:pPr>
      <w:r>
        <w:rPr>
          <w:color w:val="auto"/>
          <w:highlight w:val="none"/>
        </w:rPr>
        <w:t>管道单位沿程损失，设计采用海曾-威廉公式计算：</w:t>
      </w:r>
    </w:p>
    <w:p>
      <w:pPr>
        <w:ind w:firstLine="480"/>
        <w:jc w:val="center"/>
        <w:rPr>
          <w:color w:val="auto"/>
          <w:highlight w:val="none"/>
        </w:rPr>
      </w:pPr>
      <w:r>
        <w:rPr>
          <w:color w:val="auto"/>
          <w:position w:val="-30"/>
          <w:highlight w:val="none"/>
        </w:rPr>
        <w:drawing>
          <wp:inline distT="0" distB="0" distL="0" distR="0">
            <wp:extent cx="1076325" cy="466725"/>
            <wp:effectExtent l="0" t="0" r="9525" b="9525"/>
            <wp:docPr id="509" name="图片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图片 5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76325" cy="466725"/>
                    </a:xfrm>
                    <a:prstGeom prst="rect">
                      <a:avLst/>
                    </a:prstGeom>
                    <a:noFill/>
                    <a:ln>
                      <a:noFill/>
                    </a:ln>
                  </pic:spPr>
                </pic:pic>
              </a:graphicData>
            </a:graphic>
          </wp:inline>
        </w:drawing>
      </w:r>
    </w:p>
    <w:p>
      <w:pPr>
        <w:ind w:firstLine="480"/>
        <w:rPr>
          <w:color w:val="auto"/>
          <w:highlight w:val="none"/>
        </w:rPr>
      </w:pPr>
      <w:r>
        <w:rPr>
          <w:color w:val="auto"/>
          <w:highlight w:val="none"/>
        </w:rPr>
        <w:t>沿程水头损失：</w:t>
      </w:r>
      <m:oMath>
        <m:sSub>
          <m:sSubPr>
            <m:ctrlPr>
              <w:rPr>
                <w:rFonts w:ascii="Cambria Math" w:hAnsi="Cambria Math" w:eastAsia="等线"/>
                <w:i/>
                <w:color w:val="auto"/>
                <w:highlight w:val="none"/>
              </w:rPr>
            </m:ctrlPr>
          </m:sSubPr>
          <m:e>
            <m:r>
              <m:rPr/>
              <w:rPr>
                <w:rFonts w:ascii="Cambria Math" w:hAnsi="Cambria Math" w:eastAsia="等线"/>
                <w:color w:val="auto"/>
                <w:highlight w:val="none"/>
              </w:rPr>
              <m:t xml:space="preserve"> ℎ</m:t>
            </m:r>
            <m:ctrlPr>
              <w:rPr>
                <w:rFonts w:ascii="Cambria Math" w:hAnsi="Cambria Math" w:eastAsia="等线"/>
                <w:i/>
                <w:color w:val="auto"/>
                <w:highlight w:val="none"/>
              </w:rPr>
            </m:ctrlPr>
          </m:e>
          <m:sub>
            <m:r>
              <m:rPr/>
              <w:rPr>
                <w:rFonts w:ascii="Cambria Math" w:hAnsi="Cambria Math" w:eastAsia="等线"/>
                <w:color w:val="auto"/>
                <w:highlight w:val="none"/>
              </w:rPr>
              <m:t>y</m:t>
            </m:r>
            <m:ctrlPr>
              <w:rPr>
                <w:rFonts w:ascii="Cambria Math" w:hAnsi="Cambria Math" w:eastAsia="等线"/>
                <w:i/>
                <w:color w:val="auto"/>
                <w:highlight w:val="none"/>
              </w:rPr>
            </m:ctrlPr>
          </m:sub>
        </m:sSub>
        <m:r>
          <m:rPr/>
          <w:rPr>
            <w:rFonts w:ascii="Cambria Math" w:hAnsi="Cambria Math" w:eastAsia="等线"/>
            <w:color w:val="auto"/>
            <w:highlight w:val="none"/>
          </w:rPr>
          <m:t>=i×L</m:t>
        </m:r>
      </m:oMath>
    </w:p>
    <w:p>
      <w:pPr>
        <w:ind w:firstLine="480"/>
        <w:rPr>
          <w:color w:val="auto"/>
          <w:highlight w:val="none"/>
        </w:rPr>
      </w:pPr>
      <w:r>
        <w:rPr>
          <w:color w:val="auto"/>
          <w:highlight w:val="none"/>
        </w:rPr>
        <w:t>式中：</w:t>
      </w:r>
      <m:oMath>
        <m:r>
          <m:rPr/>
          <w:rPr>
            <w:rFonts w:ascii="Cambria Math" w:hAnsi="Cambria Math" w:eastAsia="等线"/>
            <w:color w:val="auto"/>
            <w:highlight w:val="none"/>
          </w:rPr>
          <m:t>i</m:t>
        </m:r>
      </m:oMath>
      <w:r>
        <w:rPr>
          <w:color w:val="auto"/>
          <w:highlight w:val="none"/>
        </w:rPr>
        <w:t>—管道单位长度的水头损失（水力坡降）；</w:t>
      </w:r>
    </w:p>
    <w:p>
      <w:pPr>
        <w:ind w:firstLine="480"/>
        <w:rPr>
          <w:color w:val="auto"/>
          <w:highlight w:val="none"/>
        </w:rPr>
      </w:pPr>
      <w:r>
        <w:rPr>
          <w:color w:val="auto"/>
          <w:highlight w:val="none"/>
        </w:rPr>
        <w:t xml:space="preserve">     </w:t>
      </w:r>
      <w:r>
        <w:rPr>
          <w:i/>
          <w:color w:val="auto"/>
          <w:highlight w:val="none"/>
        </w:rPr>
        <w:t xml:space="preserve"> </w:t>
      </w:r>
      <m:oMath>
        <m:r>
          <m:rPr/>
          <w:rPr>
            <w:rFonts w:ascii="Cambria Math" w:hAnsi="Cambria Math" w:eastAsia="等线"/>
            <w:color w:val="auto"/>
            <w:highlight w:val="none"/>
          </w:rPr>
          <m:t>d</m:t>
        </m:r>
      </m:oMath>
      <w:r>
        <w:rPr>
          <w:color w:val="auto"/>
          <w:highlight w:val="none"/>
        </w:rPr>
        <w:t>—管道计算内径（m）；</w:t>
      </w:r>
    </w:p>
    <w:p>
      <w:pPr>
        <w:ind w:firstLine="1200" w:firstLineChars="500"/>
        <w:rPr>
          <w:color w:val="auto"/>
          <w:highlight w:val="none"/>
        </w:rPr>
      </w:pPr>
      <m:oMath>
        <m:sSub>
          <m:sSubPr>
            <m:ctrlPr>
              <w:rPr>
                <w:rFonts w:ascii="Cambria Math" w:hAnsi="Cambria Math" w:eastAsia="等线"/>
                <w:i/>
                <w:color w:val="auto"/>
                <w:highlight w:val="none"/>
                <w:vertAlign w:val="subscript"/>
              </w:rPr>
            </m:ctrlPr>
          </m:sSubPr>
          <m:e>
            <m:r>
              <m:rPr/>
              <w:rPr>
                <w:rFonts w:ascii="Cambria Math" w:hAnsi="Cambria Math" w:eastAsia="等线"/>
                <w:color w:val="auto"/>
                <w:highlight w:val="none"/>
                <w:vertAlign w:val="subscript"/>
              </w:rPr>
              <m:t>C</m:t>
            </m:r>
            <m:ctrlPr>
              <w:rPr>
                <w:rFonts w:ascii="Cambria Math" w:hAnsi="Cambria Math" w:eastAsia="等线"/>
                <w:i/>
                <w:color w:val="auto"/>
                <w:highlight w:val="none"/>
                <w:vertAlign w:val="subscript"/>
              </w:rPr>
            </m:ctrlPr>
          </m:e>
          <m:sub>
            <m:r>
              <m:rPr/>
              <w:rPr>
                <w:rFonts w:ascii="Cambria Math" w:hAnsi="Cambria Math" w:eastAsia="等线"/>
                <w:color w:val="auto"/>
                <w:highlight w:val="none"/>
                <w:vertAlign w:val="subscript"/>
              </w:rPr>
              <m:t>ℎ</m:t>
            </m:r>
            <m:ctrlPr>
              <w:rPr>
                <w:rFonts w:ascii="Cambria Math" w:hAnsi="Cambria Math" w:eastAsia="等线"/>
                <w:i/>
                <w:color w:val="auto"/>
                <w:highlight w:val="none"/>
                <w:vertAlign w:val="subscript"/>
              </w:rPr>
            </m:ctrlPr>
          </m:sub>
        </m:sSub>
      </m:oMath>
      <w:r>
        <w:rPr>
          <w:color w:val="auto"/>
          <w:highlight w:val="none"/>
        </w:rPr>
        <w:t>—海曾-威廉系数；</w:t>
      </w:r>
    </w:p>
    <w:p>
      <w:pPr>
        <w:ind w:firstLine="480"/>
        <w:rPr>
          <w:color w:val="auto"/>
          <w:highlight w:val="none"/>
        </w:rPr>
      </w:pPr>
      <w:r>
        <w:rPr>
          <w:color w:val="auto"/>
          <w:highlight w:val="none"/>
        </w:rPr>
        <w:t xml:space="preserve">      </w:t>
      </w:r>
      <m:oMath>
        <m:r>
          <m:rPr/>
          <w:rPr>
            <w:rFonts w:ascii="Cambria Math" w:hAnsi="Cambria Math" w:eastAsia="等线"/>
            <w:color w:val="auto"/>
            <w:highlight w:val="none"/>
          </w:rPr>
          <m:t>Q</m:t>
        </m:r>
      </m:oMath>
      <w:r>
        <w:rPr>
          <w:color w:val="auto"/>
          <w:highlight w:val="none"/>
        </w:rPr>
        <w:t>—管道计算流量（m</w:t>
      </w:r>
      <w:r>
        <w:rPr>
          <w:color w:val="auto"/>
          <w:highlight w:val="none"/>
          <w:vertAlign w:val="superscript"/>
        </w:rPr>
        <w:t>3</w:t>
      </w:r>
      <w:r>
        <w:rPr>
          <w:color w:val="auto"/>
          <w:highlight w:val="none"/>
        </w:rPr>
        <w:t>/s）；</w:t>
      </w:r>
    </w:p>
    <w:p>
      <w:pPr>
        <w:ind w:firstLine="480"/>
        <w:rPr>
          <w:color w:val="auto"/>
          <w:highlight w:val="none"/>
        </w:rPr>
      </w:pPr>
      <w:r>
        <w:rPr>
          <w:color w:val="auto"/>
          <w:highlight w:val="none"/>
        </w:rPr>
        <w:t xml:space="preserve">      </w:t>
      </w:r>
      <m:oMath>
        <m:r>
          <m:rPr/>
          <w:rPr>
            <w:rFonts w:ascii="Cambria Math" w:hAnsi="Cambria Math" w:eastAsia="等线"/>
            <w:color w:val="auto"/>
            <w:highlight w:val="none"/>
          </w:rPr>
          <m:t>L</m:t>
        </m:r>
      </m:oMath>
      <w:r>
        <w:rPr>
          <w:color w:val="auto"/>
          <w:highlight w:val="none"/>
        </w:rPr>
        <w:t>—管道长度（m）。</w:t>
      </w:r>
    </w:p>
    <w:p>
      <w:pPr>
        <w:tabs>
          <w:tab w:val="left" w:pos="742"/>
        </w:tabs>
        <w:ind w:firstLine="480"/>
        <w:jc w:val="left"/>
        <w:rPr>
          <w:color w:val="auto"/>
          <w:highlight w:val="none"/>
        </w:rPr>
      </w:pPr>
      <w:r>
        <w:rPr>
          <w:color w:val="auto"/>
          <w:highlight w:val="none"/>
        </w:rPr>
        <w:t>3、局部水头损失</w:t>
      </w:r>
    </w:p>
    <w:p>
      <w:pPr>
        <w:ind w:firstLine="480"/>
        <w:rPr>
          <w:color w:val="auto"/>
          <w:highlight w:val="none"/>
        </w:rPr>
      </w:pPr>
      <w:r>
        <w:rPr>
          <w:color w:val="auto"/>
          <w:highlight w:val="none"/>
        </w:rPr>
        <w:t xml:space="preserve">可采用下式计算： </w:t>
      </w:r>
    </w:p>
    <w:p>
      <w:pPr>
        <w:ind w:firstLine="1800" w:firstLineChars="750"/>
        <w:rPr>
          <w:color w:val="auto"/>
          <w:highlight w:val="none"/>
        </w:rPr>
      </w:pPr>
      <m:oMathPara>
        <m:oMath>
          <m:sSub>
            <m:sSubPr>
              <m:ctrlPr>
                <w:rPr>
                  <w:rFonts w:ascii="Cambria Math" w:hAnsi="Cambria Math" w:eastAsia="等线"/>
                  <w:color w:val="auto"/>
                  <w:highlight w:val="none"/>
                </w:rPr>
              </m:ctrlPr>
            </m:sSubPr>
            <m:e>
              <m:r>
                <m:rPr/>
                <w:rPr>
                  <w:rFonts w:ascii="Cambria Math" w:hAnsi="Cambria Math" w:eastAsia="等线"/>
                  <w:color w:val="auto"/>
                  <w:highlight w:val="none"/>
                </w:rPr>
                <m:t>ℎ</m:t>
              </m:r>
              <m:ctrlPr>
                <w:rPr>
                  <w:rFonts w:ascii="Cambria Math" w:hAnsi="Cambria Math" w:eastAsia="等线"/>
                  <w:color w:val="auto"/>
                  <w:highlight w:val="none"/>
                </w:rPr>
              </m:ctrlPr>
            </m:e>
            <m:sub>
              <m:r>
                <m:rPr/>
                <w:rPr>
                  <w:rFonts w:ascii="Cambria Math" w:hAnsi="Cambria Math" w:eastAsia="等线"/>
                  <w:color w:val="auto"/>
                  <w:highlight w:val="none"/>
                </w:rPr>
                <m:t>j</m:t>
              </m:r>
              <m:ctrlPr>
                <w:rPr>
                  <w:rFonts w:ascii="Cambria Math" w:hAnsi="Cambria Math" w:eastAsia="等线"/>
                  <w:color w:val="auto"/>
                  <w:highlight w:val="none"/>
                </w:rPr>
              </m:ctrlPr>
            </m:sub>
          </m:sSub>
          <m:r>
            <m:rPr/>
            <w:rPr>
              <w:rFonts w:ascii="Cambria Math" w:hAnsi="Cambria Math" w:eastAsia="等线"/>
              <w:color w:val="auto"/>
              <w:highlight w:val="none"/>
            </w:rPr>
            <m:t>=</m:t>
          </m:r>
          <m:nary>
            <m:naryPr>
              <m:chr m:val="∑"/>
              <m:limLoc m:val="undOvr"/>
              <m:subHide m:val="1"/>
              <m:supHide m:val="1"/>
              <m:ctrlPr>
                <w:rPr>
                  <w:rFonts w:ascii="Cambria Math" w:hAnsi="Cambria Math" w:eastAsia="等线"/>
                  <w:color w:val="auto"/>
                  <w:highlight w:val="none"/>
                </w:rPr>
              </m:ctrlPr>
            </m:naryPr>
            <m:sub>
              <m:ctrlPr>
                <w:rPr>
                  <w:rFonts w:ascii="Cambria Math" w:hAnsi="Cambria Math" w:eastAsia="等线"/>
                  <w:color w:val="auto"/>
                  <w:highlight w:val="none"/>
                </w:rPr>
              </m:ctrlPr>
            </m:sub>
            <m:sup>
              <m:ctrlPr>
                <w:rPr>
                  <w:rFonts w:ascii="Cambria Math" w:hAnsi="Cambria Math" w:eastAsia="等线"/>
                  <w:color w:val="auto"/>
                  <w:highlight w:val="none"/>
                </w:rPr>
              </m:ctrlPr>
            </m:sup>
            <m:e>
              <m:r>
                <m:rPr>
                  <m:sty m:val="p"/>
                </m:rPr>
                <w:rPr>
                  <w:rFonts w:ascii="Cambria Math" w:hAnsi="Cambria Math" w:eastAsia="等线"/>
                  <w:color w:val="auto"/>
                  <w:highlight w:val="none"/>
                </w:rPr>
                <m:t>ζ</m:t>
              </m:r>
              <m:f>
                <m:fPr>
                  <m:ctrlPr>
                    <w:rPr>
                      <w:rFonts w:ascii="Cambria Math" w:hAnsi="Cambria Math" w:eastAsia="等线"/>
                      <w:i/>
                      <w:color w:val="auto"/>
                      <w:highlight w:val="none"/>
                    </w:rPr>
                  </m:ctrlPr>
                </m:fPr>
                <m:num>
                  <m:sSup>
                    <m:sSupPr>
                      <m:ctrlPr>
                        <w:rPr>
                          <w:rFonts w:ascii="Cambria Math" w:hAnsi="Cambria Math" w:eastAsia="等线"/>
                          <w:i/>
                          <w:color w:val="auto"/>
                          <w:highlight w:val="none"/>
                        </w:rPr>
                      </m:ctrlPr>
                    </m:sSupPr>
                    <m:e>
                      <m:r>
                        <m:rPr/>
                        <w:rPr>
                          <w:rFonts w:ascii="Cambria Math" w:hAnsi="Cambria Math" w:eastAsia="等线"/>
                          <w:color w:val="auto"/>
                          <w:highlight w:val="none"/>
                        </w:rPr>
                        <m:t>v</m:t>
                      </m:r>
                      <m:ctrlPr>
                        <w:rPr>
                          <w:rFonts w:ascii="Cambria Math" w:hAnsi="Cambria Math" w:eastAsia="等线"/>
                          <w:i/>
                          <w:color w:val="auto"/>
                          <w:highlight w:val="none"/>
                        </w:rPr>
                      </m:ctrlPr>
                    </m:e>
                    <m:sup>
                      <m:r>
                        <m:rPr/>
                        <w:rPr>
                          <w:rFonts w:ascii="Cambria Math" w:hAnsi="Cambria Math" w:eastAsia="等线"/>
                          <w:color w:val="auto"/>
                          <w:highlight w:val="none"/>
                        </w:rPr>
                        <m:t>2</m:t>
                      </m:r>
                      <m:ctrlPr>
                        <w:rPr>
                          <w:rFonts w:ascii="Cambria Math" w:hAnsi="Cambria Math" w:eastAsia="等线"/>
                          <w:i/>
                          <w:color w:val="auto"/>
                          <w:highlight w:val="none"/>
                        </w:rPr>
                      </m:ctrlPr>
                    </m:sup>
                  </m:sSup>
                  <m:ctrlPr>
                    <w:rPr>
                      <w:rFonts w:ascii="Cambria Math" w:hAnsi="Cambria Math" w:eastAsia="等线"/>
                      <w:i/>
                      <w:color w:val="auto"/>
                      <w:highlight w:val="none"/>
                    </w:rPr>
                  </m:ctrlPr>
                </m:num>
                <m:den>
                  <m:r>
                    <m:rPr/>
                    <w:rPr>
                      <w:rFonts w:ascii="Cambria Math" w:hAnsi="Cambria Math" w:eastAsia="等线"/>
                      <w:color w:val="auto"/>
                      <w:highlight w:val="none"/>
                    </w:rPr>
                    <m:t>2</m:t>
                  </m:r>
                  <m:r>
                    <m:rPr>
                      <m:sty m:val="p"/>
                    </m:rPr>
                    <w:rPr>
                      <w:rFonts w:ascii="Cambria Math" w:hAnsi="Cambria Math" w:eastAsia="等线"/>
                      <w:color w:val="auto"/>
                      <w:highlight w:val="none"/>
                    </w:rPr>
                    <m:t>g</m:t>
                  </m:r>
                  <m:ctrlPr>
                    <w:rPr>
                      <w:rFonts w:ascii="Cambria Math" w:hAnsi="Cambria Math" w:eastAsia="等线"/>
                      <w:i/>
                      <w:color w:val="auto"/>
                      <w:highlight w:val="none"/>
                    </w:rPr>
                  </m:ctrlPr>
                </m:den>
              </m:f>
              <m:ctrlPr>
                <w:rPr>
                  <w:rFonts w:ascii="Cambria Math" w:hAnsi="Cambria Math" w:eastAsia="等线"/>
                  <w:color w:val="auto"/>
                  <w:highlight w:val="none"/>
                </w:rPr>
              </m:ctrlPr>
            </m:e>
          </m:nary>
        </m:oMath>
      </m:oMathPara>
    </w:p>
    <w:p>
      <w:pPr>
        <w:ind w:firstLine="480"/>
        <w:rPr>
          <w:color w:val="auto"/>
          <w:highlight w:val="none"/>
        </w:rPr>
      </w:pPr>
      <w:r>
        <w:rPr>
          <w:color w:val="auto"/>
          <w:highlight w:val="none"/>
        </w:rPr>
        <w:t>式中：</w:t>
      </w:r>
      <m:oMath>
        <m:sSub>
          <m:sSubPr>
            <m:ctrlPr>
              <w:rPr>
                <w:rFonts w:ascii="Cambria Math" w:hAnsi="Cambria Math" w:eastAsia="等线"/>
                <w:i/>
                <w:color w:val="auto"/>
                <w:highlight w:val="none"/>
              </w:rPr>
            </m:ctrlPr>
          </m:sSubPr>
          <m:e>
            <m:r>
              <m:rPr/>
              <w:rPr>
                <w:rFonts w:ascii="Cambria Math" w:hAnsi="Cambria Math" w:eastAsia="等线"/>
                <w:color w:val="auto"/>
                <w:highlight w:val="none"/>
              </w:rPr>
              <m:t>ℎ</m:t>
            </m:r>
            <m:ctrlPr>
              <w:rPr>
                <w:rFonts w:ascii="Cambria Math" w:hAnsi="Cambria Math" w:eastAsia="等线"/>
                <w:i/>
                <w:color w:val="auto"/>
                <w:highlight w:val="none"/>
              </w:rPr>
            </m:ctrlPr>
          </m:e>
          <m:sub>
            <m:r>
              <m:rPr/>
              <w:rPr>
                <w:rFonts w:ascii="Cambria Math" w:hAnsi="Cambria Math" w:eastAsia="等线"/>
                <w:color w:val="auto"/>
                <w:highlight w:val="none"/>
              </w:rPr>
              <m:t>j</m:t>
            </m:r>
            <m:ctrlPr>
              <w:rPr>
                <w:rFonts w:ascii="Cambria Math" w:hAnsi="Cambria Math" w:eastAsia="等线"/>
                <w:i/>
                <w:color w:val="auto"/>
                <w:highlight w:val="none"/>
              </w:rPr>
            </m:ctrlPr>
          </m:sub>
        </m:sSub>
      </m:oMath>
      <w:r>
        <w:rPr>
          <w:color w:val="auto"/>
          <w:highlight w:val="none"/>
        </w:rPr>
        <w:t>—局部水头损失；</w:t>
      </w:r>
    </w:p>
    <w:p>
      <w:pPr>
        <w:ind w:firstLine="480"/>
        <w:rPr>
          <w:color w:val="auto"/>
          <w:highlight w:val="none"/>
        </w:rPr>
      </w:pPr>
      <w:r>
        <w:rPr>
          <w:color w:val="auto"/>
          <w:highlight w:val="none"/>
        </w:rPr>
        <w:t xml:space="preserve">     </w:t>
      </w:r>
      <w:r>
        <w:rPr>
          <w:i/>
          <w:color w:val="auto"/>
          <w:highlight w:val="none"/>
        </w:rPr>
        <w:t xml:space="preserve"> </w:t>
      </w:r>
      <m:oMath>
        <m:r>
          <m:rPr/>
          <w:rPr>
            <w:rFonts w:ascii="Cambria Math" w:hAnsi="Cambria Math" w:eastAsia="等线"/>
            <w:color w:val="auto"/>
            <w:highlight w:val="none"/>
          </w:rPr>
          <m:t>v</m:t>
        </m:r>
      </m:oMath>
      <w:r>
        <w:rPr>
          <w:color w:val="auto"/>
          <w:highlight w:val="none"/>
        </w:rPr>
        <w:t>—平均流速（m/s）；</w:t>
      </w:r>
    </w:p>
    <w:p>
      <w:pPr>
        <w:ind w:firstLine="480"/>
        <w:rPr>
          <w:color w:val="auto"/>
          <w:highlight w:val="none"/>
        </w:rPr>
      </w:pPr>
      <w:r>
        <w:rPr>
          <w:color w:val="auto"/>
          <w:highlight w:val="none"/>
        </w:rPr>
        <w:t xml:space="preserve">      ζ—局部水头损失系数。</w:t>
      </w:r>
    </w:p>
    <w:p>
      <w:pPr>
        <w:tabs>
          <w:tab w:val="left" w:pos="742"/>
        </w:tabs>
        <w:ind w:firstLine="480"/>
        <w:jc w:val="left"/>
        <w:rPr>
          <w:color w:val="auto"/>
          <w:highlight w:val="none"/>
        </w:rPr>
      </w:pPr>
      <w:r>
        <w:rPr>
          <w:color w:val="auto"/>
          <w:highlight w:val="none"/>
        </w:rPr>
        <w:t>本工程，局部水头损失取沿程水头损失的10%。</w:t>
      </w:r>
    </w:p>
    <w:p>
      <w:pPr>
        <w:pStyle w:val="5"/>
        <w:rPr>
          <w:color w:val="auto"/>
          <w:highlight w:val="none"/>
        </w:rPr>
      </w:pPr>
      <w:r>
        <w:rPr>
          <w:color w:val="auto"/>
          <w:highlight w:val="none"/>
        </w:rPr>
        <w:t>5</w:t>
      </w:r>
      <w:r>
        <w:rPr>
          <w:rFonts w:hint="eastAsia"/>
          <w:color w:val="auto"/>
          <w:highlight w:val="none"/>
        </w:rPr>
        <w:t>.2.4.3</w:t>
      </w:r>
      <w:r>
        <w:rPr>
          <w:color w:val="auto"/>
          <w:highlight w:val="none"/>
        </w:rPr>
        <w:t>管径的确定</w:t>
      </w:r>
    </w:p>
    <w:p>
      <w:pPr>
        <w:autoSpaceDE w:val="0"/>
        <w:autoSpaceDN w:val="0"/>
        <w:ind w:firstLine="480"/>
        <w:rPr>
          <w:rFonts w:ascii="宋体" w:hAnsi="宋体"/>
          <w:color w:val="auto"/>
          <w:highlight w:val="none"/>
        </w:rPr>
      </w:pPr>
      <w:r>
        <w:rPr>
          <w:rFonts w:ascii="宋体" w:hAnsi="宋体"/>
          <w:color w:val="auto"/>
          <w:highlight w:val="none"/>
        </w:rPr>
        <w:t>确定输水管径需先确定流速，为防止发生过大水锤现象，最大流速不超过2.5～3.0m/s；为避免管内淤积，最小流速应不小于0.6 m/s。</w:t>
      </w:r>
    </w:p>
    <w:p>
      <w:pPr>
        <w:ind w:firstLine="480"/>
        <w:rPr>
          <w:color w:val="auto"/>
          <w:highlight w:val="none"/>
        </w:rPr>
      </w:pPr>
      <w:r>
        <w:rPr>
          <w:rFonts w:ascii="宋体" w:hAnsi="宋体"/>
          <w:color w:val="auto"/>
          <w:highlight w:val="none"/>
        </w:rPr>
        <w:t>根据管线布置情况，采用</w:t>
      </w:r>
      <w:r>
        <w:rPr>
          <w:rFonts w:hint="eastAsia" w:ascii="宋体" w:hAnsi="宋体"/>
          <w:color w:val="auto"/>
          <w:highlight w:val="none"/>
        </w:rPr>
        <w:t>单</w:t>
      </w:r>
      <w:r>
        <w:rPr>
          <w:rFonts w:ascii="宋体" w:hAnsi="宋体"/>
          <w:color w:val="auto"/>
          <w:highlight w:val="none"/>
        </w:rPr>
        <w:t>根</w:t>
      </w:r>
      <w:r>
        <w:rPr>
          <w:rFonts w:hint="eastAsia" w:ascii="宋体" w:hAnsi="宋体"/>
          <w:color w:val="auto"/>
          <w:highlight w:val="none"/>
        </w:rPr>
        <w:t>管道输水</w:t>
      </w:r>
      <w:r>
        <w:rPr>
          <w:rFonts w:ascii="宋体" w:hAnsi="宋体"/>
          <w:color w:val="auto"/>
          <w:highlight w:val="none"/>
        </w:rPr>
        <w:t>，通过经济技术方案比较，</w:t>
      </w:r>
      <w:r>
        <w:rPr>
          <w:rFonts w:hint="eastAsia"/>
          <w:color w:val="auto"/>
          <w:highlight w:val="none"/>
        </w:rPr>
        <w:t>南四湖至龙泉庄水库DN900球墨铸铁管道</w:t>
      </w:r>
      <w:r>
        <w:rPr>
          <w:rFonts w:hint="eastAsia"/>
          <w:color w:val="auto"/>
          <w:highlight w:val="none"/>
          <w:lang w:val="en-US" w:eastAsia="zh-CN"/>
        </w:rPr>
        <w:t>23.97</w:t>
      </w:r>
      <w:r>
        <w:rPr>
          <w:rFonts w:hint="eastAsia"/>
          <w:color w:val="auto"/>
          <w:highlight w:val="none"/>
        </w:rPr>
        <w:t>km，龙泉庄水库至</w:t>
      </w:r>
      <w:r>
        <w:rPr>
          <w:rFonts w:hint="eastAsia"/>
          <w:color w:val="auto"/>
          <w:highlight w:val="none"/>
          <w:lang w:val="en-US" w:eastAsia="zh-CN"/>
        </w:rPr>
        <w:t>西棠阴扬水站</w:t>
      </w:r>
      <w:r>
        <w:rPr>
          <w:rFonts w:hint="eastAsia"/>
          <w:color w:val="auto"/>
          <w:highlight w:val="none"/>
        </w:rPr>
        <w:t>供水管线DN1000球墨铸铁管道</w:t>
      </w:r>
      <w:r>
        <w:rPr>
          <w:rFonts w:hint="eastAsia"/>
          <w:color w:val="auto"/>
          <w:highlight w:val="none"/>
          <w:lang w:val="en-US" w:eastAsia="zh-CN"/>
        </w:rPr>
        <w:t>5.64</w:t>
      </w:r>
      <w:r>
        <w:rPr>
          <w:rFonts w:hint="eastAsia"/>
          <w:color w:val="auto"/>
          <w:highlight w:val="none"/>
        </w:rPr>
        <w:t>km，</w:t>
      </w:r>
      <w:r>
        <w:rPr>
          <w:rFonts w:hint="eastAsia"/>
          <w:color w:val="auto"/>
          <w:highlight w:val="none"/>
          <w:lang w:val="en-US" w:eastAsia="zh-CN"/>
        </w:rPr>
        <w:t>龙泉庄扬水站至龙泉庄水库水厂</w:t>
      </w:r>
      <w:r>
        <w:rPr>
          <w:rFonts w:hint="eastAsia"/>
          <w:color w:val="auto"/>
          <w:highlight w:val="none"/>
        </w:rPr>
        <w:t>供水管线DN</w:t>
      </w:r>
      <w:r>
        <w:rPr>
          <w:rFonts w:hint="eastAsia"/>
          <w:color w:val="auto"/>
          <w:highlight w:val="none"/>
          <w:lang w:val="en-US" w:eastAsia="zh-CN"/>
        </w:rPr>
        <w:t>8</w:t>
      </w:r>
      <w:r>
        <w:rPr>
          <w:rFonts w:hint="eastAsia"/>
          <w:color w:val="auto"/>
          <w:highlight w:val="none"/>
        </w:rPr>
        <w:t>00球墨铸铁管道</w:t>
      </w:r>
      <w:r>
        <w:rPr>
          <w:rFonts w:hint="eastAsia"/>
          <w:color w:val="auto"/>
          <w:highlight w:val="none"/>
          <w:lang w:val="en-US" w:eastAsia="zh-CN"/>
        </w:rPr>
        <w:t>0.2</w:t>
      </w:r>
      <w:r>
        <w:rPr>
          <w:rFonts w:hint="eastAsia"/>
          <w:color w:val="auto"/>
          <w:highlight w:val="none"/>
        </w:rPr>
        <w:t>km</w:t>
      </w:r>
      <w:r>
        <w:rPr>
          <w:rFonts w:hint="eastAsia"/>
          <w:color w:val="auto"/>
          <w:highlight w:val="none"/>
          <w:lang w:eastAsia="zh-CN"/>
        </w:rPr>
        <w:t>，</w:t>
      </w:r>
      <w:r>
        <w:rPr>
          <w:rFonts w:hint="eastAsia"/>
          <w:color w:val="auto"/>
          <w:highlight w:val="none"/>
          <w:lang w:val="en-US" w:eastAsia="zh-CN"/>
        </w:rPr>
        <w:t>西棠阴扬水站至娘娘村水库</w:t>
      </w:r>
      <w:r>
        <w:rPr>
          <w:rFonts w:hint="eastAsia"/>
          <w:color w:val="auto"/>
          <w:highlight w:val="none"/>
        </w:rPr>
        <w:t>供水管线DN</w:t>
      </w:r>
      <w:r>
        <w:rPr>
          <w:rFonts w:hint="eastAsia"/>
          <w:color w:val="auto"/>
          <w:highlight w:val="none"/>
          <w:lang w:val="en-US" w:eastAsia="zh-CN"/>
        </w:rPr>
        <w:t>350</w:t>
      </w:r>
      <w:r>
        <w:rPr>
          <w:rFonts w:hint="eastAsia"/>
          <w:color w:val="auto"/>
          <w:highlight w:val="none"/>
        </w:rPr>
        <w:t>球墨铸铁管道</w:t>
      </w:r>
      <w:r>
        <w:rPr>
          <w:rFonts w:hint="eastAsia"/>
          <w:color w:val="auto"/>
          <w:highlight w:val="none"/>
          <w:lang w:val="en-US" w:eastAsia="zh-CN"/>
        </w:rPr>
        <w:t>5.95</w:t>
      </w:r>
      <w:r>
        <w:rPr>
          <w:rFonts w:hint="eastAsia"/>
          <w:color w:val="auto"/>
          <w:highlight w:val="none"/>
        </w:rPr>
        <w:t>km</w:t>
      </w:r>
      <w:r>
        <w:rPr>
          <w:rFonts w:hint="eastAsia"/>
          <w:color w:val="auto"/>
          <w:highlight w:val="none"/>
          <w:lang w:eastAsia="zh-CN"/>
        </w:rPr>
        <w:t>，</w:t>
      </w:r>
      <w:r>
        <w:rPr>
          <w:rFonts w:hint="eastAsia"/>
          <w:color w:val="auto"/>
          <w:highlight w:val="none"/>
          <w:lang w:val="en-US" w:eastAsia="zh-CN"/>
        </w:rPr>
        <w:t>西棠阴扬水站至</w:t>
      </w:r>
      <w:r>
        <w:rPr>
          <w:rFonts w:hint="eastAsia"/>
          <w:color w:val="auto"/>
          <w:highlight w:val="none"/>
        </w:rPr>
        <w:t>东郊水厂和东部水厂DN800球墨铸铁管道</w:t>
      </w:r>
      <w:r>
        <w:rPr>
          <w:rFonts w:hint="eastAsia"/>
          <w:color w:val="auto"/>
          <w:highlight w:val="none"/>
          <w:lang w:val="en-US" w:eastAsia="zh-CN"/>
        </w:rPr>
        <w:t>13.21</w:t>
      </w:r>
      <w:r>
        <w:rPr>
          <w:rFonts w:hint="eastAsia"/>
          <w:color w:val="auto"/>
          <w:highlight w:val="none"/>
        </w:rPr>
        <w:t>km，东郊水厂DN600球墨铸铁管道</w:t>
      </w:r>
      <w:r>
        <w:rPr>
          <w:rFonts w:hint="eastAsia"/>
          <w:color w:val="auto"/>
          <w:highlight w:val="none"/>
          <w:lang w:val="en-US" w:eastAsia="zh-CN"/>
        </w:rPr>
        <w:t>2.71</w:t>
      </w:r>
      <w:r>
        <w:rPr>
          <w:rFonts w:hint="eastAsia"/>
          <w:color w:val="auto"/>
          <w:highlight w:val="none"/>
        </w:rPr>
        <w:t>km，东部水厂DN600球墨铸铁管道</w:t>
      </w:r>
      <w:r>
        <w:rPr>
          <w:rFonts w:hint="eastAsia"/>
          <w:color w:val="auto"/>
          <w:highlight w:val="none"/>
          <w:lang w:val="en-US" w:eastAsia="zh-CN"/>
        </w:rPr>
        <w:t>21.06</w:t>
      </w:r>
      <w:r>
        <w:rPr>
          <w:rFonts w:hint="eastAsia"/>
          <w:color w:val="auto"/>
          <w:highlight w:val="none"/>
        </w:rPr>
        <w:t>km，沿途设置加压泵站</w:t>
      </w:r>
      <w:r>
        <w:rPr>
          <w:rFonts w:hint="eastAsia"/>
          <w:color w:val="auto"/>
          <w:highlight w:val="none"/>
          <w:lang w:val="en-US" w:eastAsia="zh-CN"/>
        </w:rPr>
        <w:t>6</w:t>
      </w:r>
      <w:r>
        <w:rPr>
          <w:rFonts w:hint="eastAsia"/>
          <w:color w:val="auto"/>
          <w:highlight w:val="none"/>
        </w:rPr>
        <w:t>座。</w:t>
      </w:r>
    </w:p>
    <w:p>
      <w:pPr>
        <w:pStyle w:val="4"/>
        <w:rPr>
          <w:color w:val="auto"/>
          <w:highlight w:val="none"/>
        </w:rPr>
      </w:pPr>
      <w:r>
        <w:rPr>
          <w:rFonts w:hint="eastAsia"/>
          <w:color w:val="auto"/>
          <w:highlight w:val="none"/>
        </w:rPr>
        <w:t>5.2.5</w:t>
      </w:r>
      <w:r>
        <w:rPr>
          <w:color w:val="auto"/>
          <w:highlight w:val="none"/>
        </w:rPr>
        <w:t>管道附属设施及设备</w:t>
      </w:r>
    </w:p>
    <w:p>
      <w:pPr>
        <w:tabs>
          <w:tab w:val="left" w:pos="742"/>
        </w:tabs>
        <w:adjustRightInd w:val="0"/>
        <w:snapToGrid w:val="0"/>
        <w:ind w:firstLine="480"/>
        <w:rPr>
          <w:color w:val="auto"/>
          <w:highlight w:val="none"/>
        </w:rPr>
      </w:pPr>
      <w:r>
        <w:rPr>
          <w:color w:val="auto"/>
          <w:highlight w:val="none"/>
        </w:rPr>
        <w:t>为便于输水管道工程的安全运行和维护管理，沿线设有多处阀门井、进排气阀井、排水井、分水井、流量计井、镇墩等附属设施。</w:t>
      </w:r>
    </w:p>
    <w:p>
      <w:pPr>
        <w:tabs>
          <w:tab w:val="left" w:pos="742"/>
        </w:tabs>
        <w:adjustRightInd w:val="0"/>
        <w:snapToGrid w:val="0"/>
        <w:ind w:firstLine="480"/>
        <w:rPr>
          <w:color w:val="auto"/>
          <w:highlight w:val="none"/>
        </w:rPr>
      </w:pPr>
      <w:r>
        <w:rPr>
          <w:color w:val="auto"/>
          <w:highlight w:val="none"/>
        </w:rPr>
        <w:t xml:space="preserve">阀门井内设有阀门（电动立式蝶阀）、双法兰传力式松套补偿接头和进排气阀；进排气阀井内设有进排气阀和便于进排气阀检修的闸阀或蝶阀；排水井分干、湿井，干井内布设手动闸阀和双法兰传力式松套补偿接头。为便于检修，在每个排气井和阀门井内均设置进人孔，进人孔设计在排气阀下。分水井内设置分支阀门、双法兰传力式松套补偿接头和进排气阀，阀门采用偏心半球阀。 </w:t>
      </w:r>
    </w:p>
    <w:p>
      <w:pPr>
        <w:tabs>
          <w:tab w:val="left" w:pos="742"/>
        </w:tabs>
        <w:adjustRightInd w:val="0"/>
        <w:snapToGrid w:val="0"/>
        <w:ind w:firstLine="480"/>
        <w:rPr>
          <w:color w:val="auto"/>
          <w:highlight w:val="none"/>
        </w:rPr>
      </w:pPr>
      <w:r>
        <w:rPr>
          <w:color w:val="auto"/>
          <w:highlight w:val="none"/>
        </w:rPr>
        <w:t>1</w:t>
      </w:r>
      <w:r>
        <w:rPr>
          <w:rFonts w:hint="eastAsia"/>
          <w:color w:val="auto"/>
          <w:highlight w:val="none"/>
        </w:rPr>
        <w:t>、</w:t>
      </w:r>
      <w:r>
        <w:rPr>
          <w:color w:val="auto"/>
          <w:highlight w:val="none"/>
        </w:rPr>
        <w:t>阀门井及设备</w:t>
      </w:r>
    </w:p>
    <w:p>
      <w:pPr>
        <w:tabs>
          <w:tab w:val="left" w:pos="742"/>
        </w:tabs>
        <w:adjustRightInd w:val="0"/>
        <w:snapToGrid w:val="0"/>
        <w:ind w:firstLine="480"/>
        <w:rPr>
          <w:color w:val="auto"/>
          <w:highlight w:val="none"/>
        </w:rPr>
      </w:pPr>
      <w:r>
        <w:rPr>
          <w:color w:val="auto"/>
          <w:highlight w:val="none"/>
        </w:rPr>
        <w:t>一般在管道的倒虹两侧、每隔3km左右处设阀门井。内置1套立式电动蝶阀。阀门采用法兰式连接形式，蝶阀采用金属硬密封结构，同时配套双法兰传力式松套补偿接头，设DN</w:t>
      </w:r>
      <w:r>
        <w:rPr>
          <w:rFonts w:hint="eastAsia"/>
          <w:color w:val="auto"/>
          <w:highlight w:val="none"/>
        </w:rPr>
        <w:t>2</w:t>
      </w:r>
      <w:r>
        <w:rPr>
          <w:color w:val="auto"/>
          <w:highlight w:val="none"/>
        </w:rPr>
        <w:t>00闸阀连通。阀门井为混凝土结构，在阀门两侧各安装1套进排气阀。为便于检修，在井内均设置进人孔，进人孔设计在排气阀下。</w:t>
      </w:r>
    </w:p>
    <w:p>
      <w:pPr>
        <w:tabs>
          <w:tab w:val="left" w:pos="742"/>
        </w:tabs>
        <w:adjustRightInd w:val="0"/>
        <w:snapToGrid w:val="0"/>
        <w:ind w:firstLine="480"/>
        <w:rPr>
          <w:color w:val="auto"/>
          <w:highlight w:val="none"/>
        </w:rPr>
      </w:pPr>
      <w:r>
        <w:rPr>
          <w:color w:val="auto"/>
          <w:highlight w:val="none"/>
        </w:rPr>
        <w:t>2</w:t>
      </w:r>
      <w:r>
        <w:rPr>
          <w:rFonts w:hint="eastAsia"/>
          <w:color w:val="auto"/>
          <w:highlight w:val="none"/>
        </w:rPr>
        <w:t>、</w:t>
      </w:r>
      <w:r>
        <w:rPr>
          <w:color w:val="auto"/>
          <w:highlight w:val="none"/>
        </w:rPr>
        <w:t>排水井（排泥井）及设备</w:t>
      </w:r>
    </w:p>
    <w:p>
      <w:pPr>
        <w:tabs>
          <w:tab w:val="left" w:pos="742"/>
        </w:tabs>
        <w:adjustRightInd w:val="0"/>
        <w:snapToGrid w:val="0"/>
        <w:ind w:firstLine="480"/>
        <w:rPr>
          <w:color w:val="auto"/>
          <w:highlight w:val="none"/>
        </w:rPr>
      </w:pPr>
      <w:r>
        <w:rPr>
          <w:color w:val="auto"/>
          <w:highlight w:val="none"/>
        </w:rPr>
        <w:t>管道的低凹处应设泄水管及排水阀井（排泥井），管道上设排水井（排泥井）的目的：一方面在冲洗管道时能把管内沉淀杂物、泥沙冲刷排净；另一方面在管道检修时，能把管内存水放空。泄水管宜接至沟底或低洼处，当不能直接排出时，应设集水井，用水泵将水排走，泄水管直径一般为输水管直径的1/3，排水阀直径等同泄水管直径。</w:t>
      </w:r>
    </w:p>
    <w:p>
      <w:pPr>
        <w:tabs>
          <w:tab w:val="left" w:pos="742"/>
        </w:tabs>
        <w:adjustRightInd w:val="0"/>
        <w:snapToGrid w:val="0"/>
        <w:ind w:firstLine="480"/>
        <w:rPr>
          <w:color w:val="auto"/>
          <w:highlight w:val="none"/>
        </w:rPr>
      </w:pPr>
      <w:r>
        <w:rPr>
          <w:color w:val="auto"/>
          <w:highlight w:val="none"/>
        </w:rPr>
        <w:t>排水井（排泥井）为混凝土结构，排水阀采用法兰式手动偏心半球阀，材质为球墨铸铁。</w:t>
      </w:r>
    </w:p>
    <w:p>
      <w:pPr>
        <w:tabs>
          <w:tab w:val="left" w:pos="742"/>
        </w:tabs>
        <w:adjustRightInd w:val="0"/>
        <w:snapToGrid w:val="0"/>
        <w:ind w:firstLine="480"/>
        <w:rPr>
          <w:color w:val="auto"/>
          <w:highlight w:val="none"/>
        </w:rPr>
      </w:pPr>
      <w:r>
        <w:rPr>
          <w:color w:val="auto"/>
          <w:highlight w:val="none"/>
        </w:rPr>
        <w:t>3</w:t>
      </w:r>
      <w:r>
        <w:rPr>
          <w:rFonts w:hint="eastAsia"/>
          <w:color w:val="auto"/>
          <w:highlight w:val="none"/>
        </w:rPr>
        <w:t>、</w:t>
      </w:r>
      <w:r>
        <w:rPr>
          <w:color w:val="auto"/>
          <w:highlight w:val="none"/>
        </w:rPr>
        <w:t>进排气井及设备</w:t>
      </w:r>
    </w:p>
    <w:p>
      <w:pPr>
        <w:tabs>
          <w:tab w:val="left" w:pos="742"/>
        </w:tabs>
        <w:adjustRightInd w:val="0"/>
        <w:snapToGrid w:val="0"/>
        <w:ind w:firstLine="480"/>
        <w:rPr>
          <w:color w:val="auto"/>
          <w:highlight w:val="none"/>
        </w:rPr>
      </w:pPr>
      <w:r>
        <w:rPr>
          <w:color w:val="auto"/>
          <w:highlight w:val="none"/>
        </w:rPr>
        <w:t>本工程为压力输水，输水管道较长，为防止水锤压力，在管道的隆起点和每隔800m左右设复合进排气阀1</w:t>
      </w:r>
      <w:r>
        <w:rPr>
          <w:rFonts w:hint="eastAsia"/>
          <w:color w:val="auto"/>
          <w:highlight w:val="none"/>
        </w:rPr>
        <w:t>个</w:t>
      </w:r>
      <w:r>
        <w:rPr>
          <w:color w:val="auto"/>
          <w:highlight w:val="none"/>
        </w:rPr>
        <w:t>，材质为球墨铸铁或铸钢。用以排除管道内空气和在管道检修时放气或补气以保持排水通畅，并起着消除水锤保护管道安全的作用。为便于检修，在每个排气井内均设置进人孔，进人孔设计在排气阀下。</w:t>
      </w:r>
    </w:p>
    <w:p>
      <w:pPr>
        <w:tabs>
          <w:tab w:val="left" w:pos="742"/>
        </w:tabs>
        <w:adjustRightInd w:val="0"/>
        <w:snapToGrid w:val="0"/>
        <w:ind w:firstLine="480"/>
        <w:rPr>
          <w:color w:val="auto"/>
          <w:highlight w:val="none"/>
        </w:rPr>
      </w:pPr>
      <w:r>
        <w:rPr>
          <w:color w:val="auto"/>
          <w:highlight w:val="none"/>
        </w:rPr>
        <w:t>4</w:t>
      </w:r>
      <w:r>
        <w:rPr>
          <w:rFonts w:hint="eastAsia"/>
          <w:color w:val="auto"/>
          <w:highlight w:val="none"/>
        </w:rPr>
        <w:t>、</w:t>
      </w:r>
      <w:r>
        <w:rPr>
          <w:color w:val="auto"/>
          <w:highlight w:val="none"/>
        </w:rPr>
        <w:t>分水井及设备</w:t>
      </w:r>
    </w:p>
    <w:p>
      <w:pPr>
        <w:tabs>
          <w:tab w:val="left" w:pos="742"/>
        </w:tabs>
        <w:adjustRightInd w:val="0"/>
        <w:snapToGrid w:val="0"/>
        <w:ind w:firstLine="480"/>
        <w:rPr>
          <w:color w:val="auto"/>
          <w:highlight w:val="none"/>
        </w:rPr>
      </w:pPr>
      <w:r>
        <w:rPr>
          <w:color w:val="auto"/>
          <w:highlight w:val="none"/>
        </w:rPr>
        <w:t>根据沿线情况，</w:t>
      </w:r>
      <w:r>
        <w:rPr>
          <w:rFonts w:hint="eastAsia"/>
          <w:color w:val="auto"/>
          <w:highlight w:val="none"/>
        </w:rPr>
        <w:t>在周营沙河分水口</w:t>
      </w:r>
      <w:r>
        <w:rPr>
          <w:rFonts w:hint="eastAsia"/>
          <w:color w:val="auto"/>
          <w:highlight w:val="none"/>
          <w:lang w:eastAsia="zh-CN"/>
        </w:rPr>
        <w:t>、</w:t>
      </w:r>
      <w:r>
        <w:rPr>
          <w:rFonts w:hint="eastAsia"/>
          <w:color w:val="auto"/>
          <w:highlight w:val="none"/>
        </w:rPr>
        <w:t>阴平沙河分水口</w:t>
      </w:r>
      <w:r>
        <w:rPr>
          <w:rFonts w:hint="eastAsia"/>
          <w:color w:val="auto"/>
          <w:highlight w:val="none"/>
          <w:lang w:eastAsia="zh-CN"/>
        </w:rPr>
        <w:t>、</w:t>
      </w:r>
      <w:r>
        <w:rPr>
          <w:rFonts w:hint="eastAsia"/>
          <w:color w:val="auto"/>
          <w:highlight w:val="none"/>
        </w:rPr>
        <w:t>跃进河分水口</w:t>
      </w:r>
      <w:r>
        <w:rPr>
          <w:rFonts w:hint="eastAsia"/>
          <w:color w:val="auto"/>
          <w:highlight w:val="none"/>
          <w:lang w:eastAsia="zh-CN"/>
        </w:rPr>
        <w:t>、</w:t>
      </w:r>
      <w:r>
        <w:rPr>
          <w:rFonts w:hint="eastAsia"/>
          <w:color w:val="auto"/>
          <w:highlight w:val="none"/>
        </w:rPr>
        <w:t>新沟河分水口设置</w:t>
      </w:r>
      <w:r>
        <w:rPr>
          <w:rFonts w:hint="eastAsia"/>
          <w:color w:val="auto"/>
          <w:highlight w:val="none"/>
          <w:lang w:val="en-US" w:eastAsia="zh-CN"/>
        </w:rPr>
        <w:t>4</w:t>
      </w:r>
      <w:r>
        <w:rPr>
          <w:color w:val="auto"/>
          <w:highlight w:val="none"/>
        </w:rPr>
        <w:t>个分水井，分水井内设置分支阀门、双法兰传力式松套补偿接头和进排气阀，阀门采用偏心半球阀。</w:t>
      </w:r>
    </w:p>
    <w:p>
      <w:pPr>
        <w:tabs>
          <w:tab w:val="left" w:pos="742"/>
        </w:tabs>
        <w:adjustRightInd w:val="0"/>
        <w:snapToGrid w:val="0"/>
        <w:ind w:firstLine="480"/>
        <w:rPr>
          <w:color w:val="auto"/>
          <w:highlight w:val="none"/>
        </w:rPr>
      </w:pPr>
      <w:r>
        <w:rPr>
          <w:rFonts w:hint="eastAsia"/>
          <w:color w:val="auto"/>
          <w:highlight w:val="none"/>
        </w:rPr>
        <w:t>5、</w:t>
      </w:r>
      <w:r>
        <w:rPr>
          <w:color w:val="auto"/>
          <w:highlight w:val="none"/>
        </w:rPr>
        <w:t>镇墩设计</w:t>
      </w:r>
    </w:p>
    <w:p>
      <w:pPr>
        <w:tabs>
          <w:tab w:val="left" w:pos="742"/>
        </w:tabs>
        <w:adjustRightInd w:val="0"/>
        <w:snapToGrid w:val="0"/>
        <w:ind w:firstLine="480"/>
        <w:rPr>
          <w:color w:val="auto"/>
          <w:highlight w:val="none"/>
        </w:rPr>
      </w:pPr>
      <w:r>
        <w:rPr>
          <w:color w:val="auto"/>
          <w:highlight w:val="none"/>
        </w:rPr>
        <w:t>压力输水管道在水平和垂直转弯时会产生水平和垂直的推力，为了输水管道的安全稳定，在管道转弯处，根据转角的大小和转角方向的不同设置不同镇墩，所有镇墩采用C25的钢筋混凝土结构。</w:t>
      </w:r>
    </w:p>
    <w:p>
      <w:pPr>
        <w:pStyle w:val="4"/>
        <w:rPr>
          <w:color w:val="auto"/>
          <w:highlight w:val="none"/>
        </w:rPr>
      </w:pPr>
      <w:r>
        <w:rPr>
          <w:rFonts w:hint="eastAsia"/>
          <w:color w:val="auto"/>
          <w:highlight w:val="none"/>
        </w:rPr>
        <w:t>5.2.6</w:t>
      </w:r>
      <w:r>
        <w:rPr>
          <w:rFonts w:hint="eastAsia"/>
          <w:color w:val="auto"/>
          <w:highlight w:val="none"/>
          <w:lang w:val="en-US" w:eastAsia="zh-CN"/>
        </w:rPr>
        <w:t>八里沟扬水站</w:t>
      </w:r>
    </w:p>
    <w:p>
      <w:pPr>
        <w:ind w:firstLine="480"/>
        <w:rPr>
          <w:rFonts w:ascii="宋体" w:hAnsi="宋体"/>
          <w:color w:val="auto"/>
          <w:highlight w:val="none"/>
        </w:rPr>
      </w:pPr>
      <w:r>
        <w:rPr>
          <w:rFonts w:hint="eastAsia"/>
          <w:color w:val="auto"/>
          <w:highlight w:val="none"/>
          <w:lang w:val="en-US" w:eastAsia="zh-CN"/>
        </w:rPr>
        <w:t>八里沟扬水站为提水泵站，设置</w:t>
      </w:r>
      <w:r>
        <w:rPr>
          <w:rFonts w:hint="eastAsia"/>
          <w:color w:val="auto"/>
          <w:highlight w:val="none"/>
        </w:rPr>
        <w:t>在胜利渠首闸上游侧，</w:t>
      </w:r>
      <w:r>
        <w:rPr>
          <w:rFonts w:ascii="宋体" w:hAnsi="宋体"/>
          <w:color w:val="auto"/>
          <w:highlight w:val="none"/>
        </w:rPr>
        <w:t>新建</w:t>
      </w:r>
      <w:r>
        <w:rPr>
          <w:rFonts w:hint="eastAsia" w:ascii="宋体" w:hAnsi="宋体"/>
          <w:color w:val="auto"/>
          <w:highlight w:val="none"/>
        </w:rPr>
        <w:t>提水</w:t>
      </w:r>
      <w:r>
        <w:rPr>
          <w:rFonts w:ascii="宋体" w:hAnsi="宋体"/>
          <w:color w:val="auto"/>
          <w:highlight w:val="none"/>
        </w:rPr>
        <w:t>泵站流量</w:t>
      </w:r>
      <w:r>
        <w:rPr>
          <w:rFonts w:hint="eastAsia" w:ascii="宋体" w:hAnsi="宋体"/>
          <w:color w:val="auto"/>
          <w:highlight w:val="none"/>
        </w:rPr>
        <w:t>0.8m³/s</w:t>
      </w:r>
      <w:r>
        <w:rPr>
          <w:rFonts w:ascii="宋体" w:hAnsi="宋体"/>
          <w:color w:val="auto"/>
          <w:highlight w:val="none"/>
        </w:rPr>
        <w:t>，选用</w:t>
      </w:r>
      <w:r>
        <w:rPr>
          <w:rFonts w:hint="eastAsia" w:ascii="宋体" w:hAnsi="宋体"/>
          <w:color w:val="auto"/>
          <w:highlight w:val="none"/>
        </w:rPr>
        <w:t>5台</w:t>
      </w:r>
      <w:r>
        <w:rPr>
          <w:rFonts w:ascii="宋体" w:hAnsi="宋体"/>
          <w:color w:val="auto"/>
          <w:highlight w:val="none"/>
        </w:rPr>
        <w:t>离心泵，</w:t>
      </w:r>
      <w:r>
        <w:rPr>
          <w:rFonts w:hint="eastAsia" w:ascii="宋体" w:hAnsi="宋体"/>
          <w:color w:val="auto"/>
          <w:highlight w:val="none"/>
        </w:rPr>
        <w:t>4用1</w:t>
      </w:r>
      <w:r>
        <w:rPr>
          <w:rFonts w:ascii="宋体" w:hAnsi="宋体"/>
          <w:color w:val="auto"/>
          <w:highlight w:val="none"/>
        </w:rPr>
        <w:t>备。沿水流方向依次包括进水池、泵室主副厂房等泵站主体工程和机组设备、输配电系统等。</w:t>
      </w:r>
    </w:p>
    <w:p>
      <w:pPr>
        <w:pStyle w:val="5"/>
        <w:rPr>
          <w:color w:val="auto"/>
          <w:highlight w:val="none"/>
        </w:rPr>
      </w:pPr>
      <w:r>
        <w:rPr>
          <w:rFonts w:hint="eastAsia"/>
          <w:color w:val="auto"/>
          <w:highlight w:val="none"/>
        </w:rPr>
        <w:t>5.2.6.1提水泵站结构设计</w:t>
      </w:r>
    </w:p>
    <w:p>
      <w:pPr>
        <w:ind w:firstLine="480"/>
        <w:rPr>
          <w:rFonts w:ascii="宋体" w:hAnsi="宋体"/>
          <w:color w:val="auto"/>
          <w:highlight w:val="none"/>
        </w:rPr>
      </w:pPr>
      <w:r>
        <w:rPr>
          <w:rFonts w:ascii="宋体" w:hAnsi="宋体"/>
          <w:color w:val="auto"/>
          <w:highlight w:val="none"/>
        </w:rPr>
        <w:t>进水池采用C30钢筋砼结构，平面布置为矩形，</w:t>
      </w:r>
      <w:r>
        <w:rPr>
          <w:rFonts w:hint="eastAsia" w:ascii="宋体" w:hAnsi="宋体"/>
          <w:color w:val="auto"/>
          <w:highlight w:val="none"/>
        </w:rPr>
        <w:t>底高程为30.05m，</w:t>
      </w:r>
      <w:r>
        <w:rPr>
          <w:rFonts w:ascii="宋体" w:hAnsi="宋体"/>
          <w:color w:val="auto"/>
          <w:highlight w:val="none"/>
        </w:rPr>
        <w:t>顺水流向长度15m，宽度</w:t>
      </w:r>
      <w:r>
        <w:rPr>
          <w:rFonts w:hint="eastAsia" w:ascii="宋体" w:hAnsi="宋体"/>
          <w:color w:val="auto"/>
          <w:highlight w:val="none"/>
        </w:rPr>
        <w:t>21.4</w:t>
      </w:r>
      <w:r>
        <w:rPr>
          <w:rFonts w:ascii="宋体" w:hAnsi="宋体"/>
          <w:color w:val="auto"/>
          <w:highlight w:val="none"/>
        </w:rPr>
        <w:t>m。泵房采用干室式，</w:t>
      </w:r>
      <w:r>
        <w:rPr>
          <w:rFonts w:hint="eastAsia" w:ascii="宋体" w:hAnsi="宋体"/>
          <w:color w:val="auto"/>
          <w:highlight w:val="none"/>
        </w:rPr>
        <w:t>地面高程36.0m，</w:t>
      </w:r>
      <w:r>
        <w:rPr>
          <w:rFonts w:ascii="宋体" w:hAnsi="宋体"/>
          <w:color w:val="auto"/>
          <w:highlight w:val="none"/>
        </w:rPr>
        <w:t>地面以下为C30钢筋砼箱型结构，地面以上为钢筋砼框架厂房结构。主厂房顺水流向长度</w:t>
      </w:r>
      <w:r>
        <w:rPr>
          <w:rFonts w:hint="eastAsia" w:ascii="宋体" w:hAnsi="宋体"/>
          <w:color w:val="auto"/>
          <w:highlight w:val="none"/>
        </w:rPr>
        <w:t>8</w:t>
      </w:r>
      <w:r>
        <w:rPr>
          <w:rFonts w:ascii="宋体" w:hAnsi="宋体"/>
          <w:color w:val="auto"/>
          <w:highlight w:val="none"/>
        </w:rPr>
        <w:t>.7m，垂直水流向宽度</w:t>
      </w:r>
      <w:r>
        <w:rPr>
          <w:rFonts w:hint="eastAsia" w:ascii="宋体" w:hAnsi="宋体"/>
          <w:color w:val="auto"/>
          <w:highlight w:val="none"/>
        </w:rPr>
        <w:t>30.8</w:t>
      </w:r>
      <w:r>
        <w:rPr>
          <w:rFonts w:ascii="宋体" w:hAnsi="宋体"/>
          <w:color w:val="auto"/>
          <w:highlight w:val="none"/>
        </w:rPr>
        <w:t>m。</w:t>
      </w:r>
      <w:r>
        <w:rPr>
          <w:rFonts w:ascii="宋体" w:hAnsi="宋体"/>
          <w:color w:val="auto"/>
          <w:kern w:val="0"/>
          <w:highlight w:val="none"/>
        </w:rPr>
        <w:t>选</w:t>
      </w:r>
      <w:r>
        <w:rPr>
          <w:rFonts w:hint="eastAsia" w:ascii="宋体" w:hAnsi="宋体"/>
          <w:color w:val="auto"/>
          <w:kern w:val="0"/>
          <w:highlight w:val="none"/>
        </w:rPr>
        <w:t>用离</w:t>
      </w:r>
      <w:r>
        <w:rPr>
          <w:rFonts w:hint="eastAsia" w:ascii="宋体" w:hAnsi="宋体"/>
          <w:color w:val="auto"/>
          <w:highlight w:val="none"/>
        </w:rPr>
        <w:t>心泵</w:t>
      </w:r>
      <w:r>
        <w:rPr>
          <w:rFonts w:ascii="宋体" w:hAnsi="宋体"/>
          <w:color w:val="auto"/>
          <w:kern w:val="0"/>
          <w:highlight w:val="none"/>
        </w:rPr>
        <w:t>，共</w:t>
      </w:r>
      <w:r>
        <w:rPr>
          <w:rFonts w:hint="eastAsia" w:ascii="宋体" w:hAnsi="宋体"/>
          <w:color w:val="auto"/>
          <w:kern w:val="0"/>
          <w:highlight w:val="none"/>
        </w:rPr>
        <w:t>5台</w:t>
      </w:r>
      <w:r>
        <w:rPr>
          <w:rFonts w:ascii="宋体" w:hAnsi="宋体"/>
          <w:color w:val="auto"/>
          <w:kern w:val="0"/>
          <w:highlight w:val="none"/>
        </w:rPr>
        <w:t>，其中备用</w:t>
      </w:r>
      <w:r>
        <w:rPr>
          <w:rFonts w:hint="eastAsia" w:ascii="宋体" w:hAnsi="宋体"/>
          <w:color w:val="auto"/>
          <w:kern w:val="0"/>
          <w:highlight w:val="none"/>
        </w:rPr>
        <w:t>1</w:t>
      </w:r>
      <w:r>
        <w:rPr>
          <w:rFonts w:ascii="宋体" w:hAnsi="宋体"/>
          <w:color w:val="auto"/>
          <w:kern w:val="0"/>
          <w:highlight w:val="none"/>
        </w:rPr>
        <w:t>台，设计扬程</w:t>
      </w:r>
      <w:r>
        <w:rPr>
          <w:rFonts w:hint="eastAsia" w:ascii="宋体" w:hAnsi="宋体"/>
          <w:color w:val="auto"/>
          <w:kern w:val="0"/>
          <w:highlight w:val="none"/>
        </w:rPr>
        <w:t>80</w:t>
      </w:r>
      <w:r>
        <w:rPr>
          <w:rFonts w:ascii="宋体" w:hAnsi="宋体"/>
          <w:color w:val="auto"/>
          <w:kern w:val="0"/>
          <w:highlight w:val="none"/>
        </w:rPr>
        <w:t>m，单机流量</w:t>
      </w:r>
      <w:r>
        <w:rPr>
          <w:rFonts w:hint="eastAsia" w:ascii="宋体" w:hAnsi="宋体"/>
          <w:color w:val="auto"/>
          <w:kern w:val="0"/>
          <w:highlight w:val="none"/>
        </w:rPr>
        <w:t>0.20</w:t>
      </w:r>
      <w:r>
        <w:rPr>
          <w:rFonts w:ascii="宋体" w:hAnsi="宋体"/>
          <w:color w:val="auto"/>
          <w:kern w:val="0"/>
          <w:highlight w:val="none"/>
        </w:rPr>
        <w:t>m</w:t>
      </w:r>
      <w:r>
        <w:rPr>
          <w:rFonts w:ascii="宋体" w:hAnsi="宋体"/>
          <w:color w:val="auto"/>
          <w:kern w:val="0"/>
          <w:highlight w:val="none"/>
          <w:vertAlign w:val="superscript"/>
        </w:rPr>
        <w:t>3</w:t>
      </w:r>
      <w:r>
        <w:rPr>
          <w:rFonts w:ascii="宋体" w:hAnsi="宋体"/>
          <w:color w:val="auto"/>
          <w:kern w:val="0"/>
          <w:highlight w:val="none"/>
        </w:rPr>
        <w:t>/s，水泵配套功率</w:t>
      </w:r>
      <w:r>
        <w:rPr>
          <w:rFonts w:hint="eastAsia" w:ascii="宋体" w:hAnsi="宋体"/>
          <w:color w:val="auto"/>
          <w:kern w:val="0"/>
          <w:highlight w:val="none"/>
        </w:rPr>
        <w:t>250</w:t>
      </w:r>
      <w:r>
        <w:rPr>
          <w:rFonts w:ascii="宋体" w:hAnsi="宋体"/>
          <w:color w:val="auto"/>
          <w:kern w:val="0"/>
          <w:highlight w:val="none"/>
        </w:rPr>
        <w:t>kW，总装机容量</w:t>
      </w:r>
      <w:r>
        <w:rPr>
          <w:rFonts w:hint="eastAsia" w:ascii="宋体" w:hAnsi="宋体"/>
          <w:color w:val="auto"/>
          <w:kern w:val="0"/>
          <w:highlight w:val="none"/>
        </w:rPr>
        <w:t>1000</w:t>
      </w:r>
      <w:r>
        <w:rPr>
          <w:rFonts w:ascii="宋体" w:hAnsi="宋体"/>
          <w:color w:val="auto"/>
          <w:kern w:val="0"/>
          <w:highlight w:val="none"/>
        </w:rPr>
        <w:t>kW。机组呈一字型排列，机组间距4.</w:t>
      </w:r>
      <w:r>
        <w:rPr>
          <w:rFonts w:hint="eastAsia" w:ascii="宋体" w:hAnsi="宋体"/>
          <w:color w:val="auto"/>
          <w:kern w:val="0"/>
          <w:highlight w:val="none"/>
        </w:rPr>
        <w:t>2</w:t>
      </w:r>
      <w:r>
        <w:rPr>
          <w:rFonts w:ascii="宋体" w:hAnsi="宋体"/>
          <w:color w:val="auto"/>
          <w:kern w:val="0"/>
          <w:highlight w:val="none"/>
        </w:rPr>
        <w:t>0m。</w:t>
      </w:r>
      <w:r>
        <w:rPr>
          <w:rFonts w:ascii="宋体" w:hAnsi="宋体"/>
          <w:color w:val="auto"/>
          <w:highlight w:val="none"/>
        </w:rPr>
        <w:t>泵房建筑面积</w:t>
      </w:r>
      <w:r>
        <w:rPr>
          <w:rFonts w:hint="eastAsia" w:ascii="宋体" w:hAnsi="宋体"/>
          <w:color w:val="auto"/>
          <w:highlight w:val="none"/>
        </w:rPr>
        <w:t>268</w:t>
      </w:r>
      <w:r>
        <w:rPr>
          <w:rFonts w:ascii="宋体" w:hAnsi="宋体"/>
          <w:color w:val="auto"/>
          <w:highlight w:val="none"/>
        </w:rPr>
        <w:t>m</w:t>
      </w:r>
      <w:r>
        <w:rPr>
          <w:rFonts w:ascii="宋体" w:hAnsi="宋体"/>
          <w:color w:val="auto"/>
          <w:highlight w:val="none"/>
          <w:vertAlign w:val="superscript"/>
        </w:rPr>
        <w:t>2</w:t>
      </w:r>
      <w:r>
        <w:rPr>
          <w:rFonts w:ascii="宋体" w:hAnsi="宋体"/>
          <w:color w:val="auto"/>
          <w:highlight w:val="none"/>
        </w:rPr>
        <w:t>。副厂房布置在泵房右侧，包括35KV高压配电室、10KV高压配电室、0.4KV低压配电室、中控室、保护室、通信室等。副厂房建筑面积</w:t>
      </w:r>
      <w:r>
        <w:rPr>
          <w:rFonts w:hint="eastAsia" w:ascii="宋体" w:hAnsi="宋体"/>
          <w:color w:val="auto"/>
          <w:highlight w:val="none"/>
        </w:rPr>
        <w:t>242</w:t>
      </w:r>
      <w:r>
        <w:rPr>
          <w:rFonts w:ascii="宋体" w:hAnsi="宋体"/>
          <w:color w:val="auto"/>
          <w:highlight w:val="none"/>
        </w:rPr>
        <w:t>m</w:t>
      </w:r>
      <w:r>
        <w:rPr>
          <w:rFonts w:ascii="宋体" w:hAnsi="宋体"/>
          <w:color w:val="auto"/>
          <w:highlight w:val="none"/>
          <w:vertAlign w:val="superscript"/>
        </w:rPr>
        <w:t>2</w:t>
      </w:r>
      <w:r>
        <w:rPr>
          <w:rFonts w:ascii="宋体" w:hAnsi="宋体"/>
          <w:color w:val="auto"/>
          <w:highlight w:val="none"/>
        </w:rPr>
        <w:t>。</w:t>
      </w:r>
    </w:p>
    <w:p>
      <w:pPr>
        <w:ind w:firstLine="482"/>
        <w:rPr>
          <w:b/>
          <w:color w:val="auto"/>
          <w:highlight w:val="none"/>
        </w:rPr>
      </w:pPr>
      <w:r>
        <w:rPr>
          <w:b/>
          <w:color w:val="auto"/>
          <w:highlight w:val="none"/>
        </w:rPr>
        <w:t>稳定</w:t>
      </w:r>
      <w:r>
        <w:rPr>
          <w:rFonts w:hint="eastAsia"/>
          <w:b/>
          <w:color w:val="auto"/>
          <w:highlight w:val="none"/>
        </w:rPr>
        <w:t>分析:</w:t>
      </w:r>
    </w:p>
    <w:p>
      <w:pPr>
        <w:adjustRightInd w:val="0"/>
        <w:snapToGrid w:val="0"/>
        <w:ind w:firstLine="480"/>
        <w:rPr>
          <w:rFonts w:ascii="宋体"/>
          <w:color w:val="auto"/>
          <w:kern w:val="0"/>
          <w:highlight w:val="none"/>
        </w:rPr>
      </w:pPr>
      <w:r>
        <w:rPr>
          <w:rFonts w:hint="eastAsia" w:ascii="宋体"/>
          <w:color w:val="auto"/>
          <w:kern w:val="0"/>
          <w:highlight w:val="none"/>
        </w:rPr>
        <w:t>(1)</w:t>
      </w:r>
      <w:r>
        <w:rPr>
          <w:rFonts w:ascii="宋体"/>
          <w:color w:val="auto"/>
          <w:kern w:val="0"/>
          <w:highlight w:val="none"/>
        </w:rPr>
        <w:t>计算</w:t>
      </w:r>
      <w:r>
        <w:rPr>
          <w:rFonts w:hint="eastAsia" w:ascii="宋体"/>
          <w:color w:val="auto"/>
          <w:kern w:val="0"/>
          <w:highlight w:val="none"/>
        </w:rPr>
        <w:t>工况及荷载</w:t>
      </w:r>
    </w:p>
    <w:p>
      <w:pPr>
        <w:adjustRightInd w:val="0"/>
        <w:snapToGrid w:val="0"/>
        <w:ind w:firstLine="480"/>
        <w:rPr>
          <w:rFonts w:ascii="宋体"/>
          <w:color w:val="auto"/>
          <w:kern w:val="0"/>
          <w:highlight w:val="none"/>
        </w:rPr>
      </w:pPr>
      <w:r>
        <w:rPr>
          <w:rFonts w:ascii="宋体"/>
          <w:color w:val="auto"/>
          <w:kern w:val="0"/>
          <w:highlight w:val="none"/>
        </w:rPr>
        <w:t>根据泵站主厂房的实际运用条件，并考虑可能同时作用的各种荷载组合，确定计算情况如下：</w:t>
      </w:r>
    </w:p>
    <w:p>
      <w:pPr>
        <w:adjustRightInd w:val="0"/>
        <w:snapToGrid w:val="0"/>
        <w:ind w:firstLine="480"/>
        <w:rPr>
          <w:rFonts w:ascii="宋体"/>
          <w:color w:val="auto"/>
          <w:kern w:val="0"/>
          <w:highlight w:val="none"/>
        </w:rPr>
      </w:pPr>
      <w:r>
        <w:rPr>
          <w:rFonts w:hint="eastAsia" w:ascii="宋体"/>
          <w:color w:val="auto"/>
          <w:kern w:val="0"/>
          <w:highlight w:val="none"/>
        </w:rPr>
        <w:t>1）</w:t>
      </w:r>
      <w:r>
        <w:rPr>
          <w:rFonts w:ascii="宋体"/>
          <w:color w:val="auto"/>
          <w:kern w:val="0"/>
          <w:highlight w:val="none"/>
        </w:rPr>
        <w:t>完建情况：工程已建成，泵房外填土刚回填完毕，地下水位</w:t>
      </w:r>
      <w:r>
        <w:rPr>
          <w:rFonts w:hint="eastAsia" w:ascii="宋体"/>
          <w:color w:val="auto"/>
          <w:kern w:val="0"/>
          <w:highlight w:val="none"/>
        </w:rPr>
        <w:t>与底板顶平齐</w:t>
      </w:r>
      <w:r>
        <w:rPr>
          <w:rFonts w:ascii="宋体"/>
          <w:color w:val="auto"/>
          <w:kern w:val="0"/>
          <w:highlight w:val="none"/>
        </w:rPr>
        <w:t>。</w:t>
      </w:r>
    </w:p>
    <w:p>
      <w:pPr>
        <w:adjustRightInd w:val="0"/>
        <w:snapToGrid w:val="0"/>
        <w:ind w:firstLine="480"/>
        <w:rPr>
          <w:rFonts w:ascii="宋体"/>
          <w:color w:val="auto"/>
          <w:kern w:val="0"/>
          <w:highlight w:val="none"/>
        </w:rPr>
      </w:pPr>
      <w:r>
        <w:rPr>
          <w:rFonts w:hint="eastAsia" w:ascii="宋体"/>
          <w:color w:val="auto"/>
          <w:kern w:val="0"/>
          <w:highlight w:val="none"/>
        </w:rPr>
        <w:t>荷载：结构自重+上部房子荷载+水泵及设备荷载+土重+土压力荷载等。</w:t>
      </w:r>
    </w:p>
    <w:p>
      <w:pPr>
        <w:adjustRightInd w:val="0"/>
        <w:snapToGrid w:val="0"/>
        <w:ind w:firstLine="480"/>
        <w:rPr>
          <w:rFonts w:ascii="宋体"/>
          <w:color w:val="auto"/>
          <w:kern w:val="0"/>
          <w:highlight w:val="none"/>
        </w:rPr>
      </w:pPr>
      <w:r>
        <w:rPr>
          <w:rFonts w:hint="eastAsia" w:ascii="宋体"/>
          <w:color w:val="auto"/>
          <w:kern w:val="0"/>
          <w:highlight w:val="none"/>
        </w:rPr>
        <w:t>2）</w:t>
      </w:r>
      <w:r>
        <w:rPr>
          <w:rFonts w:ascii="宋体"/>
          <w:color w:val="auto"/>
          <w:kern w:val="0"/>
          <w:highlight w:val="none"/>
        </w:rPr>
        <w:t>正常运用情况：地下水位</w:t>
      </w:r>
      <w:r>
        <w:rPr>
          <w:rFonts w:hint="eastAsia" w:ascii="宋体"/>
          <w:color w:val="auto"/>
          <w:kern w:val="0"/>
          <w:highlight w:val="none"/>
        </w:rPr>
        <w:t>为地面以下1.5m</w:t>
      </w:r>
      <w:r>
        <w:rPr>
          <w:rFonts w:ascii="宋体"/>
          <w:color w:val="auto"/>
          <w:kern w:val="0"/>
          <w:highlight w:val="none"/>
        </w:rPr>
        <w:t>。</w:t>
      </w:r>
    </w:p>
    <w:p>
      <w:pPr>
        <w:adjustRightInd w:val="0"/>
        <w:snapToGrid w:val="0"/>
        <w:ind w:firstLine="480"/>
        <w:rPr>
          <w:rFonts w:ascii="宋体"/>
          <w:color w:val="auto"/>
          <w:kern w:val="0"/>
          <w:highlight w:val="none"/>
        </w:rPr>
      </w:pPr>
      <w:r>
        <w:rPr>
          <w:rFonts w:hint="eastAsia" w:ascii="宋体"/>
          <w:color w:val="auto"/>
          <w:kern w:val="0"/>
          <w:highlight w:val="none"/>
        </w:rPr>
        <w:t>荷载：结构自重+上部房子荷载+水泵及设备荷载+土重+土压力荷载+浮托力+水压力等。</w:t>
      </w:r>
    </w:p>
    <w:p>
      <w:pPr>
        <w:adjustRightInd w:val="0"/>
        <w:snapToGrid w:val="0"/>
        <w:ind w:firstLine="480"/>
        <w:rPr>
          <w:rFonts w:ascii="宋体"/>
          <w:color w:val="auto"/>
          <w:kern w:val="0"/>
          <w:highlight w:val="none"/>
        </w:rPr>
      </w:pPr>
      <w:r>
        <w:rPr>
          <w:rFonts w:hint="eastAsia" w:ascii="宋体"/>
          <w:color w:val="auto"/>
          <w:kern w:val="0"/>
          <w:highlight w:val="none"/>
        </w:rPr>
        <w:t>3）</w:t>
      </w:r>
      <w:r>
        <w:rPr>
          <w:rFonts w:ascii="宋体"/>
          <w:color w:val="auto"/>
          <w:kern w:val="0"/>
          <w:highlight w:val="none"/>
        </w:rPr>
        <w:t>地震情况：正常运用情况＋</w:t>
      </w:r>
      <w:r>
        <w:rPr>
          <w:rFonts w:hint="eastAsia" w:ascii="宋体"/>
          <w:color w:val="auto"/>
          <w:kern w:val="0"/>
          <w:highlight w:val="none"/>
        </w:rPr>
        <w:t>7</w:t>
      </w:r>
      <w:r>
        <w:rPr>
          <w:rFonts w:ascii="宋体"/>
          <w:color w:val="auto"/>
          <w:kern w:val="0"/>
          <w:highlight w:val="none"/>
        </w:rPr>
        <w:t>度地震。</w:t>
      </w:r>
    </w:p>
    <w:p>
      <w:pPr>
        <w:adjustRightInd w:val="0"/>
        <w:snapToGrid w:val="0"/>
        <w:ind w:firstLine="480"/>
        <w:rPr>
          <w:rFonts w:ascii="宋体"/>
          <w:color w:val="auto"/>
          <w:kern w:val="0"/>
          <w:highlight w:val="none"/>
        </w:rPr>
      </w:pPr>
      <w:r>
        <w:rPr>
          <w:rFonts w:hint="eastAsia" w:ascii="宋体"/>
          <w:color w:val="auto"/>
          <w:kern w:val="0"/>
          <w:highlight w:val="none"/>
        </w:rPr>
        <w:t>荷载：结构自重+上部房子荷载+水泵及设备荷载+土重+动土压力+浮托力+水压力+动水压力+地震惯性力等。</w:t>
      </w:r>
    </w:p>
    <w:p>
      <w:pPr>
        <w:adjustRightInd w:val="0"/>
        <w:snapToGrid w:val="0"/>
        <w:ind w:firstLine="480"/>
        <w:rPr>
          <w:rFonts w:ascii="宋体"/>
          <w:color w:val="auto"/>
          <w:kern w:val="0"/>
          <w:highlight w:val="none"/>
        </w:rPr>
      </w:pPr>
      <w:r>
        <w:rPr>
          <w:rFonts w:hint="eastAsia" w:ascii="宋体"/>
          <w:color w:val="auto"/>
          <w:kern w:val="0"/>
          <w:highlight w:val="none"/>
        </w:rPr>
        <w:t>(2)</w:t>
      </w:r>
      <w:r>
        <w:rPr>
          <w:rFonts w:ascii="宋体"/>
          <w:color w:val="auto"/>
          <w:kern w:val="0"/>
          <w:highlight w:val="none"/>
        </w:rPr>
        <w:t>计算公式</w:t>
      </w:r>
    </w:p>
    <w:p>
      <w:pPr>
        <w:adjustRightInd w:val="0"/>
        <w:snapToGrid w:val="0"/>
        <w:ind w:firstLine="480"/>
        <w:rPr>
          <w:rFonts w:ascii="宋体" w:hAnsi="宋体"/>
          <w:color w:val="auto"/>
          <w:kern w:val="0"/>
          <w:highlight w:val="none"/>
        </w:rPr>
      </w:pPr>
      <w:r>
        <w:rPr>
          <w:rFonts w:hint="eastAsia" w:ascii="宋体" w:hAnsi="宋体"/>
          <w:bCs/>
          <w:color w:val="auto"/>
          <w:highlight w:val="none"/>
        </w:rPr>
        <w:t>1）</w:t>
      </w:r>
      <w:r>
        <w:rPr>
          <w:rFonts w:hint="eastAsia" w:ascii="宋体" w:hAnsi="宋体"/>
          <w:color w:val="auto"/>
          <w:highlight w:val="none"/>
        </w:rPr>
        <w:t>主厂房基底应力计算公式：</w:t>
      </w:r>
    </w:p>
    <w:p>
      <w:pPr>
        <w:tabs>
          <w:tab w:val="left" w:pos="0"/>
        </w:tabs>
        <w:autoSpaceDE w:val="0"/>
        <w:autoSpaceDN w:val="0"/>
        <w:adjustRightInd w:val="0"/>
        <w:snapToGrid w:val="0"/>
        <w:ind w:right="240" w:firstLine="876" w:firstLineChars="365"/>
        <w:jc w:val="center"/>
        <w:rPr>
          <w:rFonts w:ascii="宋体" w:hAnsi="宋体"/>
          <w:color w:val="auto"/>
          <w:highlight w:val="none"/>
        </w:rPr>
      </w:pPr>
      <w:r>
        <w:rPr>
          <w:rFonts w:ascii="宋体" w:hAnsi="宋体"/>
          <w:color w:val="auto"/>
          <w:highlight w:val="none"/>
        </w:rPr>
        <w:drawing>
          <wp:inline distT="0" distB="0" distL="0" distR="0">
            <wp:extent cx="1093470" cy="387350"/>
            <wp:effectExtent l="19050" t="0" r="0" b="0"/>
            <wp:docPr id="2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3"/>
                    <pic:cNvPicPr>
                      <a:picLocks noChangeAspect="1" noChangeArrowheads="1"/>
                    </pic:cNvPicPr>
                  </pic:nvPicPr>
                  <pic:blipFill>
                    <a:blip r:embed="rId18" cstate="print"/>
                    <a:srcRect/>
                    <a:stretch>
                      <a:fillRect/>
                    </a:stretch>
                  </pic:blipFill>
                  <pic:spPr>
                    <a:xfrm>
                      <a:off x="0" y="0"/>
                      <a:ext cx="1093470" cy="387350"/>
                    </a:xfrm>
                    <a:prstGeom prst="rect">
                      <a:avLst/>
                    </a:prstGeom>
                    <a:noFill/>
                    <a:ln w="9525">
                      <a:noFill/>
                      <a:miter lim="800000"/>
                      <a:headEnd/>
                      <a:tailEnd/>
                    </a:ln>
                  </pic:spPr>
                </pic:pic>
              </a:graphicData>
            </a:graphic>
          </wp:inline>
        </w:drawing>
      </w:r>
    </w:p>
    <w:p>
      <w:pPr>
        <w:adjustRightInd w:val="0"/>
        <w:snapToGrid w:val="0"/>
        <w:ind w:firstLine="480"/>
        <w:rPr>
          <w:rFonts w:ascii="宋体" w:hAnsi="宋体"/>
          <w:color w:val="auto"/>
          <w:highlight w:val="none"/>
        </w:rPr>
      </w:pPr>
      <w:r>
        <w:rPr>
          <w:rFonts w:hint="eastAsia" w:ascii="宋体" w:hAnsi="宋体"/>
          <w:color w:val="auto"/>
          <w:highlight w:val="none"/>
        </w:rPr>
        <w:t>式中：</w:t>
      </w:r>
      <w:r>
        <w:rPr>
          <w:rFonts w:ascii="宋体" w:hAnsi="宋体"/>
          <w:color w:val="auto"/>
          <w:highlight w:val="none"/>
        </w:rPr>
        <w:drawing>
          <wp:inline distT="0" distB="0" distL="0" distR="0">
            <wp:extent cx="298450" cy="258445"/>
            <wp:effectExtent l="0" t="0" r="6350" b="8255"/>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98450" cy="258445"/>
                    </a:xfrm>
                    <a:prstGeom prst="rect">
                      <a:avLst/>
                    </a:prstGeom>
                    <a:noFill/>
                    <a:ln>
                      <a:noFill/>
                    </a:ln>
                  </pic:spPr>
                </pic:pic>
              </a:graphicData>
            </a:graphic>
          </wp:inline>
        </w:drawing>
      </w:r>
      <w:r>
        <w:rPr>
          <w:rFonts w:hint="eastAsia" w:ascii="宋体" w:hAnsi="宋体"/>
          <w:color w:val="auto"/>
          <w:highlight w:val="none"/>
        </w:rPr>
        <w:t>——主厂房基底应力的最大值与最小值（kPa）；</w:t>
      </w:r>
    </w:p>
    <w:p>
      <w:pPr>
        <w:adjustRightInd w:val="0"/>
        <w:snapToGrid w:val="0"/>
        <w:ind w:firstLine="1080" w:firstLineChars="450"/>
        <w:rPr>
          <w:rFonts w:ascii="宋体" w:hAnsi="宋体"/>
          <w:color w:val="auto"/>
          <w:highlight w:val="none"/>
        </w:rPr>
      </w:pPr>
      <w:r>
        <w:rPr>
          <w:rFonts w:ascii="宋体" w:hAnsi="宋体"/>
          <w:color w:val="auto"/>
          <w:highlight w:val="none"/>
        </w:rPr>
        <w:drawing>
          <wp:inline distT="0" distB="0" distL="0" distR="0">
            <wp:extent cx="258445" cy="158750"/>
            <wp:effectExtent l="0" t="0" r="8255" b="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8445" cy="158750"/>
                    </a:xfrm>
                    <a:prstGeom prst="rect">
                      <a:avLst/>
                    </a:prstGeom>
                    <a:noFill/>
                    <a:ln>
                      <a:noFill/>
                    </a:ln>
                  </pic:spPr>
                </pic:pic>
              </a:graphicData>
            </a:graphic>
          </wp:inline>
        </w:drawing>
      </w:r>
      <w:r>
        <w:rPr>
          <w:rFonts w:hint="eastAsia" w:ascii="宋体" w:hAnsi="宋体"/>
          <w:color w:val="auto"/>
          <w:highlight w:val="none"/>
        </w:rPr>
        <w:t>——作用在主厂房上的全部竖向荷载（KN）；</w:t>
      </w:r>
    </w:p>
    <w:p>
      <w:pPr>
        <w:adjustRightInd w:val="0"/>
        <w:snapToGrid w:val="0"/>
        <w:ind w:left="922" w:leftChars="384" w:firstLine="240" w:firstLineChars="100"/>
        <w:rPr>
          <w:rFonts w:ascii="宋体" w:hAnsi="宋体"/>
          <w:color w:val="auto"/>
          <w:highlight w:val="none"/>
        </w:rPr>
      </w:pPr>
      <w:r>
        <w:rPr>
          <w:rFonts w:ascii="宋体" w:hAnsi="宋体"/>
          <w:color w:val="auto"/>
          <w:highlight w:val="none"/>
        </w:rPr>
        <w:drawing>
          <wp:inline distT="0" distB="0" distL="0" distR="0">
            <wp:extent cx="298450" cy="149225"/>
            <wp:effectExtent l="0" t="0" r="6350" b="3175"/>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98450" cy="149225"/>
                    </a:xfrm>
                    <a:prstGeom prst="rect">
                      <a:avLst/>
                    </a:prstGeom>
                    <a:noFill/>
                    <a:ln>
                      <a:noFill/>
                    </a:ln>
                  </pic:spPr>
                </pic:pic>
              </a:graphicData>
            </a:graphic>
          </wp:inline>
        </w:drawing>
      </w:r>
      <w:r>
        <w:rPr>
          <w:rFonts w:hint="eastAsia" w:ascii="宋体" w:hAnsi="宋体"/>
          <w:color w:val="auto"/>
          <w:highlight w:val="none"/>
        </w:rPr>
        <w:t>——作用在主厂房上的全部竖向和水平荷载对于基础底面垂直水流向的形心轴的力矩（KN·m）；</w:t>
      </w:r>
    </w:p>
    <w:p>
      <w:pPr>
        <w:adjustRightInd w:val="0"/>
        <w:snapToGrid w:val="0"/>
        <w:ind w:firstLine="1080" w:firstLineChars="450"/>
        <w:rPr>
          <w:rFonts w:ascii="宋体" w:hAnsi="宋体"/>
          <w:color w:val="auto"/>
          <w:highlight w:val="none"/>
        </w:rPr>
      </w:pPr>
      <w:r>
        <w:rPr>
          <w:rFonts w:hint="eastAsia" w:ascii="宋体" w:hAnsi="宋体"/>
          <w:color w:val="auto"/>
          <w:highlight w:val="none"/>
        </w:rPr>
        <w:t>A——主厂房基底面的面积（m</w:t>
      </w:r>
      <w:r>
        <w:rPr>
          <w:rFonts w:hint="eastAsia" w:ascii="宋体" w:hAnsi="宋体"/>
          <w:color w:val="auto"/>
          <w:highlight w:val="none"/>
          <w:vertAlign w:val="superscript"/>
        </w:rPr>
        <w:t>2</w:t>
      </w:r>
      <w:r>
        <w:rPr>
          <w:rFonts w:hint="eastAsia" w:ascii="宋体" w:hAnsi="宋体"/>
          <w:color w:val="auto"/>
          <w:highlight w:val="none"/>
        </w:rPr>
        <w:t>）；</w:t>
      </w:r>
    </w:p>
    <w:p>
      <w:pPr>
        <w:adjustRightInd w:val="0"/>
        <w:snapToGrid w:val="0"/>
        <w:ind w:firstLine="1080" w:firstLineChars="450"/>
        <w:rPr>
          <w:rFonts w:ascii="宋体" w:hAnsi="宋体"/>
          <w:color w:val="auto"/>
          <w:highlight w:val="none"/>
        </w:rPr>
      </w:pPr>
      <w:r>
        <w:rPr>
          <w:rFonts w:hint="eastAsia" w:ascii="宋体" w:hAnsi="宋体"/>
          <w:color w:val="auto"/>
          <w:highlight w:val="none"/>
        </w:rPr>
        <w:t>W——主厂房基底面对于该底面垂直水流向的形心轴的截面矩（m</w:t>
      </w:r>
      <w:r>
        <w:rPr>
          <w:rFonts w:hint="eastAsia" w:ascii="宋体" w:hAnsi="宋体"/>
          <w:color w:val="auto"/>
          <w:highlight w:val="none"/>
          <w:vertAlign w:val="superscript"/>
        </w:rPr>
        <w:t>3</w:t>
      </w:r>
      <w:r>
        <w:rPr>
          <w:rFonts w:hint="eastAsia" w:ascii="宋体" w:hAnsi="宋体"/>
          <w:color w:val="auto"/>
          <w:highlight w:val="none"/>
        </w:rPr>
        <w:t>）；</w:t>
      </w:r>
    </w:p>
    <w:p>
      <w:pPr>
        <w:adjustRightInd w:val="0"/>
        <w:snapToGrid w:val="0"/>
        <w:ind w:firstLine="480"/>
        <w:rPr>
          <w:rFonts w:ascii="宋体" w:hAnsi="宋体"/>
          <w:bCs/>
          <w:color w:val="auto"/>
          <w:highlight w:val="none"/>
        </w:rPr>
      </w:pPr>
      <w:r>
        <w:rPr>
          <w:rFonts w:hint="eastAsia" w:ascii="宋体" w:hAnsi="宋体"/>
          <w:bCs/>
          <w:color w:val="auto"/>
          <w:highlight w:val="none"/>
        </w:rPr>
        <w:t>2）</w:t>
      </w:r>
      <w:r>
        <w:rPr>
          <w:rFonts w:ascii="宋体" w:hAnsi="宋体"/>
          <w:bCs/>
          <w:color w:val="auto"/>
          <w:highlight w:val="none"/>
        </w:rPr>
        <w:t>抗浮稳定分析</w:t>
      </w:r>
    </w:p>
    <w:p>
      <w:pPr>
        <w:adjustRightInd w:val="0"/>
        <w:snapToGrid w:val="0"/>
        <w:ind w:firstLine="480"/>
        <w:rPr>
          <w:rFonts w:ascii="宋体" w:hAnsi="宋体"/>
          <w:color w:val="auto"/>
          <w:highlight w:val="none"/>
        </w:rPr>
      </w:pPr>
      <w:r>
        <w:rPr>
          <w:rFonts w:ascii="宋体" w:hAnsi="宋体"/>
          <w:color w:val="auto"/>
          <w:highlight w:val="none"/>
        </w:rPr>
        <w:t>取正常运用情况</w:t>
      </w:r>
      <w:r>
        <w:rPr>
          <w:rFonts w:hint="eastAsia" w:ascii="宋体" w:hAnsi="宋体"/>
          <w:color w:val="auto"/>
          <w:highlight w:val="none"/>
        </w:rPr>
        <w:t>（</w:t>
      </w:r>
      <w:r>
        <w:rPr>
          <w:rFonts w:ascii="宋体" w:hAnsi="宋体"/>
          <w:color w:val="auto"/>
          <w:highlight w:val="none"/>
        </w:rPr>
        <w:t>地下水位</w:t>
      </w:r>
      <w:r>
        <w:rPr>
          <w:rFonts w:hint="eastAsia" w:ascii="宋体" w:hAnsi="宋体"/>
          <w:color w:val="auto"/>
          <w:highlight w:val="none"/>
        </w:rPr>
        <w:t>取地面以下1.5m）</w:t>
      </w:r>
      <w:r>
        <w:rPr>
          <w:rFonts w:ascii="宋体" w:hAnsi="宋体"/>
          <w:color w:val="auto"/>
          <w:highlight w:val="none"/>
        </w:rPr>
        <w:t>进行抗浮稳定计算。</w:t>
      </w:r>
    </w:p>
    <w:p>
      <w:pPr>
        <w:adjustRightInd w:val="0"/>
        <w:snapToGrid w:val="0"/>
        <w:ind w:firstLine="480"/>
        <w:jc w:val="center"/>
        <w:rPr>
          <w:rFonts w:ascii="宋体" w:hAnsi="宋体"/>
          <w:color w:val="auto"/>
          <w:highlight w:val="none"/>
        </w:rPr>
      </w:pPr>
      <w:r>
        <w:rPr>
          <w:rFonts w:ascii="宋体" w:hAnsi="宋体"/>
          <w:color w:val="auto"/>
          <w:highlight w:val="none"/>
        </w:rPr>
        <w:t>计算公式：</w:t>
      </w:r>
      <w:r>
        <w:rPr>
          <w:rFonts w:ascii="宋体"/>
          <w:color w:val="auto"/>
          <w:position w:val="-32"/>
          <w:sz w:val="28"/>
          <w:highlight w:val="none"/>
        </w:rPr>
        <w:drawing>
          <wp:inline distT="0" distB="0" distL="0" distR="0">
            <wp:extent cx="675640" cy="487045"/>
            <wp:effectExtent l="0" t="0" r="0" b="8255"/>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675640" cy="487045"/>
                    </a:xfrm>
                    <a:prstGeom prst="rect">
                      <a:avLst/>
                    </a:prstGeom>
                    <a:noFill/>
                    <a:ln>
                      <a:noFill/>
                    </a:ln>
                  </pic:spPr>
                </pic:pic>
              </a:graphicData>
            </a:graphic>
          </wp:inline>
        </w:drawing>
      </w:r>
    </w:p>
    <w:p>
      <w:pPr>
        <w:adjustRightInd w:val="0"/>
        <w:snapToGrid w:val="0"/>
        <w:ind w:firstLine="480"/>
        <w:rPr>
          <w:rFonts w:ascii="宋体" w:hAnsi="宋体"/>
          <w:color w:val="auto"/>
          <w:highlight w:val="none"/>
        </w:rPr>
      </w:pPr>
      <w:r>
        <w:rPr>
          <w:rFonts w:ascii="宋体" w:hAnsi="宋体"/>
          <w:color w:val="auto"/>
          <w:highlight w:val="none"/>
        </w:rPr>
        <w:t>式中：K</w:t>
      </w:r>
      <w:r>
        <w:rPr>
          <w:rFonts w:ascii="宋体" w:hAnsi="宋体"/>
          <w:color w:val="auto"/>
          <w:highlight w:val="none"/>
          <w:vertAlign w:val="subscript"/>
        </w:rPr>
        <w:t>f</w:t>
      </w:r>
      <w:r>
        <w:rPr>
          <w:rFonts w:ascii="宋体" w:hAnsi="宋体"/>
          <w:color w:val="auto"/>
          <w:highlight w:val="none"/>
        </w:rPr>
        <w:t>—抗浮稳定安全系数；</w:t>
      </w:r>
    </w:p>
    <w:p>
      <w:pPr>
        <w:adjustRightInd w:val="0"/>
        <w:snapToGrid w:val="0"/>
        <w:ind w:firstLine="1154" w:firstLineChars="481"/>
        <w:rPr>
          <w:rFonts w:ascii="宋体" w:hAnsi="宋体"/>
          <w:color w:val="auto"/>
          <w:highlight w:val="none"/>
        </w:rPr>
      </w:pPr>
      <w:r>
        <w:rPr>
          <w:rFonts w:ascii="宋体" w:hAnsi="宋体"/>
          <w:color w:val="auto"/>
          <w:highlight w:val="none"/>
        </w:rPr>
        <w:t>ΣV—作用于泵房基础底面以上的全部重力；</w:t>
      </w:r>
    </w:p>
    <w:p>
      <w:pPr>
        <w:adjustRightInd w:val="0"/>
        <w:snapToGrid w:val="0"/>
        <w:ind w:firstLine="1154" w:firstLineChars="481"/>
        <w:rPr>
          <w:rFonts w:ascii="宋体" w:hAnsi="宋体"/>
          <w:color w:val="auto"/>
          <w:highlight w:val="none"/>
        </w:rPr>
      </w:pPr>
      <w:r>
        <w:rPr>
          <w:rFonts w:ascii="宋体" w:hAnsi="宋体"/>
          <w:color w:val="auto"/>
          <w:highlight w:val="none"/>
        </w:rPr>
        <w:t>ΣU—作用于泵房基础底面上的扬压力。</w:t>
      </w:r>
    </w:p>
    <w:p>
      <w:pPr>
        <w:adjustRightInd w:val="0"/>
        <w:snapToGrid w:val="0"/>
        <w:ind w:firstLine="480"/>
        <w:rPr>
          <w:rFonts w:ascii="宋体"/>
          <w:color w:val="auto"/>
          <w:kern w:val="0"/>
          <w:highlight w:val="none"/>
        </w:rPr>
      </w:pPr>
      <w:r>
        <w:rPr>
          <w:rFonts w:hint="eastAsia" w:ascii="宋体"/>
          <w:color w:val="auto"/>
          <w:kern w:val="0"/>
          <w:highlight w:val="none"/>
        </w:rPr>
        <w:t>(3)</w:t>
      </w:r>
      <w:r>
        <w:rPr>
          <w:rFonts w:ascii="宋体"/>
          <w:color w:val="auto"/>
          <w:kern w:val="0"/>
          <w:highlight w:val="none"/>
        </w:rPr>
        <w:t>计算成果</w:t>
      </w:r>
    </w:p>
    <w:p>
      <w:pPr>
        <w:adjustRightInd w:val="0"/>
        <w:snapToGrid w:val="0"/>
        <w:ind w:firstLine="480"/>
        <w:rPr>
          <w:rFonts w:ascii="宋体"/>
          <w:color w:val="auto"/>
          <w:kern w:val="0"/>
          <w:highlight w:val="none"/>
        </w:rPr>
      </w:pPr>
      <w:r>
        <w:rPr>
          <w:rFonts w:ascii="宋体"/>
          <w:color w:val="auto"/>
          <w:kern w:val="0"/>
          <w:highlight w:val="none"/>
        </w:rPr>
        <w:t>主厂房稳定计算成果，详见</w:t>
      </w:r>
      <w:r>
        <w:rPr>
          <w:rFonts w:hint="eastAsia" w:ascii="宋体"/>
          <w:color w:val="auto"/>
          <w:kern w:val="0"/>
          <w:highlight w:val="none"/>
        </w:rPr>
        <w:t>下</w:t>
      </w:r>
      <w:r>
        <w:rPr>
          <w:rFonts w:ascii="宋体"/>
          <w:color w:val="auto"/>
          <w:kern w:val="0"/>
          <w:highlight w:val="none"/>
        </w:rPr>
        <w:t>表5.</w:t>
      </w:r>
      <w:r>
        <w:rPr>
          <w:rFonts w:hint="eastAsia" w:ascii="宋体"/>
          <w:color w:val="auto"/>
          <w:kern w:val="0"/>
          <w:highlight w:val="none"/>
        </w:rPr>
        <w:t>6-27</w:t>
      </w:r>
      <w:r>
        <w:rPr>
          <w:rFonts w:ascii="宋体"/>
          <w:color w:val="auto"/>
          <w:kern w:val="0"/>
          <w:highlight w:val="none"/>
        </w:rPr>
        <w:t>。</w:t>
      </w:r>
    </w:p>
    <w:p>
      <w:pPr>
        <w:adjustRightInd w:val="0"/>
        <w:snapToGrid w:val="0"/>
        <w:ind w:firstLine="480"/>
        <w:rPr>
          <w:rFonts w:ascii="宋体" w:hAnsi="宋体"/>
          <w:color w:val="auto"/>
          <w:highlight w:val="none"/>
        </w:rPr>
      </w:pPr>
      <w:r>
        <w:rPr>
          <w:rFonts w:hint="eastAsia" w:ascii="宋体" w:hAnsi="宋体"/>
          <w:color w:val="auto"/>
          <w:highlight w:val="none"/>
        </w:rPr>
        <w:t>表5.6-27            泵站主厂房稳定计算成果表</w:t>
      </w:r>
    </w:p>
    <w:tbl>
      <w:tblPr>
        <w:tblStyle w:val="33"/>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669"/>
        <w:gridCol w:w="1323"/>
        <w:gridCol w:w="1025"/>
        <w:gridCol w:w="1010"/>
        <w:gridCol w:w="1863"/>
        <w:gridCol w:w="816"/>
        <w:gridCol w:w="81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513" w:hRule="atLeast"/>
          <w:tblHeader/>
        </w:trPr>
        <w:tc>
          <w:tcPr>
            <w:tcW w:w="0" w:type="auto"/>
            <w:gridSpan w:val="2"/>
            <w:vMerge w:val="restart"/>
            <w:vAlign w:val="center"/>
          </w:tcPr>
          <w:p>
            <w:pPr>
              <w:adjustRightInd w:val="0"/>
              <w:snapToGrid w:val="0"/>
              <w:spacing w:line="240" w:lineRule="auto"/>
              <w:ind w:firstLine="0" w:firstLineChars="0"/>
              <w:jc w:val="center"/>
              <w:rPr>
                <w:rFonts w:ascii="宋体"/>
                <w:color w:val="auto"/>
                <w:kern w:val="28"/>
                <w:sz w:val="21"/>
                <w:szCs w:val="21"/>
                <w:highlight w:val="none"/>
              </w:rPr>
            </w:pPr>
            <w:r>
              <w:rPr>
                <w:rFonts w:hint="eastAsia" w:ascii="宋体"/>
                <w:color w:val="auto"/>
                <w:kern w:val="28"/>
                <w:sz w:val="21"/>
                <w:szCs w:val="21"/>
                <w:highlight w:val="none"/>
              </w:rPr>
              <w:t>计算内容</w:t>
            </w:r>
          </w:p>
        </w:tc>
        <w:tc>
          <w:tcPr>
            <w:tcW w:w="0" w:type="auto"/>
            <w:gridSpan w:val="2"/>
            <w:vAlign w:val="center"/>
          </w:tcPr>
          <w:p>
            <w:pPr>
              <w:adjustRightInd w:val="0"/>
              <w:snapToGrid w:val="0"/>
              <w:spacing w:line="240" w:lineRule="auto"/>
              <w:ind w:firstLine="0" w:firstLineChars="0"/>
              <w:jc w:val="center"/>
              <w:rPr>
                <w:rFonts w:ascii="宋体"/>
                <w:color w:val="auto"/>
                <w:kern w:val="28"/>
                <w:sz w:val="21"/>
                <w:szCs w:val="21"/>
                <w:highlight w:val="none"/>
              </w:rPr>
            </w:pPr>
            <w:r>
              <w:rPr>
                <w:rFonts w:hint="eastAsia" w:ascii="宋体"/>
                <w:color w:val="auto"/>
                <w:kern w:val="28"/>
                <w:sz w:val="21"/>
                <w:szCs w:val="21"/>
                <w:highlight w:val="none"/>
              </w:rPr>
              <w:t>基本组合</w:t>
            </w:r>
          </w:p>
        </w:tc>
        <w:tc>
          <w:tcPr>
            <w:tcW w:w="0" w:type="auto"/>
            <w:vAlign w:val="center"/>
          </w:tcPr>
          <w:p>
            <w:pPr>
              <w:adjustRightInd w:val="0"/>
              <w:snapToGrid w:val="0"/>
              <w:spacing w:line="240" w:lineRule="auto"/>
              <w:ind w:firstLine="0" w:firstLineChars="0"/>
              <w:jc w:val="center"/>
              <w:rPr>
                <w:rFonts w:ascii="宋体"/>
                <w:color w:val="auto"/>
                <w:kern w:val="28"/>
                <w:sz w:val="21"/>
                <w:szCs w:val="21"/>
                <w:highlight w:val="none"/>
              </w:rPr>
            </w:pPr>
            <w:r>
              <w:rPr>
                <w:rFonts w:hint="eastAsia" w:ascii="宋体"/>
                <w:color w:val="auto"/>
                <w:kern w:val="28"/>
                <w:sz w:val="21"/>
                <w:szCs w:val="21"/>
                <w:highlight w:val="none"/>
              </w:rPr>
              <w:t>特殊组合</w:t>
            </w:r>
          </w:p>
        </w:tc>
        <w:tc>
          <w:tcPr>
            <w:tcW w:w="0" w:type="auto"/>
            <w:gridSpan w:val="2"/>
            <w:vAlign w:val="center"/>
          </w:tcPr>
          <w:p>
            <w:pPr>
              <w:adjustRightInd w:val="0"/>
              <w:snapToGrid w:val="0"/>
              <w:spacing w:line="240" w:lineRule="auto"/>
              <w:ind w:firstLine="0" w:firstLineChars="0"/>
              <w:jc w:val="center"/>
              <w:rPr>
                <w:rFonts w:ascii="宋体"/>
                <w:color w:val="auto"/>
                <w:kern w:val="28"/>
                <w:sz w:val="21"/>
                <w:szCs w:val="21"/>
                <w:highlight w:val="none"/>
              </w:rPr>
            </w:pPr>
            <w:r>
              <w:rPr>
                <w:rFonts w:hint="eastAsia" w:ascii="宋体"/>
                <w:color w:val="auto"/>
                <w:kern w:val="28"/>
                <w:sz w:val="21"/>
                <w:szCs w:val="21"/>
                <w:highlight w:val="none"/>
              </w:rPr>
              <w:t>抗浮计算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9" w:hRule="atLeast"/>
          <w:tblHeader/>
        </w:trPr>
        <w:tc>
          <w:tcPr>
            <w:tcW w:w="0" w:type="auto"/>
            <w:gridSpan w:val="2"/>
            <w:vMerge w:val="continue"/>
            <w:vAlign w:val="center"/>
          </w:tcPr>
          <w:p>
            <w:pPr>
              <w:adjustRightInd w:val="0"/>
              <w:snapToGrid w:val="0"/>
              <w:spacing w:line="240" w:lineRule="auto"/>
              <w:ind w:firstLine="0" w:firstLineChars="0"/>
              <w:jc w:val="center"/>
              <w:rPr>
                <w:rFonts w:ascii="宋体"/>
                <w:color w:val="auto"/>
                <w:kern w:val="28"/>
                <w:sz w:val="21"/>
                <w:szCs w:val="21"/>
                <w:highlight w:val="none"/>
              </w:rPr>
            </w:pPr>
          </w:p>
        </w:tc>
        <w:tc>
          <w:tcPr>
            <w:tcW w:w="0" w:type="auto"/>
            <w:vAlign w:val="center"/>
          </w:tcPr>
          <w:p>
            <w:pPr>
              <w:adjustRightInd w:val="0"/>
              <w:snapToGrid w:val="0"/>
              <w:spacing w:line="240" w:lineRule="auto"/>
              <w:ind w:firstLine="0" w:firstLineChars="0"/>
              <w:jc w:val="center"/>
              <w:rPr>
                <w:rFonts w:ascii="宋体"/>
                <w:color w:val="auto"/>
                <w:kern w:val="28"/>
                <w:sz w:val="21"/>
                <w:szCs w:val="21"/>
                <w:highlight w:val="none"/>
              </w:rPr>
            </w:pPr>
            <w:r>
              <w:rPr>
                <w:rFonts w:hint="eastAsia" w:ascii="宋体"/>
                <w:color w:val="auto"/>
                <w:kern w:val="28"/>
                <w:sz w:val="21"/>
                <w:szCs w:val="21"/>
                <w:highlight w:val="none"/>
              </w:rPr>
              <w:t>施工完建</w:t>
            </w:r>
          </w:p>
        </w:tc>
        <w:tc>
          <w:tcPr>
            <w:tcW w:w="0" w:type="auto"/>
            <w:vAlign w:val="center"/>
          </w:tcPr>
          <w:p>
            <w:pPr>
              <w:adjustRightInd w:val="0"/>
              <w:snapToGrid w:val="0"/>
              <w:spacing w:line="240" w:lineRule="auto"/>
              <w:ind w:firstLine="0" w:firstLineChars="0"/>
              <w:jc w:val="center"/>
              <w:rPr>
                <w:rFonts w:ascii="宋体"/>
                <w:color w:val="auto"/>
                <w:kern w:val="28"/>
                <w:sz w:val="21"/>
                <w:szCs w:val="21"/>
                <w:highlight w:val="none"/>
              </w:rPr>
            </w:pPr>
            <w:r>
              <w:rPr>
                <w:rFonts w:hint="eastAsia" w:ascii="宋体"/>
                <w:color w:val="auto"/>
                <w:kern w:val="28"/>
                <w:sz w:val="21"/>
                <w:szCs w:val="21"/>
                <w:highlight w:val="none"/>
              </w:rPr>
              <w:t>正常运行</w:t>
            </w:r>
          </w:p>
        </w:tc>
        <w:tc>
          <w:tcPr>
            <w:tcW w:w="0" w:type="auto"/>
            <w:vAlign w:val="center"/>
          </w:tcPr>
          <w:p>
            <w:pPr>
              <w:adjustRightInd w:val="0"/>
              <w:snapToGrid w:val="0"/>
              <w:spacing w:line="240" w:lineRule="auto"/>
              <w:ind w:firstLine="0" w:firstLineChars="0"/>
              <w:jc w:val="center"/>
              <w:rPr>
                <w:rFonts w:ascii="宋体"/>
                <w:color w:val="auto"/>
                <w:kern w:val="28"/>
                <w:sz w:val="21"/>
                <w:szCs w:val="21"/>
                <w:highlight w:val="none"/>
              </w:rPr>
            </w:pPr>
            <w:r>
              <w:rPr>
                <w:rFonts w:hint="eastAsia" w:ascii="宋体"/>
                <w:color w:val="auto"/>
                <w:kern w:val="28"/>
                <w:sz w:val="21"/>
                <w:szCs w:val="21"/>
                <w:highlight w:val="none"/>
              </w:rPr>
              <w:t>正常运行＋7度地震</w:t>
            </w:r>
          </w:p>
        </w:tc>
        <w:tc>
          <w:tcPr>
            <w:tcW w:w="0" w:type="auto"/>
            <w:vAlign w:val="center"/>
          </w:tcPr>
          <w:p>
            <w:pPr>
              <w:adjustRightInd w:val="0"/>
              <w:snapToGrid w:val="0"/>
              <w:spacing w:line="240" w:lineRule="auto"/>
              <w:ind w:firstLine="0" w:firstLineChars="0"/>
              <w:jc w:val="center"/>
              <w:rPr>
                <w:rFonts w:ascii="宋体"/>
                <w:color w:val="auto"/>
                <w:kern w:val="28"/>
                <w:sz w:val="21"/>
                <w:szCs w:val="21"/>
                <w:highlight w:val="none"/>
              </w:rPr>
            </w:pPr>
            <w:r>
              <w:rPr>
                <w:rFonts w:hint="eastAsia" w:ascii="宋体"/>
                <w:color w:val="auto"/>
                <w:kern w:val="28"/>
                <w:sz w:val="21"/>
                <w:szCs w:val="21"/>
                <w:highlight w:val="none"/>
              </w:rPr>
              <w:t>计算值</w:t>
            </w:r>
          </w:p>
        </w:tc>
        <w:tc>
          <w:tcPr>
            <w:tcW w:w="0" w:type="auto"/>
            <w:vAlign w:val="center"/>
          </w:tcPr>
          <w:p>
            <w:pPr>
              <w:adjustRightInd w:val="0"/>
              <w:snapToGrid w:val="0"/>
              <w:spacing w:line="240" w:lineRule="auto"/>
              <w:ind w:firstLine="0" w:firstLineChars="0"/>
              <w:jc w:val="center"/>
              <w:rPr>
                <w:rFonts w:ascii="宋体"/>
                <w:color w:val="auto"/>
                <w:kern w:val="28"/>
                <w:sz w:val="21"/>
                <w:szCs w:val="21"/>
                <w:highlight w:val="none"/>
              </w:rPr>
            </w:pPr>
            <w:r>
              <w:rPr>
                <w:rFonts w:hint="eastAsia" w:ascii="宋体"/>
                <w:color w:val="auto"/>
                <w:kern w:val="28"/>
                <w:sz w:val="21"/>
                <w:szCs w:val="21"/>
                <w:highlight w:val="none"/>
              </w:rPr>
              <w:t>允许值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0" w:type="auto"/>
            <w:vMerge w:val="restart"/>
            <w:vAlign w:val="center"/>
          </w:tcPr>
          <w:p>
            <w:pPr>
              <w:adjustRightInd w:val="0"/>
              <w:snapToGrid w:val="0"/>
              <w:spacing w:line="240" w:lineRule="auto"/>
              <w:ind w:firstLine="0" w:firstLineChars="0"/>
              <w:jc w:val="center"/>
              <w:rPr>
                <w:rFonts w:ascii="宋体"/>
                <w:color w:val="auto"/>
                <w:kern w:val="28"/>
                <w:sz w:val="21"/>
                <w:szCs w:val="21"/>
                <w:highlight w:val="none"/>
              </w:rPr>
            </w:pPr>
            <w:r>
              <w:rPr>
                <w:rFonts w:hint="eastAsia" w:ascii="宋体"/>
                <w:color w:val="auto"/>
                <w:kern w:val="28"/>
                <w:sz w:val="21"/>
                <w:szCs w:val="21"/>
                <w:highlight w:val="none"/>
              </w:rPr>
              <w:t>基底应力（</w:t>
            </w:r>
            <w:r>
              <w:rPr>
                <w:rFonts w:ascii="宋体"/>
                <w:color w:val="auto"/>
                <w:kern w:val="28"/>
                <w:sz w:val="21"/>
                <w:szCs w:val="21"/>
                <w:highlight w:val="none"/>
              </w:rPr>
              <w:t>kpa</w:t>
            </w:r>
            <w:r>
              <w:rPr>
                <w:rFonts w:hint="eastAsia" w:ascii="宋体"/>
                <w:color w:val="auto"/>
                <w:kern w:val="28"/>
                <w:sz w:val="21"/>
                <w:szCs w:val="21"/>
                <w:highlight w:val="none"/>
              </w:rPr>
              <w:t>）</w:t>
            </w:r>
          </w:p>
        </w:tc>
        <w:tc>
          <w:tcPr>
            <w:tcW w:w="0" w:type="auto"/>
            <w:vAlign w:val="center"/>
          </w:tcPr>
          <w:p>
            <w:pPr>
              <w:adjustRightInd w:val="0"/>
              <w:snapToGrid w:val="0"/>
              <w:spacing w:line="240" w:lineRule="auto"/>
              <w:ind w:firstLine="0" w:firstLineChars="0"/>
              <w:jc w:val="center"/>
              <w:rPr>
                <w:rFonts w:ascii="宋体"/>
                <w:color w:val="auto"/>
                <w:kern w:val="28"/>
                <w:sz w:val="21"/>
                <w:szCs w:val="21"/>
                <w:highlight w:val="none"/>
              </w:rPr>
            </w:pPr>
            <w:r>
              <w:rPr>
                <w:rFonts w:hint="eastAsia" w:ascii="宋体"/>
                <w:color w:val="auto"/>
                <w:kern w:val="28"/>
                <w:sz w:val="21"/>
                <w:szCs w:val="21"/>
                <w:highlight w:val="none"/>
              </w:rPr>
              <w:t>最大值</w:t>
            </w:r>
          </w:p>
        </w:tc>
        <w:tc>
          <w:tcPr>
            <w:tcW w:w="0" w:type="auto"/>
            <w:vAlign w:val="center"/>
          </w:tcPr>
          <w:p>
            <w:pPr>
              <w:adjustRightInd w:val="0"/>
              <w:snapToGrid w:val="0"/>
              <w:spacing w:line="240" w:lineRule="auto"/>
              <w:ind w:firstLine="0" w:firstLineChars="0"/>
              <w:jc w:val="center"/>
              <w:rPr>
                <w:rFonts w:ascii="宋体" w:hAnsi="宋体"/>
                <w:color w:val="auto"/>
                <w:kern w:val="28"/>
                <w:sz w:val="21"/>
                <w:szCs w:val="21"/>
                <w:highlight w:val="none"/>
              </w:rPr>
            </w:pPr>
            <w:r>
              <w:rPr>
                <w:rFonts w:hint="eastAsia" w:ascii="宋体" w:hAnsi="宋体"/>
                <w:color w:val="auto"/>
                <w:kern w:val="28"/>
                <w:sz w:val="21"/>
                <w:szCs w:val="21"/>
                <w:highlight w:val="none"/>
              </w:rPr>
              <w:t>100.22</w:t>
            </w:r>
          </w:p>
        </w:tc>
        <w:tc>
          <w:tcPr>
            <w:tcW w:w="0" w:type="auto"/>
            <w:vAlign w:val="center"/>
          </w:tcPr>
          <w:p>
            <w:pPr>
              <w:adjustRightInd w:val="0"/>
              <w:snapToGrid w:val="0"/>
              <w:spacing w:line="240" w:lineRule="auto"/>
              <w:ind w:firstLine="0" w:firstLineChars="0"/>
              <w:jc w:val="center"/>
              <w:rPr>
                <w:rFonts w:ascii="宋体" w:hAnsi="宋体"/>
                <w:color w:val="auto"/>
                <w:kern w:val="28"/>
                <w:sz w:val="21"/>
                <w:szCs w:val="21"/>
                <w:highlight w:val="none"/>
              </w:rPr>
            </w:pPr>
            <w:r>
              <w:rPr>
                <w:rFonts w:hint="eastAsia" w:ascii="宋体" w:hAnsi="宋体"/>
                <w:color w:val="auto"/>
                <w:kern w:val="28"/>
                <w:sz w:val="21"/>
                <w:szCs w:val="21"/>
                <w:highlight w:val="none"/>
              </w:rPr>
              <w:t>53.70</w:t>
            </w:r>
          </w:p>
        </w:tc>
        <w:tc>
          <w:tcPr>
            <w:tcW w:w="0" w:type="auto"/>
            <w:vAlign w:val="center"/>
          </w:tcPr>
          <w:p>
            <w:pPr>
              <w:adjustRightInd w:val="0"/>
              <w:snapToGrid w:val="0"/>
              <w:spacing w:line="240" w:lineRule="auto"/>
              <w:ind w:firstLine="0" w:firstLineChars="0"/>
              <w:jc w:val="center"/>
              <w:rPr>
                <w:rFonts w:ascii="宋体" w:hAnsi="宋体"/>
                <w:color w:val="auto"/>
                <w:kern w:val="28"/>
                <w:sz w:val="21"/>
                <w:szCs w:val="21"/>
                <w:highlight w:val="none"/>
              </w:rPr>
            </w:pPr>
            <w:r>
              <w:rPr>
                <w:rFonts w:hint="eastAsia" w:ascii="宋体" w:hAnsi="宋体"/>
                <w:color w:val="auto"/>
                <w:kern w:val="28"/>
                <w:sz w:val="21"/>
                <w:szCs w:val="21"/>
                <w:highlight w:val="none"/>
              </w:rPr>
              <w:t>58.49</w:t>
            </w:r>
          </w:p>
        </w:tc>
        <w:tc>
          <w:tcPr>
            <w:tcW w:w="0" w:type="auto"/>
            <w:vMerge w:val="restart"/>
            <w:vAlign w:val="center"/>
          </w:tcPr>
          <w:p>
            <w:pPr>
              <w:adjustRightInd w:val="0"/>
              <w:snapToGrid w:val="0"/>
              <w:spacing w:line="240" w:lineRule="auto"/>
              <w:ind w:firstLine="0" w:firstLineChars="0"/>
              <w:jc w:val="center"/>
              <w:rPr>
                <w:rFonts w:ascii="宋体"/>
                <w:color w:val="auto"/>
                <w:kern w:val="28"/>
                <w:sz w:val="21"/>
                <w:szCs w:val="21"/>
                <w:highlight w:val="none"/>
              </w:rPr>
            </w:pPr>
            <w:r>
              <w:rPr>
                <w:rFonts w:hint="eastAsia" w:ascii="宋体"/>
                <w:color w:val="auto"/>
                <w:kern w:val="28"/>
                <w:sz w:val="21"/>
                <w:szCs w:val="21"/>
                <w:highlight w:val="none"/>
              </w:rPr>
              <w:t>1.98</w:t>
            </w:r>
          </w:p>
        </w:tc>
        <w:tc>
          <w:tcPr>
            <w:tcW w:w="0" w:type="auto"/>
            <w:vMerge w:val="restart"/>
            <w:vAlign w:val="center"/>
          </w:tcPr>
          <w:p>
            <w:pPr>
              <w:adjustRightInd w:val="0"/>
              <w:snapToGrid w:val="0"/>
              <w:spacing w:line="240" w:lineRule="auto"/>
              <w:ind w:firstLine="0" w:firstLineChars="0"/>
              <w:jc w:val="center"/>
              <w:rPr>
                <w:rFonts w:ascii="宋体"/>
                <w:color w:val="auto"/>
                <w:kern w:val="28"/>
                <w:sz w:val="21"/>
                <w:szCs w:val="21"/>
                <w:highlight w:val="none"/>
              </w:rPr>
            </w:pPr>
            <w:r>
              <w:rPr>
                <w:rFonts w:hint="eastAsia" w:ascii="宋体"/>
                <w:color w:val="auto"/>
                <w:kern w:val="28"/>
                <w:sz w:val="21"/>
                <w:szCs w:val="21"/>
                <w:highlight w:val="none"/>
              </w:rPr>
              <w:t>1.10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0" w:type="auto"/>
            <w:vMerge w:val="continue"/>
            <w:vAlign w:val="center"/>
          </w:tcPr>
          <w:p>
            <w:pPr>
              <w:adjustRightInd w:val="0"/>
              <w:snapToGrid w:val="0"/>
              <w:spacing w:line="240" w:lineRule="auto"/>
              <w:ind w:firstLine="0" w:firstLineChars="0"/>
              <w:jc w:val="center"/>
              <w:rPr>
                <w:rFonts w:ascii="宋体"/>
                <w:color w:val="auto"/>
                <w:kern w:val="28"/>
                <w:sz w:val="21"/>
                <w:szCs w:val="21"/>
                <w:highlight w:val="none"/>
              </w:rPr>
            </w:pPr>
          </w:p>
        </w:tc>
        <w:tc>
          <w:tcPr>
            <w:tcW w:w="0" w:type="auto"/>
            <w:vAlign w:val="center"/>
          </w:tcPr>
          <w:p>
            <w:pPr>
              <w:adjustRightInd w:val="0"/>
              <w:snapToGrid w:val="0"/>
              <w:spacing w:line="240" w:lineRule="auto"/>
              <w:ind w:firstLine="0" w:firstLineChars="0"/>
              <w:jc w:val="center"/>
              <w:rPr>
                <w:rFonts w:ascii="宋体"/>
                <w:color w:val="auto"/>
                <w:kern w:val="28"/>
                <w:sz w:val="21"/>
                <w:szCs w:val="21"/>
                <w:highlight w:val="none"/>
              </w:rPr>
            </w:pPr>
            <w:r>
              <w:rPr>
                <w:rFonts w:hint="eastAsia" w:ascii="宋体"/>
                <w:color w:val="auto"/>
                <w:kern w:val="28"/>
                <w:sz w:val="21"/>
                <w:szCs w:val="21"/>
                <w:highlight w:val="none"/>
              </w:rPr>
              <w:t>最小值</w:t>
            </w:r>
          </w:p>
        </w:tc>
        <w:tc>
          <w:tcPr>
            <w:tcW w:w="0" w:type="auto"/>
            <w:vAlign w:val="center"/>
          </w:tcPr>
          <w:p>
            <w:pPr>
              <w:adjustRightInd w:val="0"/>
              <w:snapToGrid w:val="0"/>
              <w:spacing w:line="240" w:lineRule="auto"/>
              <w:ind w:firstLine="0" w:firstLineChars="0"/>
              <w:jc w:val="center"/>
              <w:rPr>
                <w:rFonts w:ascii="宋体" w:hAnsi="宋体"/>
                <w:color w:val="auto"/>
                <w:kern w:val="28"/>
                <w:sz w:val="21"/>
                <w:szCs w:val="21"/>
                <w:highlight w:val="none"/>
              </w:rPr>
            </w:pPr>
            <w:r>
              <w:rPr>
                <w:rFonts w:hint="eastAsia" w:ascii="宋体" w:hAnsi="宋体"/>
                <w:color w:val="auto"/>
                <w:kern w:val="28"/>
                <w:sz w:val="21"/>
                <w:szCs w:val="21"/>
                <w:highlight w:val="none"/>
              </w:rPr>
              <w:t>94.12</w:t>
            </w:r>
          </w:p>
        </w:tc>
        <w:tc>
          <w:tcPr>
            <w:tcW w:w="0" w:type="auto"/>
            <w:vAlign w:val="center"/>
          </w:tcPr>
          <w:p>
            <w:pPr>
              <w:adjustRightInd w:val="0"/>
              <w:snapToGrid w:val="0"/>
              <w:spacing w:line="240" w:lineRule="auto"/>
              <w:ind w:firstLine="0" w:firstLineChars="0"/>
              <w:jc w:val="center"/>
              <w:rPr>
                <w:rFonts w:ascii="宋体" w:hAnsi="宋体"/>
                <w:color w:val="auto"/>
                <w:kern w:val="28"/>
                <w:sz w:val="21"/>
                <w:szCs w:val="21"/>
                <w:highlight w:val="none"/>
              </w:rPr>
            </w:pPr>
            <w:r>
              <w:rPr>
                <w:rFonts w:hint="eastAsia" w:ascii="宋体" w:hAnsi="宋体"/>
                <w:color w:val="auto"/>
                <w:kern w:val="28"/>
                <w:sz w:val="21"/>
                <w:szCs w:val="21"/>
                <w:highlight w:val="none"/>
              </w:rPr>
              <w:t>42.40</w:t>
            </w:r>
          </w:p>
        </w:tc>
        <w:tc>
          <w:tcPr>
            <w:tcW w:w="0" w:type="auto"/>
            <w:vAlign w:val="center"/>
          </w:tcPr>
          <w:p>
            <w:pPr>
              <w:adjustRightInd w:val="0"/>
              <w:snapToGrid w:val="0"/>
              <w:spacing w:line="240" w:lineRule="auto"/>
              <w:ind w:firstLine="0" w:firstLineChars="0"/>
              <w:jc w:val="center"/>
              <w:rPr>
                <w:rFonts w:ascii="宋体" w:hAnsi="宋体"/>
                <w:color w:val="auto"/>
                <w:kern w:val="28"/>
                <w:sz w:val="21"/>
                <w:szCs w:val="21"/>
                <w:highlight w:val="none"/>
              </w:rPr>
            </w:pPr>
            <w:r>
              <w:rPr>
                <w:rFonts w:hint="eastAsia" w:ascii="宋体" w:hAnsi="宋体"/>
                <w:color w:val="auto"/>
                <w:kern w:val="28"/>
                <w:sz w:val="21"/>
                <w:szCs w:val="21"/>
                <w:highlight w:val="none"/>
              </w:rPr>
              <w:t>37.62</w:t>
            </w:r>
          </w:p>
        </w:tc>
        <w:tc>
          <w:tcPr>
            <w:tcW w:w="0" w:type="auto"/>
            <w:vMerge w:val="continue"/>
            <w:vAlign w:val="center"/>
          </w:tcPr>
          <w:p>
            <w:pPr>
              <w:adjustRightInd w:val="0"/>
              <w:snapToGrid w:val="0"/>
              <w:spacing w:line="240" w:lineRule="auto"/>
              <w:ind w:firstLine="0" w:firstLineChars="0"/>
              <w:rPr>
                <w:rFonts w:ascii="宋体"/>
                <w:color w:val="auto"/>
                <w:kern w:val="28"/>
                <w:sz w:val="21"/>
                <w:szCs w:val="21"/>
                <w:highlight w:val="none"/>
              </w:rPr>
            </w:pPr>
          </w:p>
        </w:tc>
        <w:tc>
          <w:tcPr>
            <w:tcW w:w="0" w:type="auto"/>
            <w:vMerge w:val="continue"/>
            <w:vAlign w:val="center"/>
          </w:tcPr>
          <w:p>
            <w:pPr>
              <w:adjustRightInd w:val="0"/>
              <w:snapToGrid w:val="0"/>
              <w:spacing w:line="240" w:lineRule="auto"/>
              <w:ind w:firstLine="0" w:firstLineChars="0"/>
              <w:rPr>
                <w:rFonts w:ascii="宋体"/>
                <w:color w:val="auto"/>
                <w:kern w:val="28"/>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0" w:type="auto"/>
            <w:vMerge w:val="continue"/>
            <w:vAlign w:val="center"/>
          </w:tcPr>
          <w:p>
            <w:pPr>
              <w:adjustRightInd w:val="0"/>
              <w:snapToGrid w:val="0"/>
              <w:spacing w:line="240" w:lineRule="auto"/>
              <w:ind w:firstLine="0" w:firstLineChars="0"/>
              <w:jc w:val="center"/>
              <w:rPr>
                <w:rFonts w:ascii="宋体"/>
                <w:color w:val="auto"/>
                <w:kern w:val="28"/>
                <w:sz w:val="21"/>
                <w:szCs w:val="21"/>
                <w:highlight w:val="none"/>
              </w:rPr>
            </w:pPr>
          </w:p>
        </w:tc>
        <w:tc>
          <w:tcPr>
            <w:tcW w:w="0" w:type="auto"/>
            <w:vAlign w:val="center"/>
          </w:tcPr>
          <w:p>
            <w:pPr>
              <w:adjustRightInd w:val="0"/>
              <w:snapToGrid w:val="0"/>
              <w:spacing w:line="240" w:lineRule="auto"/>
              <w:ind w:firstLine="0" w:firstLineChars="0"/>
              <w:jc w:val="center"/>
              <w:rPr>
                <w:rFonts w:ascii="宋体"/>
                <w:color w:val="auto"/>
                <w:kern w:val="28"/>
                <w:sz w:val="21"/>
                <w:szCs w:val="21"/>
                <w:highlight w:val="none"/>
              </w:rPr>
            </w:pPr>
            <w:r>
              <w:rPr>
                <w:rFonts w:hint="eastAsia" w:ascii="宋体"/>
                <w:color w:val="auto"/>
                <w:kern w:val="28"/>
                <w:sz w:val="21"/>
                <w:szCs w:val="21"/>
                <w:highlight w:val="none"/>
              </w:rPr>
              <w:t>平均基底应力</w:t>
            </w:r>
          </w:p>
        </w:tc>
        <w:tc>
          <w:tcPr>
            <w:tcW w:w="0" w:type="auto"/>
            <w:vAlign w:val="center"/>
          </w:tcPr>
          <w:p>
            <w:pPr>
              <w:adjustRightInd w:val="0"/>
              <w:snapToGrid w:val="0"/>
              <w:spacing w:line="240" w:lineRule="auto"/>
              <w:ind w:firstLine="0" w:firstLineChars="0"/>
              <w:jc w:val="center"/>
              <w:rPr>
                <w:rFonts w:ascii="宋体" w:hAnsi="宋体"/>
                <w:color w:val="auto"/>
                <w:kern w:val="28"/>
                <w:sz w:val="21"/>
                <w:szCs w:val="21"/>
                <w:highlight w:val="none"/>
              </w:rPr>
            </w:pPr>
            <w:r>
              <w:rPr>
                <w:rFonts w:hint="eastAsia" w:ascii="宋体" w:hAnsi="宋体"/>
                <w:color w:val="auto"/>
                <w:kern w:val="28"/>
                <w:sz w:val="21"/>
                <w:szCs w:val="21"/>
                <w:highlight w:val="none"/>
              </w:rPr>
              <w:t>97.17</w:t>
            </w:r>
          </w:p>
        </w:tc>
        <w:tc>
          <w:tcPr>
            <w:tcW w:w="0" w:type="auto"/>
            <w:vAlign w:val="center"/>
          </w:tcPr>
          <w:p>
            <w:pPr>
              <w:adjustRightInd w:val="0"/>
              <w:snapToGrid w:val="0"/>
              <w:spacing w:line="240" w:lineRule="auto"/>
              <w:ind w:firstLine="0" w:firstLineChars="0"/>
              <w:jc w:val="center"/>
              <w:rPr>
                <w:rFonts w:ascii="宋体" w:hAnsi="宋体"/>
                <w:color w:val="auto"/>
                <w:kern w:val="28"/>
                <w:sz w:val="21"/>
                <w:szCs w:val="21"/>
                <w:highlight w:val="none"/>
              </w:rPr>
            </w:pPr>
            <w:r>
              <w:rPr>
                <w:rFonts w:hint="eastAsia" w:ascii="宋体" w:hAnsi="宋体"/>
                <w:color w:val="auto"/>
                <w:kern w:val="28"/>
                <w:sz w:val="21"/>
                <w:szCs w:val="21"/>
                <w:highlight w:val="none"/>
              </w:rPr>
              <w:t>48.06</w:t>
            </w:r>
          </w:p>
        </w:tc>
        <w:tc>
          <w:tcPr>
            <w:tcW w:w="0" w:type="auto"/>
            <w:vAlign w:val="center"/>
          </w:tcPr>
          <w:p>
            <w:pPr>
              <w:adjustRightInd w:val="0"/>
              <w:snapToGrid w:val="0"/>
              <w:spacing w:line="240" w:lineRule="auto"/>
              <w:ind w:firstLine="0" w:firstLineChars="0"/>
              <w:jc w:val="center"/>
              <w:rPr>
                <w:rFonts w:ascii="宋体" w:hAnsi="宋体"/>
                <w:color w:val="auto"/>
                <w:kern w:val="28"/>
                <w:sz w:val="21"/>
                <w:szCs w:val="21"/>
                <w:highlight w:val="none"/>
              </w:rPr>
            </w:pPr>
            <w:r>
              <w:rPr>
                <w:rFonts w:hint="eastAsia" w:ascii="宋体" w:hAnsi="宋体"/>
                <w:color w:val="auto"/>
                <w:kern w:val="28"/>
                <w:sz w:val="21"/>
                <w:szCs w:val="21"/>
                <w:highlight w:val="none"/>
              </w:rPr>
              <w:t>48.06</w:t>
            </w:r>
          </w:p>
        </w:tc>
        <w:tc>
          <w:tcPr>
            <w:tcW w:w="0" w:type="auto"/>
            <w:vMerge w:val="continue"/>
            <w:vAlign w:val="center"/>
          </w:tcPr>
          <w:p>
            <w:pPr>
              <w:adjustRightInd w:val="0"/>
              <w:snapToGrid w:val="0"/>
              <w:spacing w:line="240" w:lineRule="auto"/>
              <w:ind w:firstLine="0" w:firstLineChars="0"/>
              <w:rPr>
                <w:rFonts w:ascii="宋体"/>
                <w:color w:val="auto"/>
                <w:kern w:val="28"/>
                <w:sz w:val="21"/>
                <w:szCs w:val="21"/>
                <w:highlight w:val="none"/>
              </w:rPr>
            </w:pPr>
          </w:p>
        </w:tc>
        <w:tc>
          <w:tcPr>
            <w:tcW w:w="0" w:type="auto"/>
            <w:vMerge w:val="continue"/>
            <w:vAlign w:val="center"/>
          </w:tcPr>
          <w:p>
            <w:pPr>
              <w:adjustRightInd w:val="0"/>
              <w:snapToGrid w:val="0"/>
              <w:spacing w:line="240" w:lineRule="auto"/>
              <w:ind w:firstLine="0" w:firstLineChars="0"/>
              <w:rPr>
                <w:rFonts w:ascii="宋体"/>
                <w:color w:val="auto"/>
                <w:kern w:val="28"/>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0" w:type="auto"/>
            <w:vMerge w:val="continue"/>
            <w:vAlign w:val="center"/>
          </w:tcPr>
          <w:p>
            <w:pPr>
              <w:adjustRightInd w:val="0"/>
              <w:snapToGrid w:val="0"/>
              <w:spacing w:line="240" w:lineRule="auto"/>
              <w:ind w:firstLine="0" w:firstLineChars="0"/>
              <w:jc w:val="center"/>
              <w:rPr>
                <w:rFonts w:ascii="宋体"/>
                <w:color w:val="auto"/>
                <w:kern w:val="28"/>
                <w:sz w:val="21"/>
                <w:szCs w:val="21"/>
                <w:highlight w:val="none"/>
              </w:rPr>
            </w:pPr>
          </w:p>
        </w:tc>
        <w:tc>
          <w:tcPr>
            <w:tcW w:w="0" w:type="auto"/>
            <w:vAlign w:val="center"/>
          </w:tcPr>
          <w:p>
            <w:pPr>
              <w:adjustRightInd w:val="0"/>
              <w:snapToGrid w:val="0"/>
              <w:spacing w:line="240" w:lineRule="auto"/>
              <w:ind w:firstLine="0" w:firstLineChars="0"/>
              <w:jc w:val="center"/>
              <w:rPr>
                <w:rFonts w:ascii="宋体"/>
                <w:color w:val="auto"/>
                <w:kern w:val="28"/>
                <w:sz w:val="21"/>
                <w:szCs w:val="21"/>
                <w:highlight w:val="none"/>
              </w:rPr>
            </w:pPr>
            <w:r>
              <w:rPr>
                <w:rFonts w:hint="eastAsia" w:ascii="宋体"/>
                <w:color w:val="auto"/>
                <w:kern w:val="28"/>
                <w:sz w:val="21"/>
                <w:szCs w:val="21"/>
                <w:highlight w:val="none"/>
              </w:rPr>
              <w:t>地基承载力</w:t>
            </w:r>
          </w:p>
        </w:tc>
        <w:tc>
          <w:tcPr>
            <w:tcW w:w="0" w:type="auto"/>
            <w:vAlign w:val="center"/>
          </w:tcPr>
          <w:p>
            <w:pPr>
              <w:adjustRightInd w:val="0"/>
              <w:snapToGrid w:val="0"/>
              <w:spacing w:line="240" w:lineRule="auto"/>
              <w:ind w:firstLine="0" w:firstLineChars="0"/>
              <w:jc w:val="center"/>
              <w:rPr>
                <w:rFonts w:ascii="宋体" w:hAnsi="宋体"/>
                <w:color w:val="auto"/>
                <w:kern w:val="28"/>
                <w:sz w:val="21"/>
                <w:szCs w:val="21"/>
                <w:highlight w:val="none"/>
              </w:rPr>
            </w:pPr>
            <w:r>
              <w:rPr>
                <w:rFonts w:hint="eastAsia" w:ascii="宋体" w:hAnsi="宋体"/>
                <w:color w:val="auto"/>
                <w:kern w:val="28"/>
                <w:sz w:val="21"/>
                <w:szCs w:val="21"/>
                <w:highlight w:val="none"/>
              </w:rPr>
              <w:t>270</w:t>
            </w:r>
          </w:p>
        </w:tc>
        <w:tc>
          <w:tcPr>
            <w:tcW w:w="0" w:type="auto"/>
            <w:vAlign w:val="center"/>
          </w:tcPr>
          <w:p>
            <w:pPr>
              <w:adjustRightInd w:val="0"/>
              <w:snapToGrid w:val="0"/>
              <w:spacing w:line="240" w:lineRule="auto"/>
              <w:ind w:firstLine="0" w:firstLineChars="0"/>
              <w:jc w:val="center"/>
              <w:rPr>
                <w:rFonts w:ascii="宋体" w:hAnsi="宋体"/>
                <w:color w:val="auto"/>
                <w:kern w:val="28"/>
                <w:sz w:val="21"/>
                <w:szCs w:val="21"/>
                <w:highlight w:val="none"/>
              </w:rPr>
            </w:pPr>
            <w:r>
              <w:rPr>
                <w:rFonts w:hint="eastAsia" w:ascii="宋体" w:hAnsi="宋体"/>
                <w:color w:val="auto"/>
                <w:kern w:val="28"/>
                <w:sz w:val="21"/>
                <w:szCs w:val="21"/>
                <w:highlight w:val="none"/>
              </w:rPr>
              <w:t>270</w:t>
            </w:r>
          </w:p>
        </w:tc>
        <w:tc>
          <w:tcPr>
            <w:tcW w:w="0" w:type="auto"/>
            <w:vAlign w:val="center"/>
          </w:tcPr>
          <w:p>
            <w:pPr>
              <w:adjustRightInd w:val="0"/>
              <w:snapToGrid w:val="0"/>
              <w:spacing w:line="240" w:lineRule="auto"/>
              <w:ind w:firstLine="0" w:firstLineChars="0"/>
              <w:jc w:val="center"/>
              <w:rPr>
                <w:rFonts w:ascii="宋体" w:hAnsi="宋体"/>
                <w:color w:val="auto"/>
                <w:kern w:val="28"/>
                <w:sz w:val="21"/>
                <w:szCs w:val="21"/>
                <w:highlight w:val="none"/>
              </w:rPr>
            </w:pPr>
            <w:r>
              <w:rPr>
                <w:rFonts w:hint="eastAsia" w:ascii="宋体" w:hAnsi="宋体"/>
                <w:color w:val="auto"/>
                <w:kern w:val="28"/>
                <w:sz w:val="21"/>
                <w:szCs w:val="21"/>
                <w:highlight w:val="none"/>
              </w:rPr>
              <w:t>270</w:t>
            </w:r>
          </w:p>
        </w:tc>
        <w:tc>
          <w:tcPr>
            <w:tcW w:w="0" w:type="auto"/>
            <w:vMerge w:val="continue"/>
            <w:vAlign w:val="center"/>
          </w:tcPr>
          <w:p>
            <w:pPr>
              <w:adjustRightInd w:val="0"/>
              <w:snapToGrid w:val="0"/>
              <w:spacing w:line="240" w:lineRule="auto"/>
              <w:ind w:firstLine="0" w:firstLineChars="0"/>
              <w:rPr>
                <w:rFonts w:ascii="宋体"/>
                <w:color w:val="auto"/>
                <w:kern w:val="28"/>
                <w:sz w:val="21"/>
                <w:szCs w:val="21"/>
                <w:highlight w:val="none"/>
              </w:rPr>
            </w:pPr>
          </w:p>
        </w:tc>
        <w:tc>
          <w:tcPr>
            <w:tcW w:w="0" w:type="auto"/>
            <w:vMerge w:val="continue"/>
            <w:vAlign w:val="center"/>
          </w:tcPr>
          <w:p>
            <w:pPr>
              <w:adjustRightInd w:val="0"/>
              <w:snapToGrid w:val="0"/>
              <w:spacing w:line="240" w:lineRule="auto"/>
              <w:ind w:firstLine="0" w:firstLineChars="0"/>
              <w:rPr>
                <w:rFonts w:ascii="宋体"/>
                <w:color w:val="auto"/>
                <w:kern w:val="28"/>
                <w:sz w:val="21"/>
                <w:szCs w:val="21"/>
                <w:highlight w:val="none"/>
              </w:rPr>
            </w:pPr>
          </w:p>
        </w:tc>
      </w:tr>
    </w:tbl>
    <w:p>
      <w:pPr>
        <w:adjustRightInd w:val="0"/>
        <w:snapToGrid w:val="0"/>
        <w:spacing w:before="156" w:beforeLines="50"/>
        <w:ind w:firstLine="480"/>
        <w:rPr>
          <w:rFonts w:ascii="宋体"/>
          <w:color w:val="auto"/>
          <w:kern w:val="0"/>
          <w:highlight w:val="none"/>
        </w:rPr>
      </w:pPr>
      <w:r>
        <w:rPr>
          <w:rFonts w:hint="eastAsia" w:ascii="宋体"/>
          <w:color w:val="auto"/>
          <w:kern w:val="0"/>
          <w:highlight w:val="none"/>
        </w:rPr>
        <w:t>(4)</w:t>
      </w:r>
      <w:r>
        <w:rPr>
          <w:rFonts w:ascii="宋体"/>
          <w:color w:val="auto"/>
          <w:kern w:val="0"/>
          <w:highlight w:val="none"/>
        </w:rPr>
        <w:t>成果分析</w:t>
      </w:r>
    </w:p>
    <w:p>
      <w:pPr>
        <w:adjustRightInd w:val="0"/>
        <w:snapToGrid w:val="0"/>
        <w:ind w:firstLine="480"/>
        <w:rPr>
          <w:rFonts w:ascii="宋体"/>
          <w:color w:val="auto"/>
          <w:kern w:val="0"/>
          <w:highlight w:val="none"/>
        </w:rPr>
      </w:pPr>
      <w:r>
        <w:rPr>
          <w:rFonts w:hint="eastAsia" w:ascii="宋体"/>
          <w:color w:val="auto"/>
          <w:kern w:val="0"/>
          <w:highlight w:val="none"/>
        </w:rPr>
        <w:t>出库泵站底板位于强风化细砂岩中，该层承载力较高，工程地质条件较好。</w:t>
      </w:r>
      <w:r>
        <w:rPr>
          <w:rFonts w:ascii="宋体"/>
          <w:color w:val="auto"/>
          <w:kern w:val="0"/>
          <w:highlight w:val="none"/>
        </w:rPr>
        <w:t>根据计算结果，主厂房</w:t>
      </w:r>
      <w:r>
        <w:rPr>
          <w:rFonts w:hint="eastAsia" w:ascii="宋体"/>
          <w:color w:val="auto"/>
          <w:kern w:val="0"/>
          <w:highlight w:val="none"/>
        </w:rPr>
        <w:t>整体稳定满足规范要求，</w:t>
      </w:r>
      <w:r>
        <w:rPr>
          <w:rFonts w:ascii="宋体"/>
          <w:color w:val="auto"/>
          <w:kern w:val="0"/>
          <w:highlight w:val="none"/>
        </w:rPr>
        <w:t>基底应力满足要求，</w:t>
      </w:r>
      <w:r>
        <w:rPr>
          <w:rFonts w:hint="eastAsia" w:ascii="宋体"/>
          <w:color w:val="auto"/>
          <w:kern w:val="0"/>
          <w:highlight w:val="none"/>
        </w:rPr>
        <w:t>抗浮稳定满足规范要求。</w:t>
      </w:r>
    </w:p>
    <w:p>
      <w:pPr>
        <w:pStyle w:val="5"/>
        <w:rPr>
          <w:color w:val="auto"/>
          <w:highlight w:val="none"/>
        </w:rPr>
      </w:pPr>
      <w:r>
        <w:rPr>
          <w:rFonts w:hint="eastAsia"/>
          <w:color w:val="auto"/>
          <w:highlight w:val="none"/>
        </w:rPr>
        <w:t>5.2.6.2水力机械</w:t>
      </w:r>
    </w:p>
    <w:p>
      <w:pPr>
        <w:ind w:firstLine="480"/>
        <w:contextualSpacing/>
        <w:jc w:val="left"/>
        <w:rPr>
          <w:rFonts w:ascii="宋体" w:hAnsi="宋体"/>
          <w:color w:val="auto"/>
          <w:highlight w:val="none"/>
        </w:rPr>
      </w:pPr>
      <w:r>
        <w:rPr>
          <w:rFonts w:hint="eastAsia" w:ascii="宋体" w:hAnsi="宋体"/>
          <w:color w:val="auto"/>
          <w:highlight w:val="none"/>
        </w:rPr>
        <w:t>1、设计参数</w:t>
      </w:r>
    </w:p>
    <w:p>
      <w:pPr>
        <w:ind w:firstLine="480"/>
        <w:contextualSpacing/>
        <w:jc w:val="left"/>
        <w:rPr>
          <w:rFonts w:ascii="宋体" w:hAnsi="宋体"/>
          <w:color w:val="auto"/>
          <w:highlight w:val="none"/>
        </w:rPr>
      </w:pPr>
      <w:r>
        <w:rPr>
          <w:rFonts w:hint="eastAsia" w:ascii="宋体" w:hAnsi="宋体"/>
          <w:color w:val="auto"/>
          <w:highlight w:val="none"/>
        </w:rPr>
        <w:t>工程需设提水泵站向用户供水，设计参数如下：</w:t>
      </w:r>
    </w:p>
    <w:p>
      <w:pPr>
        <w:ind w:firstLine="480"/>
        <w:contextualSpacing/>
        <w:jc w:val="left"/>
        <w:rPr>
          <w:rFonts w:ascii="宋体" w:hAnsi="宋体"/>
          <w:color w:val="auto"/>
          <w:highlight w:val="none"/>
        </w:rPr>
      </w:pPr>
      <w:r>
        <w:rPr>
          <w:rFonts w:ascii="宋体" w:hAnsi="宋体"/>
          <w:color w:val="auto"/>
          <w:highlight w:val="none"/>
        </w:rPr>
        <w:t>进水池水位：最高水位：</w:t>
      </w:r>
      <w:r>
        <w:rPr>
          <w:rFonts w:hint="eastAsia" w:ascii="宋体" w:hAnsi="宋体"/>
          <w:color w:val="auto"/>
          <w:highlight w:val="none"/>
        </w:rPr>
        <w:t>34.5</w:t>
      </w:r>
      <w:r>
        <w:rPr>
          <w:rFonts w:ascii="宋体" w:hAnsi="宋体"/>
          <w:color w:val="auto"/>
          <w:highlight w:val="none"/>
        </w:rPr>
        <w:t>m；最低水位：</w:t>
      </w:r>
      <w:r>
        <w:rPr>
          <w:rFonts w:hint="eastAsia" w:ascii="宋体" w:hAnsi="宋体"/>
          <w:color w:val="auto"/>
          <w:highlight w:val="none"/>
        </w:rPr>
        <w:t>31.05</w:t>
      </w:r>
      <w:r>
        <w:rPr>
          <w:rFonts w:ascii="宋体" w:hAnsi="宋体"/>
          <w:color w:val="auto"/>
          <w:highlight w:val="none"/>
        </w:rPr>
        <w:t>m。</w:t>
      </w:r>
    </w:p>
    <w:p>
      <w:pPr>
        <w:ind w:firstLine="480"/>
        <w:contextualSpacing/>
        <w:jc w:val="left"/>
        <w:rPr>
          <w:rFonts w:ascii="宋体" w:hAnsi="宋体"/>
          <w:color w:val="auto"/>
          <w:highlight w:val="none"/>
        </w:rPr>
      </w:pPr>
      <w:r>
        <w:rPr>
          <w:rFonts w:ascii="宋体" w:hAnsi="宋体"/>
          <w:color w:val="auto"/>
          <w:highlight w:val="none"/>
        </w:rPr>
        <w:t>管道产生的水头损失约为</w:t>
      </w:r>
      <w:r>
        <w:rPr>
          <w:rFonts w:hint="eastAsia" w:ascii="宋体" w:hAnsi="宋体"/>
          <w:color w:val="auto"/>
          <w:highlight w:val="none"/>
        </w:rPr>
        <w:t>41.2</w:t>
      </w:r>
      <w:r>
        <w:rPr>
          <w:rFonts w:ascii="宋体" w:hAnsi="宋体"/>
          <w:color w:val="auto"/>
          <w:highlight w:val="none"/>
        </w:rPr>
        <w:t>m。管道设计流量按</w:t>
      </w:r>
      <w:r>
        <w:rPr>
          <w:rFonts w:hint="eastAsia" w:ascii="宋体" w:hAnsi="宋体"/>
          <w:color w:val="auto"/>
          <w:highlight w:val="none"/>
        </w:rPr>
        <w:t>0.8</w:t>
      </w:r>
      <w:r>
        <w:rPr>
          <w:rFonts w:ascii="宋体" w:hAnsi="宋体"/>
          <w:color w:val="auto"/>
          <w:highlight w:val="none"/>
        </w:rPr>
        <w:t>m³/s。</w:t>
      </w:r>
    </w:p>
    <w:p>
      <w:pPr>
        <w:ind w:firstLine="480"/>
        <w:contextualSpacing/>
        <w:jc w:val="left"/>
        <w:rPr>
          <w:rFonts w:ascii="宋体" w:hAnsi="宋体"/>
          <w:color w:val="auto"/>
          <w:highlight w:val="none"/>
        </w:rPr>
      </w:pPr>
      <w:r>
        <w:rPr>
          <w:rFonts w:hint="eastAsia" w:ascii="宋体" w:hAnsi="宋体"/>
          <w:color w:val="auto"/>
          <w:highlight w:val="none"/>
        </w:rPr>
        <w:t>2、泵站扬程计算</w:t>
      </w:r>
    </w:p>
    <w:p>
      <w:pPr>
        <w:ind w:firstLine="480"/>
        <w:contextualSpacing/>
        <w:jc w:val="left"/>
        <w:rPr>
          <w:rFonts w:ascii="宋体" w:hAnsi="宋体"/>
          <w:color w:val="auto"/>
          <w:highlight w:val="none"/>
        </w:rPr>
      </w:pPr>
      <w:r>
        <w:rPr>
          <w:rFonts w:hint="eastAsia" w:ascii="宋体" w:hAnsi="宋体"/>
          <w:color w:val="auto"/>
          <w:highlight w:val="none"/>
        </w:rPr>
        <w:t>泵站扬程为：80m。</w:t>
      </w:r>
    </w:p>
    <w:p>
      <w:pPr>
        <w:pStyle w:val="5"/>
        <w:rPr>
          <w:color w:val="auto"/>
          <w:highlight w:val="none"/>
        </w:rPr>
      </w:pPr>
      <w:r>
        <w:rPr>
          <w:rFonts w:hint="eastAsia"/>
          <w:color w:val="auto"/>
          <w:highlight w:val="none"/>
        </w:rPr>
        <w:t>5.2.6.3水泵选型</w:t>
      </w:r>
    </w:p>
    <w:p>
      <w:pPr>
        <w:ind w:firstLine="480"/>
        <w:contextualSpacing/>
        <w:jc w:val="left"/>
        <w:rPr>
          <w:rFonts w:ascii="宋体" w:hAnsi="宋体"/>
          <w:color w:val="auto"/>
          <w:highlight w:val="none"/>
        </w:rPr>
      </w:pPr>
      <w:r>
        <w:rPr>
          <w:rFonts w:hint="eastAsia" w:ascii="宋体" w:hAnsi="宋体"/>
          <w:color w:val="auto"/>
          <w:highlight w:val="none"/>
        </w:rPr>
        <w:t>按计算得的扬程及泵站流量选择水泵型号</w:t>
      </w:r>
      <w:r>
        <w:rPr>
          <w:rFonts w:ascii="宋体" w:hAnsi="宋体"/>
          <w:color w:val="auto"/>
          <w:highlight w:val="none"/>
        </w:rPr>
        <w:t>KQW300/710-250/6</w:t>
      </w:r>
      <w:r>
        <w:rPr>
          <w:rFonts w:hint="eastAsia" w:ascii="宋体" w:hAnsi="宋体"/>
          <w:color w:val="auto"/>
          <w:highlight w:val="none"/>
        </w:rPr>
        <w:t xml:space="preserve">。 </w:t>
      </w:r>
    </w:p>
    <w:p>
      <w:pPr>
        <w:pStyle w:val="5"/>
        <w:rPr>
          <w:color w:val="auto"/>
          <w:highlight w:val="none"/>
        </w:rPr>
      </w:pPr>
      <w:r>
        <w:rPr>
          <w:rFonts w:hint="eastAsia"/>
          <w:color w:val="auto"/>
          <w:highlight w:val="none"/>
        </w:rPr>
        <w:t>5.2.6.4设备布置</w:t>
      </w:r>
    </w:p>
    <w:p>
      <w:pPr>
        <w:ind w:firstLine="480"/>
        <w:contextualSpacing/>
        <w:jc w:val="left"/>
        <w:rPr>
          <w:rFonts w:ascii="宋体" w:hAnsi="宋体"/>
          <w:color w:val="auto"/>
          <w:highlight w:val="none"/>
        </w:rPr>
      </w:pPr>
      <w:r>
        <w:rPr>
          <w:rFonts w:hint="eastAsia" w:ascii="宋体" w:hAnsi="宋体"/>
          <w:color w:val="auto"/>
          <w:highlight w:val="none"/>
        </w:rPr>
        <w:t>泵站共安装5台机组，泵站采用单列排列，机组间距4.2</w:t>
      </w:r>
      <w:r>
        <w:rPr>
          <w:rFonts w:ascii="宋体" w:hAnsi="宋体"/>
          <w:color w:val="auto"/>
          <w:highlight w:val="none"/>
        </w:rPr>
        <w:t>m</w:t>
      </w:r>
      <w:r>
        <w:rPr>
          <w:rFonts w:hint="eastAsia" w:ascii="宋体" w:hAnsi="宋体"/>
          <w:color w:val="auto"/>
          <w:highlight w:val="none"/>
        </w:rPr>
        <w:t>。</w:t>
      </w:r>
    </w:p>
    <w:p>
      <w:pPr>
        <w:ind w:firstLine="480"/>
        <w:contextualSpacing/>
        <w:jc w:val="left"/>
        <w:rPr>
          <w:rFonts w:ascii="宋体" w:hAnsi="宋体"/>
          <w:color w:val="auto"/>
          <w:highlight w:val="none"/>
        </w:rPr>
      </w:pPr>
      <w:r>
        <w:rPr>
          <w:rFonts w:hint="eastAsia" w:ascii="宋体" w:hAnsi="宋体"/>
          <w:color w:val="auto"/>
          <w:highlight w:val="none"/>
        </w:rPr>
        <w:t>水泵进水管上设电动碟阀，直径400</w:t>
      </w:r>
      <w:r>
        <w:rPr>
          <w:rFonts w:ascii="宋体" w:hAnsi="宋体"/>
          <w:color w:val="auto"/>
          <w:highlight w:val="none"/>
        </w:rPr>
        <w:t>mm</w:t>
      </w:r>
      <w:r>
        <w:rPr>
          <w:rFonts w:hint="eastAsia" w:ascii="宋体" w:hAnsi="宋体"/>
          <w:color w:val="auto"/>
          <w:highlight w:val="none"/>
        </w:rPr>
        <w:t>，压力1.0Mp</w:t>
      </w:r>
      <w:r>
        <w:rPr>
          <w:rFonts w:ascii="宋体" w:hAnsi="宋体"/>
          <w:color w:val="auto"/>
          <w:highlight w:val="none"/>
        </w:rPr>
        <w:t>a</w:t>
      </w:r>
      <w:r>
        <w:rPr>
          <w:rFonts w:hint="eastAsia" w:ascii="宋体" w:hAnsi="宋体"/>
          <w:color w:val="auto"/>
          <w:highlight w:val="none"/>
        </w:rPr>
        <w:t>，碟阀与水泵间设橡胶减震器。离心水泵需关阀起动，在每台水泵出口设泵站型自动保压液控碟阀和电动碟阀，直径400</w:t>
      </w:r>
      <w:r>
        <w:rPr>
          <w:rFonts w:ascii="宋体" w:hAnsi="宋体"/>
          <w:color w:val="auto"/>
          <w:highlight w:val="none"/>
        </w:rPr>
        <w:t>mm</w:t>
      </w:r>
      <w:r>
        <w:rPr>
          <w:rFonts w:hint="eastAsia" w:ascii="宋体" w:hAnsi="宋体"/>
          <w:color w:val="auto"/>
          <w:highlight w:val="none"/>
        </w:rPr>
        <w:t>，压力1.0Mp</w:t>
      </w:r>
      <w:r>
        <w:rPr>
          <w:rFonts w:ascii="宋体" w:hAnsi="宋体"/>
          <w:color w:val="auto"/>
          <w:highlight w:val="none"/>
        </w:rPr>
        <w:t>a</w:t>
      </w:r>
      <w:r>
        <w:rPr>
          <w:rFonts w:hint="eastAsia" w:ascii="宋体" w:hAnsi="宋体"/>
          <w:color w:val="auto"/>
          <w:highlight w:val="none"/>
        </w:rPr>
        <w:t>。液控碟阀为工作阀门，电动碟阀为检修阀门。液控碟阀能按预定程序实现泵阀联动，能够实现远距离控制，在60</w:t>
      </w:r>
      <w:r>
        <w:rPr>
          <w:rFonts w:ascii="宋体" w:hAnsi="宋体"/>
          <w:color w:val="auto"/>
          <w:highlight w:val="none"/>
        </w:rPr>
        <w:t>s</w:t>
      </w:r>
      <w:r>
        <w:rPr>
          <w:rFonts w:hint="eastAsia" w:ascii="宋体" w:hAnsi="宋体"/>
          <w:color w:val="auto"/>
          <w:highlight w:val="none"/>
        </w:rPr>
        <w:t>内可以根据需要调整关闭时间。特别是在事故停泵时，阀门可自动按预先设定的程序分快、慢两阶段关闭，具有良好的消除水锤效能。</w:t>
      </w:r>
    </w:p>
    <w:p>
      <w:pPr>
        <w:ind w:firstLine="480"/>
        <w:contextualSpacing/>
        <w:jc w:val="left"/>
        <w:rPr>
          <w:rFonts w:ascii="宋体" w:hAnsi="宋体"/>
          <w:color w:val="auto"/>
          <w:highlight w:val="none"/>
        </w:rPr>
      </w:pPr>
      <w:r>
        <w:rPr>
          <w:rFonts w:hint="eastAsia" w:ascii="宋体" w:hAnsi="宋体"/>
          <w:color w:val="auto"/>
          <w:highlight w:val="none"/>
        </w:rPr>
        <w:t>出水管上设传力式伸缩器。5台水泵出水管合并为1根总输水管，总输水管直径DN900mm。在总输水管上设多声道超声波流量计1台，用以测量供水量。</w:t>
      </w:r>
    </w:p>
    <w:p>
      <w:pPr>
        <w:ind w:firstLine="480"/>
        <w:contextualSpacing/>
        <w:jc w:val="left"/>
        <w:rPr>
          <w:rFonts w:ascii="宋体" w:hAnsi="宋体"/>
          <w:color w:val="auto"/>
          <w:highlight w:val="none"/>
        </w:rPr>
      </w:pPr>
      <w:r>
        <w:rPr>
          <w:rFonts w:hint="eastAsia" w:ascii="宋体" w:hAnsi="宋体"/>
          <w:color w:val="auto"/>
          <w:highlight w:val="none"/>
        </w:rPr>
        <w:t>在确定水泵安装高程时，考虑到取水水位水位低于地面较多，水泵配备抽真空装置，这样可以充分利用水泵的吸上性能，提高水泵的安装高程，减少泵站开挖深度。确定水泵安装高程为36.0m（水泵传动轴中心）。水泵在低水位启动时，需要抽真空，真空泵型号为SZB-8，共3台，2用1备。</w:t>
      </w:r>
    </w:p>
    <w:p>
      <w:pPr>
        <w:pStyle w:val="5"/>
        <w:rPr>
          <w:color w:val="auto"/>
          <w:highlight w:val="none"/>
        </w:rPr>
      </w:pPr>
      <w:r>
        <w:rPr>
          <w:rFonts w:hint="eastAsia"/>
          <w:color w:val="auto"/>
          <w:highlight w:val="none"/>
        </w:rPr>
        <w:t>5.2.6.5辅助系统</w:t>
      </w:r>
    </w:p>
    <w:p>
      <w:pPr>
        <w:ind w:firstLine="480"/>
        <w:contextualSpacing/>
        <w:jc w:val="left"/>
        <w:rPr>
          <w:rFonts w:ascii="宋体" w:hAnsi="宋体"/>
          <w:color w:val="auto"/>
          <w:highlight w:val="none"/>
        </w:rPr>
      </w:pPr>
      <w:r>
        <w:rPr>
          <w:rFonts w:hint="eastAsia" w:ascii="宋体" w:hAnsi="宋体"/>
          <w:color w:val="auto"/>
          <w:highlight w:val="none"/>
        </w:rPr>
        <w:t>（1）排水系统</w:t>
      </w:r>
    </w:p>
    <w:p>
      <w:pPr>
        <w:ind w:firstLine="480"/>
        <w:contextualSpacing/>
        <w:jc w:val="left"/>
        <w:rPr>
          <w:rFonts w:ascii="宋体" w:hAnsi="宋体"/>
          <w:color w:val="auto"/>
          <w:highlight w:val="none"/>
        </w:rPr>
      </w:pPr>
      <w:r>
        <w:rPr>
          <w:rFonts w:hint="eastAsia" w:ascii="宋体" w:hAnsi="宋体"/>
          <w:color w:val="auto"/>
          <w:highlight w:val="none"/>
        </w:rPr>
        <w:t>泵站主厂房内设集水井一个，尺寸1.5×1.0×1.5m(长×宽×高)，设排水泵2台，排水泵型号QX-10，流量8.5m</w:t>
      </w:r>
      <w:r>
        <w:rPr>
          <w:rFonts w:hint="eastAsia" w:ascii="宋体" w:hAnsi="宋体"/>
          <w:color w:val="auto"/>
          <w:highlight w:val="none"/>
          <w:vertAlign w:val="superscript"/>
        </w:rPr>
        <w:t>3</w:t>
      </w:r>
      <w:r>
        <w:rPr>
          <w:rFonts w:hint="eastAsia" w:ascii="宋体" w:hAnsi="宋体"/>
          <w:color w:val="auto"/>
          <w:highlight w:val="none"/>
        </w:rPr>
        <w:t>/h，扬程10m，排水泵排水至室外，设YW-67型液位信号器1个，控制排水泵自动开停。主厂房内集水以管件渗漏水为主，水量较小。</w:t>
      </w:r>
    </w:p>
    <w:p>
      <w:pPr>
        <w:ind w:firstLine="480"/>
        <w:contextualSpacing/>
        <w:jc w:val="left"/>
        <w:rPr>
          <w:rFonts w:ascii="宋体" w:hAnsi="宋体"/>
          <w:color w:val="auto"/>
          <w:highlight w:val="none"/>
        </w:rPr>
      </w:pPr>
      <w:r>
        <w:rPr>
          <w:rFonts w:hint="eastAsia" w:ascii="宋体" w:hAnsi="宋体"/>
          <w:color w:val="auto"/>
          <w:highlight w:val="none"/>
        </w:rPr>
        <w:t>（2）起重设备</w:t>
      </w:r>
    </w:p>
    <w:p>
      <w:pPr>
        <w:ind w:firstLine="480"/>
        <w:contextualSpacing/>
        <w:jc w:val="left"/>
        <w:rPr>
          <w:rFonts w:ascii="宋体" w:hAnsi="宋体"/>
          <w:color w:val="auto"/>
          <w:highlight w:val="none"/>
        </w:rPr>
      </w:pPr>
      <w:r>
        <w:rPr>
          <w:rFonts w:hint="eastAsia" w:ascii="宋体" w:hAnsi="宋体"/>
          <w:color w:val="auto"/>
          <w:highlight w:val="none"/>
        </w:rPr>
        <w:t>主厂房内设电动单梁起重机1台，起重量2t，跨度6.5m。</w:t>
      </w:r>
    </w:p>
    <w:p>
      <w:pPr>
        <w:ind w:firstLine="480"/>
        <w:contextualSpacing/>
        <w:jc w:val="left"/>
        <w:rPr>
          <w:rFonts w:ascii="宋体" w:hAnsi="宋体"/>
          <w:color w:val="auto"/>
          <w:highlight w:val="none"/>
        </w:rPr>
      </w:pPr>
      <w:r>
        <w:rPr>
          <w:rFonts w:hint="eastAsia" w:ascii="宋体" w:hAnsi="宋体"/>
          <w:color w:val="auto"/>
          <w:highlight w:val="none"/>
        </w:rPr>
        <w:t>（3）测量系统</w:t>
      </w:r>
    </w:p>
    <w:p>
      <w:pPr>
        <w:ind w:firstLine="480"/>
        <w:contextualSpacing/>
        <w:jc w:val="left"/>
        <w:rPr>
          <w:rFonts w:ascii="宋体" w:hAnsi="宋体"/>
          <w:color w:val="auto"/>
          <w:highlight w:val="none"/>
        </w:rPr>
      </w:pPr>
      <w:r>
        <w:rPr>
          <w:rFonts w:hint="eastAsia" w:ascii="宋体" w:hAnsi="宋体"/>
          <w:color w:val="auto"/>
          <w:highlight w:val="none"/>
        </w:rPr>
        <w:t>每台水泵出口装有压力传感器，可以测定水泵出口压力，并具备远传功能。</w:t>
      </w:r>
    </w:p>
    <w:p>
      <w:pPr>
        <w:ind w:firstLine="480"/>
        <w:contextualSpacing/>
        <w:jc w:val="left"/>
        <w:rPr>
          <w:rFonts w:ascii="宋体" w:hAnsi="宋体"/>
          <w:color w:val="auto"/>
          <w:highlight w:val="none"/>
        </w:rPr>
      </w:pPr>
      <w:r>
        <w:rPr>
          <w:rFonts w:hint="eastAsia" w:ascii="宋体" w:hAnsi="宋体"/>
          <w:color w:val="auto"/>
          <w:highlight w:val="none"/>
        </w:rPr>
        <w:t>在总输水管上设多声道超声波流量计一台，用以测量供水量。口径为DN900</w:t>
      </w:r>
      <w:r>
        <w:rPr>
          <w:rFonts w:ascii="宋体" w:hAnsi="宋体"/>
          <w:color w:val="auto"/>
          <w:highlight w:val="none"/>
        </w:rPr>
        <w:t>mm</w:t>
      </w:r>
      <w:r>
        <w:rPr>
          <w:rFonts w:hint="eastAsia" w:ascii="宋体" w:hAnsi="宋体"/>
          <w:color w:val="auto"/>
          <w:highlight w:val="none"/>
        </w:rPr>
        <w:t>。</w:t>
      </w:r>
    </w:p>
    <w:p>
      <w:pPr>
        <w:pStyle w:val="5"/>
        <w:rPr>
          <w:color w:val="auto"/>
          <w:highlight w:val="none"/>
        </w:rPr>
      </w:pPr>
      <w:r>
        <w:rPr>
          <w:rFonts w:hint="eastAsia"/>
          <w:color w:val="auto"/>
          <w:highlight w:val="none"/>
        </w:rPr>
        <w:t>5.2.6.6主要机电设备表</w:t>
      </w:r>
    </w:p>
    <w:p>
      <w:pPr>
        <w:pStyle w:val="152"/>
        <w:rPr>
          <w:snapToGrid w:val="0"/>
          <w:color w:val="auto"/>
          <w:w w:val="0"/>
          <w:highlight w:val="none"/>
        </w:rPr>
      </w:pPr>
      <w:r>
        <w:rPr>
          <w:rFonts w:hint="eastAsia"/>
          <w:snapToGrid w:val="0"/>
          <w:color w:val="auto"/>
          <w:w w:val="0"/>
          <w:highlight w:val="none"/>
        </w:rPr>
        <w:t>表</w:t>
      </w:r>
      <w:r>
        <w:rPr>
          <w:rFonts w:hint="eastAsia" w:ascii="黑体" w:hAnsi="黑体"/>
          <w:bCs w:val="0"/>
          <w:color w:val="auto"/>
          <w:highlight w:val="none"/>
        </w:rPr>
        <w:t>5.2.6.6</w:t>
      </w:r>
      <w:r>
        <w:rPr>
          <w:rFonts w:hint="eastAsia"/>
          <w:snapToGrid w:val="0"/>
          <w:color w:val="auto"/>
          <w:w w:val="0"/>
          <w:highlight w:val="none"/>
        </w:rPr>
        <w:t>-1              主要机电设备表</w:t>
      </w:r>
    </w:p>
    <w:tbl>
      <w:tblPr>
        <w:tblStyle w:val="33"/>
        <w:tblW w:w="8392" w:type="dxa"/>
        <w:jc w:val="center"/>
        <w:tblLayout w:type="autofit"/>
        <w:tblCellMar>
          <w:top w:w="0" w:type="dxa"/>
          <w:left w:w="0" w:type="dxa"/>
          <w:bottom w:w="0" w:type="dxa"/>
          <w:right w:w="0" w:type="dxa"/>
        </w:tblCellMar>
      </w:tblPr>
      <w:tblGrid>
        <w:gridCol w:w="760"/>
        <w:gridCol w:w="2775"/>
        <w:gridCol w:w="2743"/>
        <w:gridCol w:w="1090"/>
        <w:gridCol w:w="1024"/>
      </w:tblGrid>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Chars="0"/>
              <w:rPr>
                <w:rFonts w:ascii="宋体" w:hAnsi="宋体"/>
                <w:color w:val="auto"/>
                <w:sz w:val="21"/>
                <w:szCs w:val="21"/>
                <w:highlight w:val="none"/>
              </w:rPr>
            </w:pPr>
            <w:r>
              <w:rPr>
                <w:rFonts w:hint="eastAsia" w:ascii="宋体" w:hAnsi="宋体"/>
                <w:color w:val="auto"/>
                <w:sz w:val="21"/>
                <w:szCs w:val="21"/>
                <w:highlight w:val="none"/>
              </w:rPr>
              <w:t>序号序号序号</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名</w:t>
            </w:r>
            <w:r>
              <w:rPr>
                <w:rFonts w:ascii="宋体" w:hAnsi="宋体"/>
                <w:color w:val="auto"/>
                <w:sz w:val="21"/>
                <w:szCs w:val="21"/>
                <w:highlight w:val="none"/>
              </w:rPr>
              <w:t xml:space="preserve">     </w:t>
            </w:r>
            <w:r>
              <w:rPr>
                <w:rFonts w:hint="eastAsia" w:ascii="宋体" w:hAnsi="宋体"/>
                <w:color w:val="auto"/>
                <w:sz w:val="21"/>
                <w:szCs w:val="21"/>
                <w:highlight w:val="none"/>
              </w:rPr>
              <w:t>称</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型</w:t>
            </w:r>
            <w:r>
              <w:rPr>
                <w:rFonts w:ascii="宋体" w:hAnsi="宋体"/>
                <w:color w:val="auto"/>
                <w:sz w:val="21"/>
                <w:szCs w:val="21"/>
                <w:highlight w:val="none"/>
              </w:rPr>
              <w:t xml:space="preserve">         </w:t>
            </w:r>
            <w:r>
              <w:rPr>
                <w:rFonts w:hint="eastAsia" w:ascii="宋体" w:hAnsi="宋体"/>
                <w:color w:val="auto"/>
                <w:sz w:val="21"/>
                <w:szCs w:val="21"/>
                <w:highlight w:val="none"/>
              </w:rPr>
              <w:t>号</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Chars="0"/>
              <w:rPr>
                <w:rFonts w:ascii="宋体" w:hAnsi="宋体"/>
                <w:color w:val="auto"/>
                <w:sz w:val="21"/>
                <w:szCs w:val="21"/>
                <w:highlight w:val="none"/>
              </w:rPr>
            </w:pPr>
            <w:r>
              <w:rPr>
                <w:rFonts w:hint="eastAsia" w:ascii="宋体" w:hAnsi="宋体"/>
                <w:color w:val="auto"/>
                <w:sz w:val="21"/>
                <w:szCs w:val="21"/>
                <w:highlight w:val="none"/>
              </w:rPr>
              <w:t>单位</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Chars="0"/>
              <w:rPr>
                <w:rFonts w:ascii="宋体" w:hAnsi="宋体"/>
                <w:color w:val="auto"/>
                <w:sz w:val="21"/>
                <w:szCs w:val="21"/>
                <w:highlight w:val="none"/>
              </w:rPr>
            </w:pPr>
            <w:r>
              <w:rPr>
                <w:rFonts w:hint="eastAsia" w:ascii="宋体" w:hAnsi="宋体"/>
                <w:color w:val="auto"/>
                <w:sz w:val="21"/>
                <w:szCs w:val="21"/>
                <w:highlight w:val="none"/>
              </w:rPr>
              <w:t>数量</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105" w:firstLineChars="50"/>
              <w:jc w:val="center"/>
              <w:rPr>
                <w:rFonts w:ascii="宋体" w:hAnsi="宋体"/>
                <w:color w:val="auto"/>
                <w:sz w:val="21"/>
                <w:szCs w:val="21"/>
                <w:highlight w:val="none"/>
              </w:rPr>
            </w:pPr>
            <w:r>
              <w:rPr>
                <w:rFonts w:hint="eastAsia" w:ascii="宋体" w:hAnsi="宋体"/>
                <w:color w:val="auto"/>
                <w:sz w:val="21"/>
                <w:szCs w:val="21"/>
                <w:highlight w:val="none"/>
              </w:rPr>
              <w:t>1</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离心泵</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ascii="宋体" w:hAnsi="宋体"/>
                <w:color w:val="auto"/>
                <w:sz w:val="21"/>
                <w:szCs w:val="21"/>
                <w:highlight w:val="none"/>
              </w:rPr>
              <w:t>KQW300/710-250/6</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台</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5</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0" w:firstLineChars="0"/>
              <w:jc w:val="center"/>
              <w:rPr>
                <w:rFonts w:ascii="宋体" w:hAnsi="宋体"/>
                <w:color w:val="auto"/>
                <w:sz w:val="21"/>
                <w:szCs w:val="21"/>
                <w:highlight w:val="none"/>
              </w:rPr>
            </w:pPr>
            <w:r>
              <w:rPr>
                <w:rFonts w:hint="eastAsia" w:ascii="宋体" w:hAnsi="宋体"/>
                <w:color w:val="auto"/>
                <w:sz w:val="21"/>
                <w:szCs w:val="21"/>
                <w:highlight w:val="none"/>
              </w:rPr>
              <w:t xml:space="preserve"> 2</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电动机</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台</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5</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0" w:firstLineChars="0"/>
              <w:jc w:val="center"/>
              <w:rPr>
                <w:rFonts w:ascii="宋体" w:hAnsi="宋体"/>
                <w:color w:val="auto"/>
                <w:sz w:val="21"/>
                <w:szCs w:val="21"/>
                <w:highlight w:val="none"/>
              </w:rPr>
            </w:pPr>
            <w:r>
              <w:rPr>
                <w:rFonts w:hint="eastAsia" w:ascii="宋体" w:hAnsi="宋体"/>
                <w:color w:val="auto"/>
                <w:sz w:val="21"/>
                <w:szCs w:val="21"/>
                <w:highlight w:val="none"/>
              </w:rPr>
              <w:t xml:space="preserve"> 3</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橡胶减震器</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DN300</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台</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5</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0" w:firstLineChars="0"/>
              <w:jc w:val="center"/>
              <w:rPr>
                <w:rFonts w:ascii="宋体" w:hAnsi="宋体"/>
                <w:color w:val="auto"/>
                <w:sz w:val="21"/>
                <w:szCs w:val="21"/>
                <w:highlight w:val="none"/>
              </w:rPr>
            </w:pPr>
            <w:r>
              <w:rPr>
                <w:rFonts w:hint="eastAsia" w:ascii="宋体" w:hAnsi="宋体"/>
                <w:color w:val="auto"/>
                <w:sz w:val="21"/>
                <w:szCs w:val="21"/>
                <w:highlight w:val="none"/>
              </w:rPr>
              <w:t xml:space="preserve"> 4</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橡胶减震器</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DN300</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台</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5</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jc w:val="center"/>
              <w:rPr>
                <w:rFonts w:ascii="宋体" w:hAnsi="宋体"/>
                <w:color w:val="auto"/>
                <w:sz w:val="21"/>
                <w:szCs w:val="21"/>
                <w:highlight w:val="none"/>
              </w:rPr>
            </w:pPr>
            <w:r>
              <w:rPr>
                <w:rFonts w:hint="eastAsia" w:ascii="宋体" w:hAnsi="宋体"/>
                <w:color w:val="auto"/>
                <w:sz w:val="21"/>
                <w:szCs w:val="21"/>
                <w:highlight w:val="none"/>
              </w:rPr>
              <w:t>5</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起重机</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台</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1</w:t>
            </w:r>
          </w:p>
        </w:tc>
      </w:tr>
      <w:tr>
        <w:tblPrEx>
          <w:tblCellMar>
            <w:top w:w="0" w:type="dxa"/>
            <w:left w:w="0" w:type="dxa"/>
            <w:bottom w:w="0" w:type="dxa"/>
            <w:right w:w="0" w:type="dxa"/>
          </w:tblCellMar>
        </w:tblPrEx>
        <w:trPr>
          <w:cantSplit/>
          <w:trHeight w:val="495"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jc w:val="center"/>
              <w:rPr>
                <w:rFonts w:ascii="宋体" w:hAnsi="宋体"/>
                <w:color w:val="auto"/>
                <w:sz w:val="21"/>
                <w:szCs w:val="21"/>
                <w:highlight w:val="none"/>
              </w:rPr>
            </w:pPr>
            <w:r>
              <w:rPr>
                <w:rFonts w:hint="eastAsia" w:ascii="宋体" w:hAnsi="宋体"/>
                <w:color w:val="auto"/>
                <w:sz w:val="21"/>
                <w:szCs w:val="21"/>
                <w:highlight w:val="none"/>
              </w:rPr>
              <w:t>6</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电动蝶阀</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DN400</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台</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10</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jc w:val="center"/>
              <w:rPr>
                <w:rFonts w:ascii="宋体" w:hAnsi="宋体"/>
                <w:color w:val="auto"/>
                <w:sz w:val="21"/>
                <w:szCs w:val="21"/>
                <w:highlight w:val="none"/>
              </w:rPr>
            </w:pPr>
            <w:r>
              <w:rPr>
                <w:rFonts w:hint="eastAsia" w:ascii="宋体" w:hAnsi="宋体"/>
                <w:color w:val="auto"/>
                <w:sz w:val="21"/>
                <w:szCs w:val="21"/>
                <w:highlight w:val="none"/>
              </w:rPr>
              <w:t>7</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液控蝶阀</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台</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5</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jc w:val="center"/>
              <w:rPr>
                <w:rFonts w:ascii="宋体" w:hAnsi="宋体"/>
                <w:color w:val="auto"/>
                <w:sz w:val="21"/>
                <w:szCs w:val="21"/>
                <w:highlight w:val="none"/>
              </w:rPr>
            </w:pPr>
            <w:r>
              <w:rPr>
                <w:rFonts w:hint="eastAsia" w:ascii="宋体" w:hAnsi="宋体"/>
                <w:color w:val="auto"/>
                <w:sz w:val="21"/>
                <w:szCs w:val="21"/>
                <w:highlight w:val="none"/>
              </w:rPr>
              <w:t>8</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传力伸缩器</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DN300</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台</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10</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jc w:val="center"/>
              <w:rPr>
                <w:rFonts w:ascii="宋体" w:hAnsi="宋体"/>
                <w:color w:val="auto"/>
                <w:sz w:val="21"/>
                <w:szCs w:val="21"/>
                <w:highlight w:val="none"/>
              </w:rPr>
            </w:pPr>
            <w:r>
              <w:rPr>
                <w:rFonts w:hint="eastAsia" w:ascii="宋体" w:hAnsi="宋体"/>
                <w:color w:val="auto"/>
                <w:sz w:val="21"/>
                <w:szCs w:val="21"/>
                <w:highlight w:val="none"/>
              </w:rPr>
              <w:t>9</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排水系统</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套</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1</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left="240" w:right="240" w:firstLine="0" w:firstLineChars="0"/>
              <w:jc w:val="center"/>
              <w:rPr>
                <w:rFonts w:ascii="宋体" w:hAnsi="宋体"/>
                <w:color w:val="auto"/>
                <w:sz w:val="21"/>
                <w:szCs w:val="21"/>
                <w:highlight w:val="none"/>
              </w:rPr>
            </w:pPr>
            <w:r>
              <w:rPr>
                <w:rFonts w:hint="eastAsia" w:ascii="宋体" w:hAnsi="宋体"/>
                <w:color w:val="auto"/>
                <w:sz w:val="21"/>
                <w:szCs w:val="21"/>
                <w:highlight w:val="none"/>
              </w:rPr>
              <w:t>10</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0" w:firstLineChars="0"/>
              <w:rPr>
                <w:rFonts w:ascii="宋体" w:hAnsi="宋体"/>
                <w:color w:val="auto"/>
                <w:sz w:val="21"/>
                <w:szCs w:val="21"/>
                <w:highlight w:val="none"/>
              </w:rPr>
            </w:pPr>
            <w:r>
              <w:rPr>
                <w:rFonts w:hint="eastAsia" w:ascii="宋体" w:hAnsi="宋体"/>
                <w:color w:val="auto"/>
                <w:sz w:val="21"/>
                <w:szCs w:val="21"/>
                <w:highlight w:val="none"/>
              </w:rPr>
              <w:t>多声道超声波流量计</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DN900</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套</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1</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left="240" w:right="240" w:firstLine="0" w:firstLineChars="0"/>
              <w:jc w:val="center"/>
              <w:rPr>
                <w:rFonts w:ascii="宋体" w:hAnsi="宋体"/>
                <w:color w:val="auto"/>
                <w:sz w:val="21"/>
                <w:szCs w:val="21"/>
                <w:highlight w:val="none"/>
              </w:rPr>
            </w:pPr>
            <w:r>
              <w:rPr>
                <w:rFonts w:hint="eastAsia" w:ascii="宋体" w:hAnsi="宋体"/>
                <w:color w:val="auto"/>
                <w:sz w:val="21"/>
                <w:szCs w:val="21"/>
                <w:highlight w:val="none"/>
              </w:rPr>
              <w:t>11</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抽真空系统</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套</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3</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left="240" w:right="240" w:firstLine="0" w:firstLineChars="0"/>
              <w:jc w:val="center"/>
              <w:rPr>
                <w:rFonts w:ascii="宋体" w:hAnsi="宋体"/>
                <w:color w:val="auto"/>
                <w:sz w:val="21"/>
                <w:szCs w:val="21"/>
                <w:highlight w:val="none"/>
              </w:rPr>
            </w:pPr>
            <w:r>
              <w:rPr>
                <w:rFonts w:hint="eastAsia" w:ascii="宋体" w:hAnsi="宋体"/>
                <w:color w:val="auto"/>
                <w:sz w:val="21"/>
                <w:szCs w:val="21"/>
                <w:highlight w:val="none"/>
              </w:rPr>
              <w:t>12</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钢管</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DN400</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米</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40</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left="240" w:right="240" w:firstLine="0" w:firstLineChars="0"/>
              <w:jc w:val="center"/>
              <w:rPr>
                <w:rFonts w:ascii="宋体" w:hAnsi="宋体"/>
                <w:color w:val="auto"/>
                <w:sz w:val="21"/>
                <w:szCs w:val="21"/>
                <w:highlight w:val="none"/>
              </w:rPr>
            </w:pPr>
            <w:r>
              <w:rPr>
                <w:rFonts w:hint="eastAsia" w:ascii="宋体" w:hAnsi="宋体"/>
                <w:color w:val="auto"/>
                <w:sz w:val="21"/>
                <w:szCs w:val="21"/>
                <w:highlight w:val="none"/>
              </w:rPr>
              <w:t>13</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钢管</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DN900</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米</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50</w:t>
            </w:r>
          </w:p>
        </w:tc>
      </w:tr>
    </w:tbl>
    <w:p>
      <w:pPr>
        <w:pStyle w:val="4"/>
        <w:rPr>
          <w:rFonts w:hint="eastAsia"/>
          <w:color w:val="auto"/>
          <w:highlight w:val="none"/>
        </w:rPr>
      </w:pPr>
      <w:r>
        <w:rPr>
          <w:rFonts w:hint="eastAsia"/>
          <w:color w:val="auto"/>
          <w:highlight w:val="none"/>
        </w:rPr>
        <w:t>5.2.7</w:t>
      </w:r>
      <w:r>
        <w:rPr>
          <w:rFonts w:hint="eastAsia"/>
          <w:color w:val="auto"/>
          <w:highlight w:val="none"/>
          <w:lang w:val="en-US" w:eastAsia="zh-CN"/>
        </w:rPr>
        <w:t>上刘庄扬水站</w:t>
      </w:r>
    </w:p>
    <w:p>
      <w:pPr>
        <w:ind w:firstLine="480"/>
        <w:rPr>
          <w:rFonts w:ascii="宋体" w:hAnsi="宋体"/>
          <w:color w:val="auto"/>
          <w:highlight w:val="none"/>
        </w:rPr>
      </w:pPr>
      <w:r>
        <w:rPr>
          <w:rFonts w:hint="eastAsia"/>
          <w:color w:val="auto"/>
          <w:highlight w:val="none"/>
          <w:lang w:val="en-US" w:eastAsia="zh-CN"/>
        </w:rPr>
        <w:t>上刘庄扬水站为加压泵站，位于</w:t>
      </w:r>
      <w:r>
        <w:rPr>
          <w:rFonts w:hint="eastAsia"/>
          <w:color w:val="auto"/>
          <w:highlight w:val="none"/>
          <w:lang w:eastAsia="zh-CN"/>
        </w:rPr>
        <w:t>上刘庄</w:t>
      </w:r>
      <w:r>
        <w:rPr>
          <w:rFonts w:hint="eastAsia"/>
          <w:color w:val="auto"/>
          <w:highlight w:val="none"/>
        </w:rPr>
        <w:t>村东，</w:t>
      </w:r>
      <w:r>
        <w:rPr>
          <w:rFonts w:ascii="宋体" w:hAnsi="宋体"/>
          <w:color w:val="auto"/>
          <w:highlight w:val="none"/>
        </w:rPr>
        <w:t>新建</w:t>
      </w:r>
      <w:r>
        <w:rPr>
          <w:rFonts w:hint="eastAsia" w:ascii="宋体" w:hAnsi="宋体"/>
          <w:color w:val="auto"/>
          <w:highlight w:val="none"/>
        </w:rPr>
        <w:t>提水</w:t>
      </w:r>
      <w:r>
        <w:rPr>
          <w:rFonts w:ascii="宋体" w:hAnsi="宋体"/>
          <w:color w:val="auto"/>
          <w:highlight w:val="none"/>
        </w:rPr>
        <w:t>泵站流量</w:t>
      </w:r>
      <w:r>
        <w:rPr>
          <w:rFonts w:hint="eastAsia" w:ascii="宋体" w:hAnsi="宋体"/>
          <w:color w:val="auto"/>
          <w:highlight w:val="none"/>
        </w:rPr>
        <w:t>0.8m³/s</w:t>
      </w:r>
      <w:r>
        <w:rPr>
          <w:rFonts w:ascii="宋体" w:hAnsi="宋体"/>
          <w:color w:val="auto"/>
          <w:highlight w:val="none"/>
        </w:rPr>
        <w:t>，选用</w:t>
      </w:r>
      <w:r>
        <w:rPr>
          <w:rFonts w:hint="eastAsia" w:ascii="宋体" w:hAnsi="宋体"/>
          <w:color w:val="auto"/>
          <w:highlight w:val="none"/>
        </w:rPr>
        <w:t>5台</w:t>
      </w:r>
      <w:r>
        <w:rPr>
          <w:rFonts w:ascii="宋体" w:hAnsi="宋体"/>
          <w:color w:val="auto"/>
          <w:highlight w:val="none"/>
        </w:rPr>
        <w:t>离心泵，</w:t>
      </w:r>
      <w:r>
        <w:rPr>
          <w:rFonts w:hint="eastAsia" w:ascii="宋体" w:hAnsi="宋体"/>
          <w:color w:val="auto"/>
          <w:highlight w:val="none"/>
        </w:rPr>
        <w:t>4用1</w:t>
      </w:r>
      <w:r>
        <w:rPr>
          <w:rFonts w:ascii="宋体" w:hAnsi="宋体"/>
          <w:color w:val="auto"/>
          <w:highlight w:val="none"/>
        </w:rPr>
        <w:t>备。沿水流方向依次包括泵室主副厂房等泵站主体工程和机组设备、输配电系统等。</w:t>
      </w:r>
    </w:p>
    <w:p>
      <w:pPr>
        <w:pStyle w:val="5"/>
        <w:rPr>
          <w:color w:val="auto"/>
          <w:highlight w:val="none"/>
        </w:rPr>
      </w:pPr>
      <w:r>
        <w:rPr>
          <w:rFonts w:hint="eastAsia"/>
          <w:color w:val="auto"/>
          <w:highlight w:val="none"/>
        </w:rPr>
        <w:t>5.2.7.1提水泵站结构设计</w:t>
      </w:r>
    </w:p>
    <w:p>
      <w:pPr>
        <w:ind w:firstLine="480"/>
        <w:rPr>
          <w:rFonts w:ascii="宋体" w:hAnsi="宋体"/>
          <w:color w:val="auto"/>
          <w:highlight w:val="none"/>
        </w:rPr>
      </w:pPr>
      <w:r>
        <w:rPr>
          <w:rFonts w:ascii="宋体" w:hAnsi="宋体"/>
          <w:color w:val="auto"/>
          <w:highlight w:val="none"/>
        </w:rPr>
        <w:t>主厂房顺水流向长度</w:t>
      </w:r>
      <w:r>
        <w:rPr>
          <w:rFonts w:hint="eastAsia" w:ascii="宋体" w:hAnsi="宋体"/>
          <w:color w:val="auto"/>
          <w:highlight w:val="none"/>
        </w:rPr>
        <w:t>8</w:t>
      </w:r>
      <w:r>
        <w:rPr>
          <w:rFonts w:ascii="宋体" w:hAnsi="宋体"/>
          <w:color w:val="auto"/>
          <w:highlight w:val="none"/>
        </w:rPr>
        <w:t>.7m，垂直水流向宽度</w:t>
      </w:r>
      <w:r>
        <w:rPr>
          <w:rFonts w:hint="eastAsia" w:ascii="宋体" w:hAnsi="宋体"/>
          <w:color w:val="auto"/>
          <w:highlight w:val="none"/>
        </w:rPr>
        <w:t>29.8</w:t>
      </w:r>
      <w:r>
        <w:rPr>
          <w:rFonts w:ascii="宋体" w:hAnsi="宋体"/>
          <w:color w:val="auto"/>
          <w:highlight w:val="none"/>
        </w:rPr>
        <w:t>mm。</w:t>
      </w:r>
      <w:r>
        <w:rPr>
          <w:rFonts w:ascii="宋体" w:hAnsi="宋体"/>
          <w:color w:val="auto"/>
          <w:kern w:val="0"/>
          <w:highlight w:val="none"/>
        </w:rPr>
        <w:t>选</w:t>
      </w:r>
      <w:r>
        <w:rPr>
          <w:rFonts w:hint="eastAsia" w:ascii="宋体" w:hAnsi="宋体"/>
          <w:color w:val="auto"/>
          <w:kern w:val="0"/>
          <w:highlight w:val="none"/>
        </w:rPr>
        <w:t>用离</w:t>
      </w:r>
      <w:r>
        <w:rPr>
          <w:rFonts w:hint="eastAsia" w:ascii="宋体" w:hAnsi="宋体"/>
          <w:color w:val="auto"/>
          <w:highlight w:val="none"/>
        </w:rPr>
        <w:t>心泵</w:t>
      </w:r>
      <w:r>
        <w:rPr>
          <w:rFonts w:ascii="宋体" w:hAnsi="宋体"/>
          <w:color w:val="auto"/>
          <w:kern w:val="0"/>
          <w:highlight w:val="none"/>
        </w:rPr>
        <w:t>，共</w:t>
      </w:r>
      <w:r>
        <w:rPr>
          <w:rFonts w:hint="eastAsia" w:ascii="宋体" w:hAnsi="宋体"/>
          <w:color w:val="auto"/>
          <w:kern w:val="0"/>
          <w:highlight w:val="none"/>
        </w:rPr>
        <w:t>5台</w:t>
      </w:r>
      <w:r>
        <w:rPr>
          <w:rFonts w:ascii="宋体" w:hAnsi="宋体"/>
          <w:color w:val="auto"/>
          <w:kern w:val="0"/>
          <w:highlight w:val="none"/>
        </w:rPr>
        <w:t>，其中备用</w:t>
      </w:r>
      <w:r>
        <w:rPr>
          <w:rFonts w:hint="eastAsia" w:ascii="宋体" w:hAnsi="宋体"/>
          <w:color w:val="auto"/>
          <w:kern w:val="0"/>
          <w:highlight w:val="none"/>
        </w:rPr>
        <w:t>1</w:t>
      </w:r>
      <w:r>
        <w:rPr>
          <w:rFonts w:ascii="宋体" w:hAnsi="宋体"/>
          <w:color w:val="auto"/>
          <w:kern w:val="0"/>
          <w:highlight w:val="none"/>
        </w:rPr>
        <w:t>台，设计扬程</w:t>
      </w:r>
      <w:r>
        <w:rPr>
          <w:rFonts w:hint="eastAsia" w:ascii="宋体" w:hAnsi="宋体"/>
          <w:color w:val="auto"/>
          <w:kern w:val="0"/>
          <w:highlight w:val="none"/>
        </w:rPr>
        <w:t>80</w:t>
      </w:r>
      <w:r>
        <w:rPr>
          <w:rFonts w:ascii="宋体" w:hAnsi="宋体"/>
          <w:color w:val="auto"/>
          <w:kern w:val="0"/>
          <w:highlight w:val="none"/>
        </w:rPr>
        <w:t>m，单机流量</w:t>
      </w:r>
      <w:r>
        <w:rPr>
          <w:rFonts w:hint="eastAsia" w:ascii="宋体" w:hAnsi="宋体"/>
          <w:color w:val="auto"/>
          <w:kern w:val="0"/>
          <w:highlight w:val="none"/>
        </w:rPr>
        <w:t>0.2</w:t>
      </w:r>
      <w:r>
        <w:rPr>
          <w:rFonts w:ascii="宋体" w:hAnsi="宋体"/>
          <w:color w:val="auto"/>
          <w:kern w:val="0"/>
          <w:highlight w:val="none"/>
        </w:rPr>
        <w:t>m</w:t>
      </w:r>
      <w:r>
        <w:rPr>
          <w:rFonts w:ascii="宋体" w:hAnsi="宋体"/>
          <w:color w:val="auto"/>
          <w:kern w:val="0"/>
          <w:highlight w:val="none"/>
          <w:vertAlign w:val="superscript"/>
        </w:rPr>
        <w:t>3</w:t>
      </w:r>
      <w:r>
        <w:rPr>
          <w:rFonts w:ascii="宋体" w:hAnsi="宋体"/>
          <w:color w:val="auto"/>
          <w:kern w:val="0"/>
          <w:highlight w:val="none"/>
        </w:rPr>
        <w:t>/s，水泵配套功率</w:t>
      </w:r>
      <w:r>
        <w:rPr>
          <w:rFonts w:hint="eastAsia" w:ascii="宋体" w:hAnsi="宋体"/>
          <w:color w:val="auto"/>
          <w:kern w:val="0"/>
          <w:highlight w:val="none"/>
        </w:rPr>
        <w:t>250</w:t>
      </w:r>
      <w:r>
        <w:rPr>
          <w:rFonts w:ascii="宋体" w:hAnsi="宋体"/>
          <w:color w:val="auto"/>
          <w:kern w:val="0"/>
          <w:highlight w:val="none"/>
        </w:rPr>
        <w:t>kW，总装机容量</w:t>
      </w:r>
      <w:r>
        <w:rPr>
          <w:rFonts w:hint="eastAsia" w:ascii="宋体" w:hAnsi="宋体"/>
          <w:color w:val="auto"/>
          <w:kern w:val="0"/>
          <w:highlight w:val="none"/>
        </w:rPr>
        <w:t>1000</w:t>
      </w:r>
      <w:r>
        <w:rPr>
          <w:rFonts w:ascii="宋体" w:hAnsi="宋体"/>
          <w:color w:val="auto"/>
          <w:kern w:val="0"/>
          <w:highlight w:val="none"/>
        </w:rPr>
        <w:t>kW。机组呈一字型排列，机组间距4.</w:t>
      </w:r>
      <w:r>
        <w:rPr>
          <w:rFonts w:hint="eastAsia" w:ascii="宋体" w:hAnsi="宋体"/>
          <w:color w:val="auto"/>
          <w:kern w:val="0"/>
          <w:highlight w:val="none"/>
        </w:rPr>
        <w:t>2</w:t>
      </w:r>
      <w:r>
        <w:rPr>
          <w:rFonts w:ascii="宋体" w:hAnsi="宋体"/>
          <w:color w:val="auto"/>
          <w:kern w:val="0"/>
          <w:highlight w:val="none"/>
        </w:rPr>
        <w:t>0m。</w:t>
      </w:r>
      <w:r>
        <w:rPr>
          <w:rFonts w:ascii="宋体" w:hAnsi="宋体"/>
          <w:color w:val="auto"/>
          <w:highlight w:val="none"/>
        </w:rPr>
        <w:t>泵房建筑面积</w:t>
      </w:r>
      <w:r>
        <w:rPr>
          <w:rFonts w:hint="eastAsia" w:ascii="宋体" w:hAnsi="宋体"/>
          <w:color w:val="auto"/>
          <w:highlight w:val="none"/>
        </w:rPr>
        <w:t>268</w:t>
      </w:r>
      <w:r>
        <w:rPr>
          <w:rFonts w:ascii="宋体" w:hAnsi="宋体"/>
          <w:color w:val="auto"/>
          <w:highlight w:val="none"/>
        </w:rPr>
        <w:t>m</w:t>
      </w:r>
      <w:r>
        <w:rPr>
          <w:rFonts w:ascii="宋体" w:hAnsi="宋体"/>
          <w:color w:val="auto"/>
          <w:highlight w:val="none"/>
          <w:vertAlign w:val="superscript"/>
        </w:rPr>
        <w:t>2</w:t>
      </w:r>
      <w:r>
        <w:rPr>
          <w:rFonts w:ascii="宋体" w:hAnsi="宋体"/>
          <w:color w:val="auto"/>
          <w:highlight w:val="none"/>
        </w:rPr>
        <w:t>。副厂房布置在泵房右侧，包括35KV高压配电室、10KV高压配电室、0.4KV低压配电室、中控室、保护室、通信室等。副厂房建筑面积</w:t>
      </w:r>
      <w:r>
        <w:rPr>
          <w:rFonts w:hint="eastAsia" w:ascii="宋体" w:hAnsi="宋体"/>
          <w:color w:val="auto"/>
          <w:highlight w:val="none"/>
        </w:rPr>
        <w:t>242</w:t>
      </w:r>
      <w:r>
        <w:rPr>
          <w:rFonts w:ascii="宋体" w:hAnsi="宋体"/>
          <w:color w:val="auto"/>
          <w:highlight w:val="none"/>
        </w:rPr>
        <w:t>m</w:t>
      </w:r>
      <w:r>
        <w:rPr>
          <w:rFonts w:ascii="宋体" w:hAnsi="宋体"/>
          <w:color w:val="auto"/>
          <w:highlight w:val="none"/>
          <w:vertAlign w:val="superscript"/>
        </w:rPr>
        <w:t>2</w:t>
      </w:r>
      <w:r>
        <w:rPr>
          <w:rFonts w:ascii="宋体" w:hAnsi="宋体"/>
          <w:color w:val="auto"/>
          <w:highlight w:val="none"/>
        </w:rPr>
        <w:t>。</w:t>
      </w:r>
    </w:p>
    <w:p>
      <w:pPr>
        <w:pStyle w:val="5"/>
        <w:rPr>
          <w:color w:val="auto"/>
          <w:highlight w:val="none"/>
        </w:rPr>
      </w:pPr>
      <w:r>
        <w:rPr>
          <w:rFonts w:hint="eastAsia"/>
          <w:color w:val="auto"/>
          <w:highlight w:val="none"/>
        </w:rPr>
        <w:t>5.2.7.2水力机械</w:t>
      </w:r>
    </w:p>
    <w:p>
      <w:pPr>
        <w:ind w:firstLine="480"/>
        <w:contextualSpacing/>
        <w:jc w:val="left"/>
        <w:rPr>
          <w:rFonts w:ascii="宋体" w:hAnsi="宋体"/>
          <w:color w:val="auto"/>
          <w:highlight w:val="none"/>
        </w:rPr>
      </w:pPr>
      <w:r>
        <w:rPr>
          <w:rFonts w:hint="eastAsia" w:ascii="宋体" w:hAnsi="宋体"/>
          <w:color w:val="auto"/>
          <w:highlight w:val="none"/>
        </w:rPr>
        <w:t>1、设计参数</w:t>
      </w:r>
    </w:p>
    <w:p>
      <w:pPr>
        <w:ind w:firstLine="480"/>
        <w:contextualSpacing/>
        <w:jc w:val="left"/>
        <w:rPr>
          <w:rFonts w:ascii="宋体" w:hAnsi="宋体"/>
          <w:color w:val="auto"/>
          <w:highlight w:val="none"/>
        </w:rPr>
      </w:pPr>
      <w:r>
        <w:rPr>
          <w:rFonts w:hint="eastAsia" w:ascii="宋体" w:hAnsi="宋体"/>
          <w:color w:val="auto"/>
          <w:highlight w:val="none"/>
        </w:rPr>
        <w:t>工程需设提水泵站向用户供水，设计参数如下：</w:t>
      </w:r>
    </w:p>
    <w:p>
      <w:pPr>
        <w:ind w:firstLine="480"/>
        <w:contextualSpacing/>
        <w:jc w:val="left"/>
        <w:rPr>
          <w:rFonts w:ascii="宋体" w:hAnsi="宋体"/>
          <w:color w:val="auto"/>
          <w:highlight w:val="none"/>
        </w:rPr>
      </w:pPr>
      <w:r>
        <w:rPr>
          <w:rFonts w:hint="eastAsia" w:ascii="宋体" w:hAnsi="宋体"/>
          <w:color w:val="auto"/>
          <w:highlight w:val="none"/>
        </w:rPr>
        <w:t>入泵</w:t>
      </w:r>
      <w:r>
        <w:rPr>
          <w:rFonts w:ascii="宋体" w:hAnsi="宋体"/>
          <w:color w:val="auto"/>
          <w:highlight w:val="none"/>
        </w:rPr>
        <w:t>最高</w:t>
      </w:r>
      <w:r>
        <w:rPr>
          <w:rFonts w:hint="eastAsia" w:ascii="宋体" w:hAnsi="宋体"/>
          <w:color w:val="auto"/>
          <w:highlight w:val="none"/>
        </w:rPr>
        <w:t>水压标高</w:t>
      </w:r>
      <w:r>
        <w:rPr>
          <w:rFonts w:ascii="宋体" w:hAnsi="宋体"/>
          <w:color w:val="auto"/>
          <w:highlight w:val="none"/>
        </w:rPr>
        <w:t>：</w:t>
      </w:r>
      <w:r>
        <w:rPr>
          <w:rFonts w:hint="eastAsia" w:ascii="宋体" w:hAnsi="宋体"/>
          <w:color w:val="auto"/>
          <w:highlight w:val="none"/>
        </w:rPr>
        <w:t>89</w:t>
      </w:r>
      <w:r>
        <w:rPr>
          <w:rFonts w:ascii="宋体" w:hAnsi="宋体"/>
          <w:color w:val="auto"/>
          <w:highlight w:val="none"/>
        </w:rPr>
        <w:t>m；最低</w:t>
      </w:r>
      <w:r>
        <w:rPr>
          <w:rFonts w:hint="eastAsia" w:ascii="宋体" w:hAnsi="宋体"/>
          <w:color w:val="auto"/>
          <w:highlight w:val="none"/>
        </w:rPr>
        <w:t>水压标高</w:t>
      </w:r>
      <w:r>
        <w:rPr>
          <w:rFonts w:ascii="宋体" w:hAnsi="宋体"/>
          <w:color w:val="auto"/>
          <w:highlight w:val="none"/>
        </w:rPr>
        <w:t>：</w:t>
      </w:r>
      <w:r>
        <w:rPr>
          <w:rFonts w:hint="eastAsia" w:ascii="宋体" w:hAnsi="宋体"/>
          <w:color w:val="auto"/>
          <w:highlight w:val="none"/>
        </w:rPr>
        <w:t>74</w:t>
      </w:r>
      <w:r>
        <w:rPr>
          <w:rFonts w:ascii="宋体" w:hAnsi="宋体"/>
          <w:color w:val="auto"/>
          <w:highlight w:val="none"/>
        </w:rPr>
        <w:t>m。</w:t>
      </w:r>
    </w:p>
    <w:p>
      <w:pPr>
        <w:ind w:firstLine="480"/>
        <w:contextualSpacing/>
        <w:jc w:val="left"/>
        <w:rPr>
          <w:rFonts w:ascii="宋体" w:hAnsi="宋体"/>
          <w:color w:val="auto"/>
          <w:highlight w:val="none"/>
        </w:rPr>
      </w:pPr>
      <w:r>
        <w:rPr>
          <w:rFonts w:ascii="宋体" w:hAnsi="宋体"/>
          <w:color w:val="auto"/>
          <w:highlight w:val="none"/>
        </w:rPr>
        <w:t>管道产生的水头损失约为</w:t>
      </w:r>
      <w:r>
        <w:rPr>
          <w:rFonts w:hint="eastAsia" w:ascii="宋体" w:hAnsi="宋体"/>
          <w:color w:val="auto"/>
          <w:highlight w:val="none"/>
        </w:rPr>
        <w:t>15.0</w:t>
      </w:r>
      <w:r>
        <w:rPr>
          <w:rFonts w:ascii="宋体" w:hAnsi="宋体"/>
          <w:color w:val="auto"/>
          <w:highlight w:val="none"/>
        </w:rPr>
        <w:t>m。管道设计流量按</w:t>
      </w:r>
      <w:r>
        <w:rPr>
          <w:rFonts w:hint="eastAsia" w:ascii="宋体" w:hAnsi="宋体"/>
          <w:color w:val="auto"/>
          <w:highlight w:val="none"/>
        </w:rPr>
        <w:t>0.8</w:t>
      </w:r>
      <w:r>
        <w:rPr>
          <w:rFonts w:ascii="宋体" w:hAnsi="宋体"/>
          <w:color w:val="auto"/>
          <w:highlight w:val="none"/>
        </w:rPr>
        <w:t>m³/s。</w:t>
      </w:r>
    </w:p>
    <w:p>
      <w:pPr>
        <w:ind w:firstLine="480"/>
        <w:contextualSpacing/>
        <w:jc w:val="left"/>
        <w:rPr>
          <w:rFonts w:ascii="宋体" w:hAnsi="宋体"/>
          <w:color w:val="auto"/>
          <w:highlight w:val="none"/>
        </w:rPr>
      </w:pPr>
      <w:r>
        <w:rPr>
          <w:rFonts w:hint="eastAsia" w:ascii="宋体" w:hAnsi="宋体"/>
          <w:color w:val="auto"/>
          <w:highlight w:val="none"/>
        </w:rPr>
        <w:t>2、泵站扬程计算</w:t>
      </w:r>
    </w:p>
    <w:p>
      <w:pPr>
        <w:ind w:firstLine="480"/>
        <w:contextualSpacing/>
        <w:jc w:val="left"/>
        <w:rPr>
          <w:rFonts w:ascii="宋体" w:hAnsi="宋体"/>
          <w:color w:val="auto"/>
          <w:highlight w:val="none"/>
        </w:rPr>
      </w:pPr>
      <w:r>
        <w:rPr>
          <w:rFonts w:hint="eastAsia" w:ascii="宋体" w:hAnsi="宋体"/>
          <w:color w:val="auto"/>
          <w:highlight w:val="none"/>
        </w:rPr>
        <w:t>泵站扬程为：80m。</w:t>
      </w:r>
    </w:p>
    <w:p>
      <w:pPr>
        <w:pStyle w:val="5"/>
        <w:rPr>
          <w:color w:val="auto"/>
          <w:highlight w:val="none"/>
        </w:rPr>
      </w:pPr>
      <w:r>
        <w:rPr>
          <w:rFonts w:hint="eastAsia"/>
          <w:color w:val="auto"/>
          <w:highlight w:val="none"/>
        </w:rPr>
        <w:t>5.2.7.3水泵选型</w:t>
      </w:r>
    </w:p>
    <w:p>
      <w:pPr>
        <w:ind w:firstLine="480"/>
        <w:contextualSpacing/>
        <w:jc w:val="left"/>
        <w:rPr>
          <w:rFonts w:ascii="宋体" w:hAnsi="宋体"/>
          <w:color w:val="auto"/>
          <w:highlight w:val="none"/>
        </w:rPr>
      </w:pPr>
      <w:r>
        <w:rPr>
          <w:rFonts w:hint="eastAsia" w:ascii="宋体" w:hAnsi="宋体"/>
          <w:color w:val="auto"/>
          <w:highlight w:val="none"/>
        </w:rPr>
        <w:t>按计算得的扬程及泵站流量选择水泵型号</w:t>
      </w:r>
      <w:r>
        <w:rPr>
          <w:rFonts w:ascii="宋体" w:hAnsi="宋体"/>
          <w:color w:val="auto"/>
          <w:highlight w:val="none"/>
        </w:rPr>
        <w:t>KQW300/710-250/6</w:t>
      </w:r>
      <w:r>
        <w:rPr>
          <w:rFonts w:hint="eastAsia" w:ascii="宋体" w:hAnsi="宋体"/>
          <w:color w:val="auto"/>
          <w:highlight w:val="none"/>
        </w:rPr>
        <w:t xml:space="preserve">。 </w:t>
      </w:r>
    </w:p>
    <w:p>
      <w:pPr>
        <w:pStyle w:val="5"/>
        <w:rPr>
          <w:color w:val="auto"/>
          <w:highlight w:val="none"/>
        </w:rPr>
      </w:pPr>
      <w:r>
        <w:rPr>
          <w:rFonts w:hint="eastAsia"/>
          <w:color w:val="auto"/>
          <w:highlight w:val="none"/>
        </w:rPr>
        <w:t>5.2.7.4设备布置</w:t>
      </w:r>
    </w:p>
    <w:p>
      <w:pPr>
        <w:ind w:firstLine="480"/>
        <w:contextualSpacing/>
        <w:jc w:val="left"/>
        <w:rPr>
          <w:rFonts w:ascii="宋体" w:hAnsi="宋体"/>
          <w:color w:val="auto"/>
          <w:highlight w:val="none"/>
        </w:rPr>
      </w:pPr>
      <w:r>
        <w:rPr>
          <w:rFonts w:hint="eastAsia" w:ascii="宋体" w:hAnsi="宋体"/>
          <w:color w:val="auto"/>
          <w:highlight w:val="none"/>
        </w:rPr>
        <w:t>泵站共安装5台机组，泵站采用单列排列，机组间距4.2</w:t>
      </w:r>
      <w:r>
        <w:rPr>
          <w:rFonts w:ascii="宋体" w:hAnsi="宋体"/>
          <w:color w:val="auto"/>
          <w:highlight w:val="none"/>
        </w:rPr>
        <w:t>m</w:t>
      </w:r>
      <w:r>
        <w:rPr>
          <w:rFonts w:hint="eastAsia" w:ascii="宋体" w:hAnsi="宋体"/>
          <w:color w:val="auto"/>
          <w:highlight w:val="none"/>
        </w:rPr>
        <w:t>。</w:t>
      </w:r>
    </w:p>
    <w:p>
      <w:pPr>
        <w:ind w:firstLine="480"/>
        <w:contextualSpacing/>
        <w:jc w:val="left"/>
        <w:rPr>
          <w:rFonts w:ascii="宋体" w:hAnsi="宋体"/>
          <w:color w:val="auto"/>
          <w:highlight w:val="none"/>
        </w:rPr>
      </w:pPr>
      <w:r>
        <w:rPr>
          <w:rFonts w:hint="eastAsia" w:ascii="宋体" w:hAnsi="宋体"/>
          <w:color w:val="auto"/>
          <w:highlight w:val="none"/>
        </w:rPr>
        <w:t>水泵进水管上设电动碟阀，直径400</w:t>
      </w:r>
      <w:r>
        <w:rPr>
          <w:rFonts w:ascii="宋体" w:hAnsi="宋体"/>
          <w:color w:val="auto"/>
          <w:highlight w:val="none"/>
        </w:rPr>
        <w:t>mm</w:t>
      </w:r>
      <w:r>
        <w:rPr>
          <w:rFonts w:hint="eastAsia" w:ascii="宋体" w:hAnsi="宋体"/>
          <w:color w:val="auto"/>
          <w:highlight w:val="none"/>
        </w:rPr>
        <w:t>，压力1.0Mp</w:t>
      </w:r>
      <w:r>
        <w:rPr>
          <w:rFonts w:ascii="宋体" w:hAnsi="宋体"/>
          <w:color w:val="auto"/>
          <w:highlight w:val="none"/>
        </w:rPr>
        <w:t>a</w:t>
      </w:r>
      <w:r>
        <w:rPr>
          <w:rFonts w:hint="eastAsia" w:ascii="宋体" w:hAnsi="宋体"/>
          <w:color w:val="auto"/>
          <w:highlight w:val="none"/>
        </w:rPr>
        <w:t>，碟阀与水泵间设橡胶减震器。离心水泵需关阀起动，在每台水泵出口设泵站型自动保压液控碟阀和电动碟阀，直径400</w:t>
      </w:r>
      <w:r>
        <w:rPr>
          <w:rFonts w:ascii="宋体" w:hAnsi="宋体"/>
          <w:color w:val="auto"/>
          <w:highlight w:val="none"/>
        </w:rPr>
        <w:t>mm</w:t>
      </w:r>
      <w:r>
        <w:rPr>
          <w:rFonts w:hint="eastAsia" w:ascii="宋体" w:hAnsi="宋体"/>
          <w:color w:val="auto"/>
          <w:highlight w:val="none"/>
        </w:rPr>
        <w:t>，压力1.0Mp</w:t>
      </w:r>
      <w:r>
        <w:rPr>
          <w:rFonts w:ascii="宋体" w:hAnsi="宋体"/>
          <w:color w:val="auto"/>
          <w:highlight w:val="none"/>
        </w:rPr>
        <w:t>a</w:t>
      </w:r>
      <w:r>
        <w:rPr>
          <w:rFonts w:hint="eastAsia" w:ascii="宋体" w:hAnsi="宋体"/>
          <w:color w:val="auto"/>
          <w:highlight w:val="none"/>
        </w:rPr>
        <w:t>。液控碟阀为工作阀门，电动碟阀为检修阀门。液控碟阀能按预定程序实现泵阀联动，能够实现远距离控制，在60</w:t>
      </w:r>
      <w:r>
        <w:rPr>
          <w:rFonts w:ascii="宋体" w:hAnsi="宋体"/>
          <w:color w:val="auto"/>
          <w:highlight w:val="none"/>
        </w:rPr>
        <w:t>s</w:t>
      </w:r>
      <w:r>
        <w:rPr>
          <w:rFonts w:hint="eastAsia" w:ascii="宋体" w:hAnsi="宋体"/>
          <w:color w:val="auto"/>
          <w:highlight w:val="none"/>
        </w:rPr>
        <w:t>内可以根据需要调整关闭时间。特别是在事故停泵时，阀门可自动按预先设定的程序分快、慢两阶段关闭，具有良好的消除水锤效能。</w:t>
      </w:r>
    </w:p>
    <w:p>
      <w:pPr>
        <w:ind w:firstLine="480"/>
        <w:contextualSpacing/>
        <w:jc w:val="left"/>
        <w:rPr>
          <w:rFonts w:ascii="宋体" w:hAnsi="宋体"/>
          <w:color w:val="auto"/>
          <w:highlight w:val="none"/>
        </w:rPr>
      </w:pPr>
      <w:r>
        <w:rPr>
          <w:rFonts w:hint="eastAsia" w:ascii="宋体" w:hAnsi="宋体"/>
          <w:color w:val="auto"/>
          <w:highlight w:val="none"/>
        </w:rPr>
        <w:t>出水管上设传力式伸缩器。5台水泵出水管合并为1根总输水管，总输水管直径DN800mm。在总输水管上设多声道超声波流量计1台，用以测量供水量。</w:t>
      </w:r>
    </w:p>
    <w:p>
      <w:pPr>
        <w:pStyle w:val="5"/>
        <w:rPr>
          <w:color w:val="auto"/>
          <w:highlight w:val="none"/>
        </w:rPr>
      </w:pPr>
      <w:r>
        <w:rPr>
          <w:rFonts w:hint="eastAsia"/>
          <w:color w:val="auto"/>
          <w:highlight w:val="none"/>
        </w:rPr>
        <w:t>5.2.7.5辅助系统</w:t>
      </w:r>
    </w:p>
    <w:p>
      <w:pPr>
        <w:ind w:firstLine="480"/>
        <w:contextualSpacing/>
        <w:jc w:val="left"/>
        <w:rPr>
          <w:rFonts w:ascii="宋体" w:hAnsi="宋体"/>
          <w:color w:val="auto"/>
          <w:highlight w:val="none"/>
        </w:rPr>
      </w:pPr>
      <w:r>
        <w:rPr>
          <w:rFonts w:hint="eastAsia" w:ascii="宋体" w:hAnsi="宋体"/>
          <w:color w:val="auto"/>
          <w:highlight w:val="none"/>
        </w:rPr>
        <w:t>（1）排水系统</w:t>
      </w:r>
    </w:p>
    <w:p>
      <w:pPr>
        <w:ind w:firstLine="480"/>
        <w:contextualSpacing/>
        <w:jc w:val="left"/>
        <w:rPr>
          <w:rFonts w:ascii="宋体" w:hAnsi="宋体"/>
          <w:color w:val="auto"/>
          <w:highlight w:val="none"/>
        </w:rPr>
      </w:pPr>
      <w:r>
        <w:rPr>
          <w:rFonts w:hint="eastAsia" w:ascii="宋体" w:hAnsi="宋体"/>
          <w:color w:val="auto"/>
          <w:highlight w:val="none"/>
        </w:rPr>
        <w:t>泵站主厂房内设集水井一个，尺寸1.5×1.0×1.5m(长×宽×高)，设排水泵2台，排水泵型号QX-10，流量8.5m</w:t>
      </w:r>
      <w:r>
        <w:rPr>
          <w:rFonts w:hint="eastAsia" w:ascii="宋体" w:hAnsi="宋体"/>
          <w:color w:val="auto"/>
          <w:highlight w:val="none"/>
          <w:vertAlign w:val="superscript"/>
        </w:rPr>
        <w:t>3</w:t>
      </w:r>
      <w:r>
        <w:rPr>
          <w:rFonts w:hint="eastAsia" w:ascii="宋体" w:hAnsi="宋体"/>
          <w:color w:val="auto"/>
          <w:highlight w:val="none"/>
        </w:rPr>
        <w:t>/h，扬程10m，排水泵排水至室外，设YW-67型液位信号器1个，控制排水泵自动开停。主厂房内集水以管件渗漏水为主，水量较小。</w:t>
      </w:r>
    </w:p>
    <w:p>
      <w:pPr>
        <w:ind w:firstLine="480"/>
        <w:contextualSpacing/>
        <w:jc w:val="left"/>
        <w:rPr>
          <w:rFonts w:ascii="宋体" w:hAnsi="宋体"/>
          <w:color w:val="auto"/>
          <w:highlight w:val="none"/>
        </w:rPr>
      </w:pPr>
      <w:r>
        <w:rPr>
          <w:rFonts w:hint="eastAsia" w:ascii="宋体" w:hAnsi="宋体"/>
          <w:color w:val="auto"/>
          <w:highlight w:val="none"/>
        </w:rPr>
        <w:t>（2）起重设备</w:t>
      </w:r>
    </w:p>
    <w:p>
      <w:pPr>
        <w:ind w:firstLine="480"/>
        <w:contextualSpacing/>
        <w:jc w:val="left"/>
        <w:rPr>
          <w:rFonts w:ascii="宋体" w:hAnsi="宋体"/>
          <w:color w:val="auto"/>
          <w:highlight w:val="none"/>
        </w:rPr>
      </w:pPr>
      <w:r>
        <w:rPr>
          <w:rFonts w:hint="eastAsia" w:ascii="宋体" w:hAnsi="宋体"/>
          <w:color w:val="auto"/>
          <w:highlight w:val="none"/>
        </w:rPr>
        <w:t>主厂房内设电动单梁起重机1台，起重量2t，跨度6.5m。</w:t>
      </w:r>
    </w:p>
    <w:p>
      <w:pPr>
        <w:ind w:firstLine="480"/>
        <w:contextualSpacing/>
        <w:jc w:val="left"/>
        <w:rPr>
          <w:rFonts w:ascii="宋体" w:hAnsi="宋体"/>
          <w:color w:val="auto"/>
          <w:highlight w:val="none"/>
        </w:rPr>
      </w:pPr>
      <w:r>
        <w:rPr>
          <w:rFonts w:hint="eastAsia" w:ascii="宋体" w:hAnsi="宋体"/>
          <w:color w:val="auto"/>
          <w:highlight w:val="none"/>
        </w:rPr>
        <w:t>（3）测量系统</w:t>
      </w:r>
    </w:p>
    <w:p>
      <w:pPr>
        <w:ind w:firstLine="480"/>
        <w:contextualSpacing/>
        <w:jc w:val="left"/>
        <w:rPr>
          <w:rFonts w:ascii="宋体" w:hAnsi="宋体"/>
          <w:color w:val="auto"/>
          <w:highlight w:val="none"/>
        </w:rPr>
      </w:pPr>
      <w:r>
        <w:rPr>
          <w:rFonts w:hint="eastAsia" w:ascii="宋体" w:hAnsi="宋体"/>
          <w:color w:val="auto"/>
          <w:highlight w:val="none"/>
        </w:rPr>
        <w:t>每台水泵出口装有压力传感器，可以测定水泵出口压力，并具备远传功能。</w:t>
      </w:r>
    </w:p>
    <w:p>
      <w:pPr>
        <w:ind w:firstLine="480"/>
        <w:contextualSpacing/>
        <w:jc w:val="left"/>
        <w:rPr>
          <w:rFonts w:ascii="宋体" w:hAnsi="宋体"/>
          <w:color w:val="auto"/>
          <w:highlight w:val="none"/>
        </w:rPr>
      </w:pPr>
      <w:r>
        <w:rPr>
          <w:rFonts w:hint="eastAsia" w:ascii="宋体" w:hAnsi="宋体"/>
          <w:color w:val="auto"/>
          <w:highlight w:val="none"/>
        </w:rPr>
        <w:t>在总输水管上设多声道超声波流量计一台，用以测量供水量。口径为DN900</w:t>
      </w:r>
      <w:r>
        <w:rPr>
          <w:rFonts w:ascii="宋体" w:hAnsi="宋体"/>
          <w:color w:val="auto"/>
          <w:highlight w:val="none"/>
        </w:rPr>
        <w:t>mm</w:t>
      </w:r>
      <w:r>
        <w:rPr>
          <w:rFonts w:hint="eastAsia" w:ascii="宋体" w:hAnsi="宋体"/>
          <w:color w:val="auto"/>
          <w:highlight w:val="none"/>
        </w:rPr>
        <w:t>。</w:t>
      </w:r>
    </w:p>
    <w:p>
      <w:pPr>
        <w:pStyle w:val="5"/>
        <w:rPr>
          <w:color w:val="auto"/>
          <w:highlight w:val="none"/>
        </w:rPr>
      </w:pPr>
      <w:r>
        <w:rPr>
          <w:rFonts w:hint="eastAsia"/>
          <w:color w:val="auto"/>
          <w:highlight w:val="none"/>
        </w:rPr>
        <w:t>5.2.7.6主要机电设备表</w:t>
      </w:r>
    </w:p>
    <w:p>
      <w:pPr>
        <w:pStyle w:val="152"/>
        <w:rPr>
          <w:snapToGrid w:val="0"/>
          <w:color w:val="auto"/>
          <w:w w:val="0"/>
          <w:highlight w:val="none"/>
        </w:rPr>
      </w:pPr>
      <w:r>
        <w:rPr>
          <w:rFonts w:hint="eastAsia"/>
          <w:snapToGrid w:val="0"/>
          <w:color w:val="auto"/>
          <w:w w:val="0"/>
          <w:highlight w:val="none"/>
        </w:rPr>
        <w:t>表</w:t>
      </w:r>
      <w:r>
        <w:rPr>
          <w:rFonts w:hint="eastAsia" w:ascii="黑体" w:hAnsi="黑体"/>
          <w:bCs w:val="0"/>
          <w:color w:val="auto"/>
          <w:highlight w:val="none"/>
        </w:rPr>
        <w:t>5.2.7.6</w:t>
      </w:r>
      <w:r>
        <w:rPr>
          <w:rFonts w:hint="eastAsia"/>
          <w:snapToGrid w:val="0"/>
          <w:color w:val="auto"/>
          <w:w w:val="0"/>
          <w:highlight w:val="none"/>
        </w:rPr>
        <w:t xml:space="preserve">                     主要机电设备表</w:t>
      </w:r>
    </w:p>
    <w:tbl>
      <w:tblPr>
        <w:tblStyle w:val="33"/>
        <w:tblW w:w="8392" w:type="dxa"/>
        <w:jc w:val="center"/>
        <w:tblLayout w:type="autofit"/>
        <w:tblCellMar>
          <w:top w:w="0" w:type="dxa"/>
          <w:left w:w="0" w:type="dxa"/>
          <w:bottom w:w="0" w:type="dxa"/>
          <w:right w:w="0" w:type="dxa"/>
        </w:tblCellMar>
      </w:tblPr>
      <w:tblGrid>
        <w:gridCol w:w="760"/>
        <w:gridCol w:w="2775"/>
        <w:gridCol w:w="2743"/>
        <w:gridCol w:w="1090"/>
        <w:gridCol w:w="1024"/>
      </w:tblGrid>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Chars="0"/>
              <w:rPr>
                <w:rFonts w:ascii="宋体" w:hAnsi="宋体"/>
                <w:color w:val="auto"/>
                <w:sz w:val="21"/>
                <w:szCs w:val="21"/>
                <w:highlight w:val="none"/>
              </w:rPr>
            </w:pPr>
            <w:r>
              <w:rPr>
                <w:rFonts w:hint="eastAsia" w:ascii="宋体" w:hAnsi="宋体"/>
                <w:color w:val="auto"/>
                <w:sz w:val="21"/>
                <w:szCs w:val="21"/>
                <w:highlight w:val="none"/>
              </w:rPr>
              <w:t>序号序号序号</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名</w:t>
            </w:r>
            <w:r>
              <w:rPr>
                <w:rFonts w:ascii="宋体" w:hAnsi="宋体"/>
                <w:color w:val="auto"/>
                <w:sz w:val="21"/>
                <w:szCs w:val="21"/>
                <w:highlight w:val="none"/>
              </w:rPr>
              <w:t xml:space="preserve">     </w:t>
            </w:r>
            <w:r>
              <w:rPr>
                <w:rFonts w:hint="eastAsia" w:ascii="宋体" w:hAnsi="宋体"/>
                <w:color w:val="auto"/>
                <w:sz w:val="21"/>
                <w:szCs w:val="21"/>
                <w:highlight w:val="none"/>
              </w:rPr>
              <w:t>称</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型</w:t>
            </w:r>
            <w:r>
              <w:rPr>
                <w:rFonts w:ascii="宋体" w:hAnsi="宋体"/>
                <w:color w:val="auto"/>
                <w:sz w:val="21"/>
                <w:szCs w:val="21"/>
                <w:highlight w:val="none"/>
              </w:rPr>
              <w:t xml:space="preserve">         </w:t>
            </w:r>
            <w:r>
              <w:rPr>
                <w:rFonts w:hint="eastAsia" w:ascii="宋体" w:hAnsi="宋体"/>
                <w:color w:val="auto"/>
                <w:sz w:val="21"/>
                <w:szCs w:val="21"/>
                <w:highlight w:val="none"/>
              </w:rPr>
              <w:t>号</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Chars="0"/>
              <w:rPr>
                <w:rFonts w:ascii="宋体" w:hAnsi="宋体"/>
                <w:color w:val="auto"/>
                <w:sz w:val="21"/>
                <w:szCs w:val="21"/>
                <w:highlight w:val="none"/>
              </w:rPr>
            </w:pPr>
            <w:r>
              <w:rPr>
                <w:rFonts w:hint="eastAsia" w:ascii="宋体" w:hAnsi="宋体"/>
                <w:color w:val="auto"/>
                <w:sz w:val="21"/>
                <w:szCs w:val="21"/>
                <w:highlight w:val="none"/>
              </w:rPr>
              <w:t>单位</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Chars="0"/>
              <w:rPr>
                <w:rFonts w:ascii="宋体" w:hAnsi="宋体"/>
                <w:color w:val="auto"/>
                <w:sz w:val="21"/>
                <w:szCs w:val="21"/>
                <w:highlight w:val="none"/>
              </w:rPr>
            </w:pPr>
            <w:r>
              <w:rPr>
                <w:rFonts w:hint="eastAsia" w:ascii="宋体" w:hAnsi="宋体"/>
                <w:color w:val="auto"/>
                <w:sz w:val="21"/>
                <w:szCs w:val="21"/>
                <w:highlight w:val="none"/>
              </w:rPr>
              <w:t>数量</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105" w:firstLineChars="50"/>
              <w:jc w:val="center"/>
              <w:rPr>
                <w:rFonts w:ascii="宋体" w:hAnsi="宋体"/>
                <w:color w:val="auto"/>
                <w:sz w:val="21"/>
                <w:szCs w:val="21"/>
                <w:highlight w:val="none"/>
              </w:rPr>
            </w:pPr>
            <w:r>
              <w:rPr>
                <w:rFonts w:hint="eastAsia" w:ascii="宋体" w:hAnsi="宋体"/>
                <w:color w:val="auto"/>
                <w:sz w:val="21"/>
                <w:szCs w:val="21"/>
                <w:highlight w:val="none"/>
              </w:rPr>
              <w:t>1</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离心泵</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ascii="宋体" w:hAnsi="宋体"/>
                <w:color w:val="auto"/>
                <w:sz w:val="21"/>
                <w:szCs w:val="21"/>
                <w:highlight w:val="none"/>
              </w:rPr>
              <w:t>KQW300/710-250/6</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台</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5</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0" w:firstLineChars="0"/>
              <w:jc w:val="center"/>
              <w:rPr>
                <w:rFonts w:ascii="宋体" w:hAnsi="宋体"/>
                <w:color w:val="auto"/>
                <w:sz w:val="21"/>
                <w:szCs w:val="21"/>
                <w:highlight w:val="none"/>
              </w:rPr>
            </w:pPr>
            <w:r>
              <w:rPr>
                <w:rFonts w:hint="eastAsia" w:ascii="宋体" w:hAnsi="宋体"/>
                <w:color w:val="auto"/>
                <w:sz w:val="21"/>
                <w:szCs w:val="21"/>
                <w:highlight w:val="none"/>
              </w:rPr>
              <w:t xml:space="preserve"> 2</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电动机</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台</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5</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0" w:firstLineChars="0"/>
              <w:jc w:val="center"/>
              <w:rPr>
                <w:rFonts w:ascii="宋体" w:hAnsi="宋体"/>
                <w:color w:val="auto"/>
                <w:sz w:val="21"/>
                <w:szCs w:val="21"/>
                <w:highlight w:val="none"/>
              </w:rPr>
            </w:pPr>
            <w:r>
              <w:rPr>
                <w:rFonts w:hint="eastAsia" w:ascii="宋体" w:hAnsi="宋体"/>
                <w:color w:val="auto"/>
                <w:sz w:val="21"/>
                <w:szCs w:val="21"/>
                <w:highlight w:val="none"/>
              </w:rPr>
              <w:t xml:space="preserve"> 3</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橡胶减震器</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DN300</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台</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5</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0" w:firstLineChars="0"/>
              <w:jc w:val="center"/>
              <w:rPr>
                <w:rFonts w:ascii="宋体" w:hAnsi="宋体"/>
                <w:color w:val="auto"/>
                <w:sz w:val="21"/>
                <w:szCs w:val="21"/>
                <w:highlight w:val="none"/>
              </w:rPr>
            </w:pPr>
            <w:r>
              <w:rPr>
                <w:rFonts w:hint="eastAsia" w:ascii="宋体" w:hAnsi="宋体"/>
                <w:color w:val="auto"/>
                <w:sz w:val="21"/>
                <w:szCs w:val="21"/>
                <w:highlight w:val="none"/>
              </w:rPr>
              <w:t xml:space="preserve"> 4</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橡胶减震器</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DN300</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台</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5</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jc w:val="center"/>
              <w:rPr>
                <w:rFonts w:ascii="宋体" w:hAnsi="宋体"/>
                <w:color w:val="auto"/>
                <w:sz w:val="21"/>
                <w:szCs w:val="21"/>
                <w:highlight w:val="none"/>
              </w:rPr>
            </w:pPr>
            <w:r>
              <w:rPr>
                <w:rFonts w:hint="eastAsia" w:ascii="宋体" w:hAnsi="宋体"/>
                <w:color w:val="auto"/>
                <w:sz w:val="21"/>
                <w:szCs w:val="21"/>
                <w:highlight w:val="none"/>
              </w:rPr>
              <w:t>5</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起重机</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台</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1</w:t>
            </w:r>
          </w:p>
        </w:tc>
      </w:tr>
      <w:tr>
        <w:tblPrEx>
          <w:tblCellMar>
            <w:top w:w="0" w:type="dxa"/>
            <w:left w:w="0" w:type="dxa"/>
            <w:bottom w:w="0" w:type="dxa"/>
            <w:right w:w="0" w:type="dxa"/>
          </w:tblCellMar>
        </w:tblPrEx>
        <w:trPr>
          <w:cantSplit/>
          <w:trHeight w:val="495"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jc w:val="center"/>
              <w:rPr>
                <w:rFonts w:ascii="宋体" w:hAnsi="宋体"/>
                <w:color w:val="auto"/>
                <w:sz w:val="21"/>
                <w:szCs w:val="21"/>
                <w:highlight w:val="none"/>
              </w:rPr>
            </w:pPr>
            <w:r>
              <w:rPr>
                <w:rFonts w:hint="eastAsia" w:ascii="宋体" w:hAnsi="宋体"/>
                <w:color w:val="auto"/>
                <w:sz w:val="21"/>
                <w:szCs w:val="21"/>
                <w:highlight w:val="none"/>
              </w:rPr>
              <w:t>6</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电动蝶阀</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DN400</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台</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10</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jc w:val="center"/>
              <w:rPr>
                <w:rFonts w:ascii="宋体" w:hAnsi="宋体"/>
                <w:color w:val="auto"/>
                <w:sz w:val="21"/>
                <w:szCs w:val="21"/>
                <w:highlight w:val="none"/>
              </w:rPr>
            </w:pPr>
            <w:r>
              <w:rPr>
                <w:rFonts w:hint="eastAsia" w:ascii="宋体" w:hAnsi="宋体"/>
                <w:color w:val="auto"/>
                <w:sz w:val="21"/>
                <w:szCs w:val="21"/>
                <w:highlight w:val="none"/>
              </w:rPr>
              <w:t>7</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液控蝶阀</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台</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5</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jc w:val="center"/>
              <w:rPr>
                <w:rFonts w:ascii="宋体" w:hAnsi="宋体"/>
                <w:color w:val="auto"/>
                <w:sz w:val="21"/>
                <w:szCs w:val="21"/>
                <w:highlight w:val="none"/>
              </w:rPr>
            </w:pPr>
            <w:r>
              <w:rPr>
                <w:rFonts w:hint="eastAsia" w:ascii="宋体" w:hAnsi="宋体"/>
                <w:color w:val="auto"/>
                <w:sz w:val="21"/>
                <w:szCs w:val="21"/>
                <w:highlight w:val="none"/>
              </w:rPr>
              <w:t>8</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传力伸缩器</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台</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10</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jc w:val="center"/>
              <w:rPr>
                <w:rFonts w:ascii="宋体" w:hAnsi="宋体"/>
                <w:color w:val="auto"/>
                <w:sz w:val="21"/>
                <w:szCs w:val="21"/>
                <w:highlight w:val="none"/>
              </w:rPr>
            </w:pPr>
            <w:r>
              <w:rPr>
                <w:rFonts w:hint="eastAsia" w:ascii="宋体" w:hAnsi="宋体"/>
                <w:color w:val="auto"/>
                <w:sz w:val="21"/>
                <w:szCs w:val="21"/>
                <w:highlight w:val="none"/>
              </w:rPr>
              <w:t>9</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排水系统</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套</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1</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left="240" w:right="240" w:firstLine="0" w:firstLineChars="0"/>
              <w:jc w:val="center"/>
              <w:rPr>
                <w:rFonts w:ascii="宋体" w:hAnsi="宋体"/>
                <w:color w:val="auto"/>
                <w:sz w:val="21"/>
                <w:szCs w:val="21"/>
                <w:highlight w:val="none"/>
              </w:rPr>
            </w:pPr>
            <w:r>
              <w:rPr>
                <w:rFonts w:hint="eastAsia" w:ascii="宋体" w:hAnsi="宋体"/>
                <w:color w:val="auto"/>
                <w:sz w:val="21"/>
                <w:szCs w:val="21"/>
                <w:highlight w:val="none"/>
              </w:rPr>
              <w:t>10</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多声道超声波流量计</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套</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1</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left="240" w:right="240" w:firstLine="0" w:firstLineChars="0"/>
              <w:jc w:val="center"/>
              <w:rPr>
                <w:rFonts w:ascii="宋体" w:hAnsi="宋体"/>
                <w:color w:val="auto"/>
                <w:sz w:val="21"/>
                <w:szCs w:val="21"/>
                <w:highlight w:val="none"/>
              </w:rPr>
            </w:pPr>
            <w:r>
              <w:rPr>
                <w:rFonts w:hint="eastAsia" w:ascii="宋体" w:hAnsi="宋体"/>
                <w:color w:val="auto"/>
                <w:sz w:val="21"/>
                <w:szCs w:val="21"/>
                <w:highlight w:val="none"/>
              </w:rPr>
              <w:t>11</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钢管</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DN400</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米</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40</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left="240" w:right="240" w:firstLine="0" w:firstLineChars="0"/>
              <w:jc w:val="center"/>
              <w:rPr>
                <w:rFonts w:ascii="宋体" w:hAnsi="宋体"/>
                <w:color w:val="auto"/>
                <w:sz w:val="21"/>
                <w:szCs w:val="21"/>
                <w:highlight w:val="none"/>
              </w:rPr>
            </w:pPr>
            <w:r>
              <w:rPr>
                <w:rFonts w:hint="eastAsia" w:ascii="宋体" w:hAnsi="宋体"/>
                <w:color w:val="auto"/>
                <w:sz w:val="21"/>
                <w:szCs w:val="21"/>
                <w:highlight w:val="none"/>
              </w:rPr>
              <w:t>12</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钢管</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DN800</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米</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50</w:t>
            </w:r>
          </w:p>
        </w:tc>
      </w:tr>
    </w:tbl>
    <w:p>
      <w:pPr>
        <w:pStyle w:val="4"/>
        <w:rPr>
          <w:rFonts w:hint="default"/>
          <w:color w:val="auto"/>
          <w:highlight w:val="none"/>
          <w:lang w:val="en-US"/>
        </w:rPr>
      </w:pPr>
      <w:r>
        <w:rPr>
          <w:rFonts w:hint="eastAsia"/>
          <w:color w:val="auto"/>
          <w:highlight w:val="none"/>
        </w:rPr>
        <w:t>5.2.8</w:t>
      </w:r>
      <w:r>
        <w:rPr>
          <w:rFonts w:hint="eastAsia"/>
          <w:color w:val="auto"/>
          <w:highlight w:val="none"/>
          <w:lang w:val="en-US" w:eastAsia="zh-CN"/>
        </w:rPr>
        <w:t>龙泉庄水库扬水站</w:t>
      </w:r>
    </w:p>
    <w:p>
      <w:pPr>
        <w:ind w:firstLine="480"/>
        <w:rPr>
          <w:rFonts w:ascii="宋体" w:hAnsi="宋体"/>
          <w:color w:val="auto"/>
          <w:highlight w:val="none"/>
        </w:rPr>
      </w:pPr>
      <w:r>
        <w:rPr>
          <w:rFonts w:hint="eastAsia"/>
          <w:color w:val="auto"/>
          <w:highlight w:val="none"/>
          <w:lang w:val="en-US" w:eastAsia="zh-CN"/>
        </w:rPr>
        <w:t>龙泉庄水库扬水站为加压泵站</w:t>
      </w:r>
      <w:r>
        <w:rPr>
          <w:rFonts w:hint="eastAsia"/>
          <w:color w:val="auto"/>
          <w:highlight w:val="none"/>
          <w:lang w:eastAsia="zh-CN"/>
        </w:rPr>
        <w:t>，</w:t>
      </w:r>
      <w:r>
        <w:rPr>
          <w:rFonts w:hint="eastAsia"/>
          <w:color w:val="auto"/>
          <w:highlight w:val="none"/>
        </w:rPr>
        <w:t>位于龙泉庄水库大坝下游侧，</w:t>
      </w:r>
      <w:r>
        <w:rPr>
          <w:rFonts w:ascii="宋体" w:hAnsi="宋体"/>
          <w:color w:val="auto"/>
          <w:highlight w:val="none"/>
        </w:rPr>
        <w:t>新建</w:t>
      </w:r>
      <w:r>
        <w:rPr>
          <w:rFonts w:hint="eastAsia" w:ascii="宋体" w:hAnsi="宋体"/>
          <w:color w:val="auto"/>
          <w:highlight w:val="none"/>
        </w:rPr>
        <w:t>提水</w:t>
      </w:r>
      <w:r>
        <w:rPr>
          <w:rFonts w:ascii="宋体" w:hAnsi="宋体"/>
          <w:color w:val="auto"/>
          <w:highlight w:val="none"/>
        </w:rPr>
        <w:t>泵站流量</w:t>
      </w:r>
      <w:r>
        <w:rPr>
          <w:rFonts w:hint="eastAsia" w:ascii="宋体" w:hAnsi="宋体"/>
          <w:color w:val="auto"/>
          <w:highlight w:val="none"/>
        </w:rPr>
        <w:t>1.</w:t>
      </w:r>
      <w:r>
        <w:rPr>
          <w:rFonts w:hint="eastAsia" w:ascii="宋体" w:hAnsi="宋体"/>
          <w:color w:val="auto"/>
          <w:highlight w:val="none"/>
          <w:lang w:val="en-US" w:eastAsia="zh-CN"/>
        </w:rPr>
        <w:t>2</w:t>
      </w:r>
      <w:r>
        <w:rPr>
          <w:rFonts w:hint="eastAsia" w:ascii="宋体" w:hAnsi="宋体"/>
          <w:color w:val="auto"/>
          <w:highlight w:val="none"/>
        </w:rPr>
        <w:t>4m³/s</w:t>
      </w:r>
      <w:r>
        <w:rPr>
          <w:rFonts w:ascii="宋体" w:hAnsi="宋体"/>
          <w:color w:val="auto"/>
          <w:highlight w:val="none"/>
        </w:rPr>
        <w:t>，选用</w:t>
      </w:r>
      <w:r>
        <w:rPr>
          <w:rFonts w:hint="eastAsia" w:ascii="宋体" w:hAnsi="宋体"/>
          <w:color w:val="auto"/>
          <w:highlight w:val="none"/>
        </w:rPr>
        <w:t>5台</w:t>
      </w:r>
      <w:r>
        <w:rPr>
          <w:rFonts w:ascii="宋体" w:hAnsi="宋体"/>
          <w:color w:val="auto"/>
          <w:highlight w:val="none"/>
        </w:rPr>
        <w:t>离心泵，</w:t>
      </w:r>
      <w:r>
        <w:rPr>
          <w:rFonts w:hint="eastAsia" w:ascii="宋体" w:hAnsi="宋体"/>
          <w:color w:val="auto"/>
          <w:highlight w:val="none"/>
        </w:rPr>
        <w:t>4用1</w:t>
      </w:r>
      <w:r>
        <w:rPr>
          <w:rFonts w:ascii="宋体" w:hAnsi="宋体"/>
          <w:color w:val="auto"/>
          <w:highlight w:val="none"/>
        </w:rPr>
        <w:t>备。沿水流方向依次包括泵室主副厂房等泵站主体工程和机组设备、输配电系统等。</w:t>
      </w:r>
    </w:p>
    <w:p>
      <w:pPr>
        <w:pStyle w:val="5"/>
        <w:rPr>
          <w:color w:val="auto"/>
          <w:highlight w:val="none"/>
        </w:rPr>
      </w:pPr>
      <w:r>
        <w:rPr>
          <w:rFonts w:hint="eastAsia"/>
          <w:color w:val="auto"/>
          <w:highlight w:val="none"/>
        </w:rPr>
        <w:t>5.2.8.1提水泵站结构设计</w:t>
      </w:r>
    </w:p>
    <w:p>
      <w:pPr>
        <w:ind w:firstLine="480"/>
        <w:rPr>
          <w:rFonts w:ascii="宋体" w:hAnsi="宋体"/>
          <w:color w:val="auto"/>
          <w:highlight w:val="none"/>
        </w:rPr>
      </w:pPr>
      <w:r>
        <w:rPr>
          <w:rFonts w:ascii="宋体" w:hAnsi="宋体"/>
          <w:color w:val="auto"/>
          <w:highlight w:val="none"/>
        </w:rPr>
        <w:t>主厂房顺水流向长度</w:t>
      </w:r>
      <w:r>
        <w:rPr>
          <w:rFonts w:hint="eastAsia" w:ascii="宋体" w:hAnsi="宋体"/>
          <w:color w:val="auto"/>
          <w:highlight w:val="none"/>
        </w:rPr>
        <w:t>8</w:t>
      </w:r>
      <w:r>
        <w:rPr>
          <w:rFonts w:ascii="宋体" w:hAnsi="宋体"/>
          <w:color w:val="auto"/>
          <w:highlight w:val="none"/>
        </w:rPr>
        <w:t>.7m，垂直水流向宽度</w:t>
      </w:r>
      <w:r>
        <w:rPr>
          <w:rFonts w:hint="eastAsia" w:ascii="宋体" w:hAnsi="宋体"/>
          <w:color w:val="auto"/>
          <w:highlight w:val="none"/>
        </w:rPr>
        <w:t>29.8</w:t>
      </w:r>
      <w:r>
        <w:rPr>
          <w:rFonts w:ascii="宋体" w:hAnsi="宋体"/>
          <w:color w:val="auto"/>
          <w:highlight w:val="none"/>
        </w:rPr>
        <w:t>mm。</w:t>
      </w:r>
      <w:r>
        <w:rPr>
          <w:rFonts w:ascii="宋体" w:hAnsi="宋体"/>
          <w:color w:val="auto"/>
          <w:kern w:val="0"/>
          <w:highlight w:val="none"/>
        </w:rPr>
        <w:t>选</w:t>
      </w:r>
      <w:r>
        <w:rPr>
          <w:rFonts w:hint="eastAsia" w:ascii="宋体" w:hAnsi="宋体"/>
          <w:color w:val="auto"/>
          <w:kern w:val="0"/>
          <w:highlight w:val="none"/>
        </w:rPr>
        <w:t>用离</w:t>
      </w:r>
      <w:r>
        <w:rPr>
          <w:rFonts w:hint="eastAsia" w:ascii="宋体" w:hAnsi="宋体"/>
          <w:color w:val="auto"/>
          <w:highlight w:val="none"/>
        </w:rPr>
        <w:t>心泵</w:t>
      </w:r>
      <w:r>
        <w:rPr>
          <w:rFonts w:ascii="宋体" w:hAnsi="宋体"/>
          <w:color w:val="auto"/>
          <w:kern w:val="0"/>
          <w:highlight w:val="none"/>
        </w:rPr>
        <w:t>，共</w:t>
      </w:r>
      <w:r>
        <w:rPr>
          <w:rFonts w:hint="eastAsia" w:ascii="宋体" w:hAnsi="宋体"/>
          <w:color w:val="auto"/>
          <w:kern w:val="0"/>
          <w:highlight w:val="none"/>
        </w:rPr>
        <w:t>5台</w:t>
      </w:r>
      <w:r>
        <w:rPr>
          <w:rFonts w:ascii="宋体" w:hAnsi="宋体"/>
          <w:color w:val="auto"/>
          <w:kern w:val="0"/>
          <w:highlight w:val="none"/>
        </w:rPr>
        <w:t>，其中备用</w:t>
      </w:r>
      <w:r>
        <w:rPr>
          <w:rFonts w:hint="eastAsia" w:ascii="宋体" w:hAnsi="宋体"/>
          <w:color w:val="auto"/>
          <w:kern w:val="0"/>
          <w:highlight w:val="none"/>
        </w:rPr>
        <w:t>1</w:t>
      </w:r>
      <w:r>
        <w:rPr>
          <w:rFonts w:ascii="宋体" w:hAnsi="宋体"/>
          <w:color w:val="auto"/>
          <w:kern w:val="0"/>
          <w:highlight w:val="none"/>
        </w:rPr>
        <w:t>台，设计扬程</w:t>
      </w:r>
      <w:r>
        <w:rPr>
          <w:rFonts w:hint="eastAsia" w:ascii="宋体" w:hAnsi="宋体"/>
          <w:color w:val="auto"/>
          <w:kern w:val="0"/>
          <w:highlight w:val="none"/>
        </w:rPr>
        <w:t>32</w:t>
      </w:r>
      <w:r>
        <w:rPr>
          <w:rFonts w:ascii="宋体" w:hAnsi="宋体"/>
          <w:color w:val="auto"/>
          <w:kern w:val="0"/>
          <w:highlight w:val="none"/>
        </w:rPr>
        <w:t>m，单机流量</w:t>
      </w:r>
      <w:r>
        <w:rPr>
          <w:rFonts w:hint="eastAsia" w:ascii="宋体" w:hAnsi="宋体"/>
          <w:color w:val="auto"/>
          <w:kern w:val="0"/>
          <w:highlight w:val="none"/>
        </w:rPr>
        <w:t>0.</w:t>
      </w:r>
      <w:r>
        <w:rPr>
          <w:rFonts w:hint="eastAsia" w:ascii="宋体" w:hAnsi="宋体"/>
          <w:color w:val="auto"/>
          <w:kern w:val="0"/>
          <w:highlight w:val="none"/>
          <w:lang w:val="en-US" w:eastAsia="zh-CN"/>
        </w:rPr>
        <w:t>31</w:t>
      </w:r>
      <w:r>
        <w:rPr>
          <w:rFonts w:ascii="宋体" w:hAnsi="宋体"/>
          <w:color w:val="auto"/>
          <w:kern w:val="0"/>
          <w:highlight w:val="none"/>
        </w:rPr>
        <w:t>m</w:t>
      </w:r>
      <w:r>
        <w:rPr>
          <w:rFonts w:ascii="宋体" w:hAnsi="宋体"/>
          <w:color w:val="auto"/>
          <w:kern w:val="0"/>
          <w:highlight w:val="none"/>
          <w:vertAlign w:val="superscript"/>
        </w:rPr>
        <w:t>3</w:t>
      </w:r>
      <w:r>
        <w:rPr>
          <w:rFonts w:ascii="宋体" w:hAnsi="宋体"/>
          <w:color w:val="auto"/>
          <w:kern w:val="0"/>
          <w:highlight w:val="none"/>
        </w:rPr>
        <w:t>/s，水泵配套功率</w:t>
      </w:r>
      <w:r>
        <w:rPr>
          <w:rFonts w:hint="eastAsia" w:ascii="宋体" w:hAnsi="宋体"/>
          <w:color w:val="auto"/>
          <w:kern w:val="0"/>
          <w:highlight w:val="none"/>
          <w:lang w:val="en-US" w:eastAsia="zh-CN"/>
        </w:rPr>
        <w:t>160</w:t>
      </w:r>
      <w:r>
        <w:rPr>
          <w:rFonts w:ascii="宋体" w:hAnsi="宋体"/>
          <w:color w:val="auto"/>
          <w:kern w:val="0"/>
          <w:highlight w:val="none"/>
        </w:rPr>
        <w:t>kW，总装机容量</w:t>
      </w:r>
      <w:r>
        <w:rPr>
          <w:rFonts w:hint="eastAsia" w:ascii="宋体" w:hAnsi="宋体"/>
          <w:color w:val="auto"/>
          <w:kern w:val="0"/>
          <w:highlight w:val="none"/>
          <w:lang w:val="en-US" w:eastAsia="zh-CN"/>
        </w:rPr>
        <w:t>640</w:t>
      </w:r>
      <w:r>
        <w:rPr>
          <w:rFonts w:ascii="宋体" w:hAnsi="宋体"/>
          <w:color w:val="auto"/>
          <w:kern w:val="0"/>
          <w:highlight w:val="none"/>
        </w:rPr>
        <w:t>kW。机组呈一字型排列，机组间距4.</w:t>
      </w:r>
      <w:r>
        <w:rPr>
          <w:rFonts w:hint="eastAsia" w:ascii="宋体" w:hAnsi="宋体"/>
          <w:color w:val="auto"/>
          <w:kern w:val="0"/>
          <w:highlight w:val="none"/>
        </w:rPr>
        <w:t>2</w:t>
      </w:r>
      <w:r>
        <w:rPr>
          <w:rFonts w:ascii="宋体" w:hAnsi="宋体"/>
          <w:color w:val="auto"/>
          <w:kern w:val="0"/>
          <w:highlight w:val="none"/>
        </w:rPr>
        <w:t>0m。</w:t>
      </w:r>
      <w:r>
        <w:rPr>
          <w:rFonts w:ascii="宋体" w:hAnsi="宋体"/>
          <w:color w:val="auto"/>
          <w:highlight w:val="none"/>
        </w:rPr>
        <w:t>泵房建筑面积</w:t>
      </w:r>
      <w:r>
        <w:rPr>
          <w:rFonts w:hint="eastAsia" w:ascii="宋体" w:hAnsi="宋体"/>
          <w:color w:val="auto"/>
          <w:highlight w:val="none"/>
        </w:rPr>
        <w:t>268</w:t>
      </w:r>
      <w:r>
        <w:rPr>
          <w:rFonts w:ascii="宋体" w:hAnsi="宋体"/>
          <w:color w:val="auto"/>
          <w:highlight w:val="none"/>
        </w:rPr>
        <w:t>m</w:t>
      </w:r>
      <w:r>
        <w:rPr>
          <w:rFonts w:ascii="宋体" w:hAnsi="宋体"/>
          <w:color w:val="auto"/>
          <w:highlight w:val="none"/>
          <w:vertAlign w:val="superscript"/>
        </w:rPr>
        <w:t>2</w:t>
      </w:r>
      <w:r>
        <w:rPr>
          <w:rFonts w:ascii="宋体" w:hAnsi="宋体"/>
          <w:color w:val="auto"/>
          <w:highlight w:val="none"/>
        </w:rPr>
        <w:t>。副厂房布置在泵房右侧，包括35KV高压配电室、10KV高压配电室、0.4KV低压配电室、中控室、保护室、通信室等。副厂房建筑面积</w:t>
      </w:r>
      <w:r>
        <w:rPr>
          <w:rFonts w:hint="eastAsia" w:ascii="宋体" w:hAnsi="宋体"/>
          <w:color w:val="auto"/>
          <w:highlight w:val="none"/>
        </w:rPr>
        <w:t>242</w:t>
      </w:r>
      <w:r>
        <w:rPr>
          <w:rFonts w:ascii="宋体" w:hAnsi="宋体"/>
          <w:color w:val="auto"/>
          <w:highlight w:val="none"/>
        </w:rPr>
        <w:t>m</w:t>
      </w:r>
      <w:r>
        <w:rPr>
          <w:rFonts w:ascii="宋体" w:hAnsi="宋体"/>
          <w:color w:val="auto"/>
          <w:highlight w:val="none"/>
          <w:vertAlign w:val="superscript"/>
        </w:rPr>
        <w:t>2</w:t>
      </w:r>
      <w:r>
        <w:rPr>
          <w:rFonts w:ascii="宋体" w:hAnsi="宋体"/>
          <w:color w:val="auto"/>
          <w:highlight w:val="none"/>
        </w:rPr>
        <w:t>。</w:t>
      </w:r>
    </w:p>
    <w:p>
      <w:pPr>
        <w:pStyle w:val="5"/>
        <w:rPr>
          <w:color w:val="auto"/>
          <w:highlight w:val="none"/>
        </w:rPr>
      </w:pPr>
      <w:r>
        <w:rPr>
          <w:rFonts w:hint="eastAsia"/>
          <w:color w:val="auto"/>
          <w:highlight w:val="none"/>
        </w:rPr>
        <w:t>5.2.8.2水力机械</w:t>
      </w:r>
    </w:p>
    <w:p>
      <w:pPr>
        <w:ind w:firstLine="480"/>
        <w:contextualSpacing/>
        <w:jc w:val="left"/>
        <w:rPr>
          <w:rFonts w:ascii="宋体" w:hAnsi="宋体"/>
          <w:color w:val="auto"/>
          <w:highlight w:val="none"/>
        </w:rPr>
      </w:pPr>
      <w:r>
        <w:rPr>
          <w:rFonts w:hint="eastAsia" w:ascii="宋体" w:hAnsi="宋体"/>
          <w:color w:val="auto"/>
          <w:highlight w:val="none"/>
        </w:rPr>
        <w:t>1、设计参数</w:t>
      </w:r>
    </w:p>
    <w:p>
      <w:pPr>
        <w:ind w:firstLine="480"/>
        <w:contextualSpacing/>
        <w:jc w:val="left"/>
        <w:rPr>
          <w:rFonts w:ascii="宋体" w:hAnsi="宋体"/>
          <w:color w:val="auto"/>
          <w:highlight w:val="none"/>
        </w:rPr>
      </w:pPr>
      <w:r>
        <w:rPr>
          <w:rFonts w:hint="eastAsia" w:ascii="宋体" w:hAnsi="宋体"/>
          <w:color w:val="auto"/>
          <w:highlight w:val="none"/>
        </w:rPr>
        <w:t>工程需设提水泵站向用户供水，设计参数如下：</w:t>
      </w:r>
    </w:p>
    <w:p>
      <w:pPr>
        <w:ind w:firstLine="480"/>
        <w:contextualSpacing/>
        <w:jc w:val="left"/>
        <w:rPr>
          <w:rFonts w:ascii="宋体" w:hAnsi="宋体"/>
          <w:color w:val="auto"/>
          <w:highlight w:val="none"/>
        </w:rPr>
      </w:pPr>
      <w:r>
        <w:rPr>
          <w:rFonts w:hint="eastAsia" w:ascii="宋体" w:hAnsi="宋体"/>
          <w:color w:val="auto"/>
          <w:highlight w:val="none"/>
        </w:rPr>
        <w:t>前池</w:t>
      </w:r>
      <w:r>
        <w:rPr>
          <w:rFonts w:ascii="宋体" w:hAnsi="宋体"/>
          <w:color w:val="auto"/>
          <w:highlight w:val="none"/>
        </w:rPr>
        <w:t>最高水位：</w:t>
      </w:r>
      <w:r>
        <w:rPr>
          <w:rFonts w:hint="eastAsia" w:ascii="宋体" w:hAnsi="宋体"/>
          <w:color w:val="auto"/>
          <w:highlight w:val="none"/>
        </w:rPr>
        <w:t>84</w:t>
      </w:r>
      <w:r>
        <w:rPr>
          <w:rFonts w:ascii="宋体" w:hAnsi="宋体"/>
          <w:color w:val="auto"/>
          <w:highlight w:val="none"/>
        </w:rPr>
        <w:t>m；最低水位：</w:t>
      </w:r>
      <w:r>
        <w:rPr>
          <w:rFonts w:hint="eastAsia" w:ascii="宋体" w:hAnsi="宋体"/>
          <w:color w:val="auto"/>
          <w:highlight w:val="none"/>
        </w:rPr>
        <w:t>80</w:t>
      </w:r>
      <w:r>
        <w:rPr>
          <w:rFonts w:ascii="宋体" w:hAnsi="宋体"/>
          <w:color w:val="auto"/>
          <w:highlight w:val="none"/>
        </w:rPr>
        <w:t>m。</w:t>
      </w:r>
      <w:r>
        <w:rPr>
          <w:rFonts w:hint="eastAsia" w:ascii="宋体" w:hAnsi="宋体"/>
          <w:color w:val="auto"/>
          <w:highlight w:val="none"/>
        </w:rPr>
        <w:t>东郊水厂配水池高程53m，四级加压泵站地面高程42m。</w:t>
      </w:r>
    </w:p>
    <w:p>
      <w:pPr>
        <w:ind w:firstLine="480"/>
        <w:contextualSpacing/>
        <w:jc w:val="left"/>
        <w:rPr>
          <w:rFonts w:ascii="宋体" w:hAnsi="宋体"/>
          <w:color w:val="auto"/>
          <w:highlight w:val="none"/>
        </w:rPr>
      </w:pPr>
      <w:r>
        <w:rPr>
          <w:rFonts w:hint="eastAsia" w:ascii="宋体" w:hAnsi="宋体"/>
          <w:color w:val="auto"/>
          <w:highlight w:val="none"/>
        </w:rPr>
        <w:t>DN</w:t>
      </w:r>
      <w:r>
        <w:rPr>
          <w:rFonts w:hint="eastAsia" w:ascii="宋体" w:hAnsi="宋体"/>
          <w:color w:val="auto"/>
          <w:highlight w:val="none"/>
          <w:lang w:val="en-US" w:eastAsia="zh-CN"/>
        </w:rPr>
        <w:t>9</w:t>
      </w:r>
      <w:r>
        <w:rPr>
          <w:rFonts w:hint="eastAsia" w:ascii="宋体" w:hAnsi="宋体"/>
          <w:color w:val="auto"/>
          <w:highlight w:val="none"/>
        </w:rPr>
        <w:t>00</w:t>
      </w:r>
      <w:r>
        <w:rPr>
          <w:rFonts w:ascii="宋体" w:hAnsi="宋体"/>
          <w:color w:val="auto"/>
          <w:highlight w:val="none"/>
        </w:rPr>
        <w:t>管道产生的水头损失约为</w:t>
      </w:r>
      <w:r>
        <w:rPr>
          <w:rFonts w:hint="eastAsia" w:ascii="宋体" w:hAnsi="宋体"/>
          <w:color w:val="auto"/>
          <w:highlight w:val="none"/>
        </w:rPr>
        <w:t xml:space="preserve"> 20.46</w:t>
      </w:r>
      <w:r>
        <w:rPr>
          <w:rFonts w:ascii="宋体" w:hAnsi="宋体"/>
          <w:color w:val="auto"/>
          <w:highlight w:val="none"/>
        </w:rPr>
        <w:t>m。管道设计流量按</w:t>
      </w:r>
      <w:r>
        <w:rPr>
          <w:rFonts w:hint="eastAsia" w:ascii="宋体" w:hAnsi="宋体"/>
          <w:color w:val="auto"/>
          <w:highlight w:val="none"/>
          <w:lang w:val="en-US" w:eastAsia="zh-CN"/>
        </w:rPr>
        <w:t>0.8</w:t>
      </w:r>
      <w:r>
        <w:rPr>
          <w:rFonts w:ascii="宋体" w:hAnsi="宋体"/>
          <w:color w:val="auto"/>
          <w:highlight w:val="none"/>
        </w:rPr>
        <w:t>m³/s。</w:t>
      </w:r>
    </w:p>
    <w:p>
      <w:pPr>
        <w:ind w:firstLine="480"/>
        <w:contextualSpacing/>
        <w:jc w:val="left"/>
        <w:rPr>
          <w:rFonts w:ascii="宋体" w:hAnsi="宋体"/>
          <w:color w:val="auto"/>
          <w:highlight w:val="none"/>
        </w:rPr>
      </w:pPr>
      <w:r>
        <w:rPr>
          <w:rFonts w:hint="eastAsia" w:ascii="宋体" w:hAnsi="宋体"/>
          <w:color w:val="auto"/>
          <w:highlight w:val="none"/>
        </w:rPr>
        <w:t>DN800</w:t>
      </w:r>
      <w:r>
        <w:rPr>
          <w:rFonts w:ascii="宋体" w:hAnsi="宋体"/>
          <w:color w:val="auto"/>
          <w:highlight w:val="none"/>
        </w:rPr>
        <w:t>管道产生的水头损失约为</w:t>
      </w:r>
      <w:r>
        <w:rPr>
          <w:rFonts w:hint="eastAsia" w:ascii="宋体" w:hAnsi="宋体"/>
          <w:color w:val="auto"/>
          <w:highlight w:val="none"/>
        </w:rPr>
        <w:t xml:space="preserve"> 32.64</w:t>
      </w:r>
      <w:r>
        <w:rPr>
          <w:rFonts w:ascii="宋体" w:hAnsi="宋体"/>
          <w:color w:val="auto"/>
          <w:highlight w:val="none"/>
        </w:rPr>
        <w:t>m。管道设计流量按</w:t>
      </w:r>
      <w:r>
        <w:rPr>
          <w:rFonts w:hint="eastAsia" w:ascii="宋体" w:hAnsi="宋体"/>
          <w:color w:val="auto"/>
          <w:highlight w:val="none"/>
        </w:rPr>
        <w:t>0.694</w:t>
      </w:r>
      <w:r>
        <w:rPr>
          <w:rFonts w:ascii="宋体" w:hAnsi="宋体"/>
          <w:color w:val="auto"/>
          <w:highlight w:val="none"/>
        </w:rPr>
        <w:t>m³/s。</w:t>
      </w:r>
    </w:p>
    <w:p>
      <w:pPr>
        <w:ind w:firstLine="480"/>
        <w:contextualSpacing/>
        <w:jc w:val="left"/>
        <w:rPr>
          <w:rFonts w:ascii="宋体" w:hAnsi="宋体"/>
          <w:color w:val="auto"/>
          <w:highlight w:val="none"/>
        </w:rPr>
      </w:pPr>
      <w:r>
        <w:rPr>
          <w:rFonts w:hint="eastAsia" w:ascii="宋体" w:hAnsi="宋体"/>
          <w:color w:val="auto"/>
          <w:highlight w:val="none"/>
        </w:rPr>
        <w:t>2、泵站扬程计算</w:t>
      </w:r>
    </w:p>
    <w:p>
      <w:pPr>
        <w:ind w:firstLine="480"/>
        <w:contextualSpacing/>
        <w:jc w:val="left"/>
        <w:rPr>
          <w:rFonts w:ascii="宋体" w:hAnsi="宋体"/>
          <w:color w:val="auto"/>
          <w:highlight w:val="none"/>
        </w:rPr>
      </w:pPr>
      <w:r>
        <w:rPr>
          <w:rFonts w:hint="eastAsia" w:ascii="宋体" w:hAnsi="宋体"/>
          <w:color w:val="auto"/>
          <w:highlight w:val="none"/>
        </w:rPr>
        <w:t>泵站扬程为：32m。</w:t>
      </w:r>
    </w:p>
    <w:p>
      <w:pPr>
        <w:pStyle w:val="5"/>
        <w:rPr>
          <w:color w:val="auto"/>
          <w:highlight w:val="none"/>
        </w:rPr>
      </w:pPr>
      <w:r>
        <w:rPr>
          <w:rFonts w:hint="eastAsia"/>
          <w:color w:val="auto"/>
          <w:highlight w:val="none"/>
        </w:rPr>
        <w:t>5.2.8.3水泵选型</w:t>
      </w:r>
    </w:p>
    <w:p>
      <w:pPr>
        <w:ind w:firstLine="480"/>
        <w:contextualSpacing/>
        <w:jc w:val="left"/>
        <w:rPr>
          <w:rFonts w:ascii="宋体" w:hAnsi="宋体"/>
          <w:color w:val="auto"/>
          <w:highlight w:val="none"/>
        </w:rPr>
      </w:pPr>
      <w:r>
        <w:rPr>
          <w:rFonts w:hint="eastAsia" w:ascii="宋体" w:hAnsi="宋体"/>
          <w:color w:val="auto"/>
          <w:highlight w:val="none"/>
        </w:rPr>
        <w:t>按计算得的扬程及泵站流量选择水泵型号</w:t>
      </w:r>
      <w:r>
        <w:rPr>
          <w:rFonts w:ascii="宋体" w:hAnsi="宋体"/>
          <w:color w:val="auto"/>
          <w:highlight w:val="none"/>
        </w:rPr>
        <w:t>350KQW</w:t>
      </w:r>
      <w:r>
        <w:rPr>
          <w:rFonts w:hint="eastAsia" w:ascii="宋体" w:hAnsi="宋体"/>
          <w:color w:val="auto"/>
          <w:highlight w:val="none"/>
          <w:lang w:val="en-US" w:eastAsia="zh-CN"/>
        </w:rPr>
        <w:t>1200-32</w:t>
      </w:r>
      <w:r>
        <w:rPr>
          <w:rFonts w:ascii="宋体" w:hAnsi="宋体"/>
          <w:color w:val="auto"/>
          <w:highlight w:val="none"/>
        </w:rPr>
        <w:t>-</w:t>
      </w:r>
      <w:r>
        <w:rPr>
          <w:rFonts w:hint="eastAsia" w:ascii="宋体" w:hAnsi="宋体"/>
          <w:color w:val="auto"/>
          <w:highlight w:val="none"/>
          <w:lang w:val="en-US" w:eastAsia="zh-CN"/>
        </w:rPr>
        <w:t>160/4</w:t>
      </w:r>
      <w:r>
        <w:rPr>
          <w:rFonts w:hint="eastAsia" w:ascii="宋体" w:hAnsi="宋体"/>
          <w:color w:val="auto"/>
          <w:highlight w:val="none"/>
        </w:rPr>
        <w:t xml:space="preserve">。 </w:t>
      </w:r>
    </w:p>
    <w:p>
      <w:pPr>
        <w:pStyle w:val="5"/>
        <w:rPr>
          <w:color w:val="auto"/>
          <w:highlight w:val="none"/>
        </w:rPr>
      </w:pPr>
      <w:r>
        <w:rPr>
          <w:rFonts w:hint="eastAsia"/>
          <w:color w:val="auto"/>
          <w:highlight w:val="none"/>
        </w:rPr>
        <w:t>5.2.8.4设备布置</w:t>
      </w:r>
    </w:p>
    <w:p>
      <w:pPr>
        <w:ind w:firstLine="480"/>
        <w:contextualSpacing/>
        <w:jc w:val="left"/>
        <w:rPr>
          <w:rFonts w:ascii="宋体" w:hAnsi="宋体"/>
          <w:color w:val="auto"/>
          <w:highlight w:val="none"/>
        </w:rPr>
      </w:pPr>
      <w:r>
        <w:rPr>
          <w:rFonts w:hint="eastAsia" w:ascii="宋体" w:hAnsi="宋体"/>
          <w:color w:val="auto"/>
          <w:highlight w:val="none"/>
        </w:rPr>
        <w:t>泵站共安装5台机组，泵站采用单列排列，机组间距4.2</w:t>
      </w:r>
      <w:r>
        <w:rPr>
          <w:rFonts w:ascii="宋体" w:hAnsi="宋体"/>
          <w:color w:val="auto"/>
          <w:highlight w:val="none"/>
        </w:rPr>
        <w:t>m</w:t>
      </w:r>
      <w:r>
        <w:rPr>
          <w:rFonts w:hint="eastAsia" w:ascii="宋体" w:hAnsi="宋体"/>
          <w:color w:val="auto"/>
          <w:highlight w:val="none"/>
        </w:rPr>
        <w:t>。</w:t>
      </w:r>
    </w:p>
    <w:p>
      <w:pPr>
        <w:ind w:firstLine="480"/>
        <w:contextualSpacing/>
        <w:jc w:val="left"/>
        <w:rPr>
          <w:rFonts w:ascii="宋体" w:hAnsi="宋体"/>
          <w:color w:val="auto"/>
          <w:highlight w:val="none"/>
        </w:rPr>
      </w:pPr>
      <w:r>
        <w:rPr>
          <w:rFonts w:hint="eastAsia" w:ascii="宋体" w:hAnsi="宋体"/>
          <w:color w:val="auto"/>
          <w:highlight w:val="none"/>
        </w:rPr>
        <w:t>水泵进水管上设电动碟阀，直径500</w:t>
      </w:r>
      <w:r>
        <w:rPr>
          <w:rFonts w:ascii="宋体" w:hAnsi="宋体"/>
          <w:color w:val="auto"/>
          <w:highlight w:val="none"/>
        </w:rPr>
        <w:t>mm</w:t>
      </w:r>
      <w:r>
        <w:rPr>
          <w:rFonts w:hint="eastAsia" w:ascii="宋体" w:hAnsi="宋体"/>
          <w:color w:val="auto"/>
          <w:highlight w:val="none"/>
        </w:rPr>
        <w:t>，压力1.0Mp</w:t>
      </w:r>
      <w:r>
        <w:rPr>
          <w:rFonts w:ascii="宋体" w:hAnsi="宋体"/>
          <w:color w:val="auto"/>
          <w:highlight w:val="none"/>
        </w:rPr>
        <w:t>a</w:t>
      </w:r>
      <w:r>
        <w:rPr>
          <w:rFonts w:hint="eastAsia" w:ascii="宋体" w:hAnsi="宋体"/>
          <w:color w:val="auto"/>
          <w:highlight w:val="none"/>
        </w:rPr>
        <w:t>，碟阀与水泵间设橡胶减震器。离心水泵需关阀起动，在每台水泵出口设泵站型自动保压液控碟阀和电动碟阀，直径500</w:t>
      </w:r>
      <w:r>
        <w:rPr>
          <w:rFonts w:ascii="宋体" w:hAnsi="宋体"/>
          <w:color w:val="auto"/>
          <w:highlight w:val="none"/>
        </w:rPr>
        <w:t>mm</w:t>
      </w:r>
      <w:r>
        <w:rPr>
          <w:rFonts w:hint="eastAsia" w:ascii="宋体" w:hAnsi="宋体"/>
          <w:color w:val="auto"/>
          <w:highlight w:val="none"/>
        </w:rPr>
        <w:t>，压力1.0Mp</w:t>
      </w:r>
      <w:r>
        <w:rPr>
          <w:rFonts w:ascii="宋体" w:hAnsi="宋体"/>
          <w:color w:val="auto"/>
          <w:highlight w:val="none"/>
        </w:rPr>
        <w:t>a</w:t>
      </w:r>
      <w:r>
        <w:rPr>
          <w:rFonts w:hint="eastAsia" w:ascii="宋体" w:hAnsi="宋体"/>
          <w:color w:val="auto"/>
          <w:highlight w:val="none"/>
        </w:rPr>
        <w:t>。液控碟阀为工作阀门，电动碟阀为检修阀门。液控碟阀能按预定程序实现泵阀联动，能够实现远距离控制，在60</w:t>
      </w:r>
      <w:r>
        <w:rPr>
          <w:rFonts w:ascii="宋体" w:hAnsi="宋体"/>
          <w:color w:val="auto"/>
          <w:highlight w:val="none"/>
        </w:rPr>
        <w:t>s</w:t>
      </w:r>
      <w:r>
        <w:rPr>
          <w:rFonts w:hint="eastAsia" w:ascii="宋体" w:hAnsi="宋体"/>
          <w:color w:val="auto"/>
          <w:highlight w:val="none"/>
        </w:rPr>
        <w:t>内可以根据需要调整关闭时间。特别是在事故停泵时，阀门可自动按预先设定的程序分快、慢两阶段关闭，具有良好的消除水锤效能。</w:t>
      </w:r>
    </w:p>
    <w:p>
      <w:pPr>
        <w:ind w:firstLine="480"/>
        <w:contextualSpacing/>
        <w:jc w:val="left"/>
        <w:rPr>
          <w:rFonts w:ascii="宋体" w:hAnsi="宋体"/>
          <w:color w:val="auto"/>
          <w:highlight w:val="none"/>
        </w:rPr>
      </w:pPr>
      <w:r>
        <w:rPr>
          <w:rFonts w:hint="eastAsia" w:ascii="宋体" w:hAnsi="宋体"/>
          <w:color w:val="auto"/>
          <w:highlight w:val="none"/>
        </w:rPr>
        <w:t>出水管上设传力式伸缩器。5台水泵出水管合并为1根总输水管，总输水管直径DN1000mm。在总输水管上设多声道超声波流量计1台，用以测量供水量。</w:t>
      </w:r>
    </w:p>
    <w:p>
      <w:pPr>
        <w:ind w:firstLine="480"/>
        <w:contextualSpacing/>
        <w:jc w:val="left"/>
        <w:rPr>
          <w:rFonts w:ascii="宋体" w:hAnsi="宋体"/>
          <w:color w:val="auto"/>
          <w:highlight w:val="none"/>
        </w:rPr>
      </w:pPr>
      <w:r>
        <w:rPr>
          <w:rFonts w:hint="eastAsia" w:ascii="宋体" w:hAnsi="宋体"/>
          <w:color w:val="auto"/>
          <w:highlight w:val="none"/>
        </w:rPr>
        <w:t>在确定水泵安装高程时，考虑到取水水位水位低于地面较多，水泵配备抽真空装置，这样可以充分利用水泵的吸上性能，提高水泵的安装高程，减少泵站开挖深度。确定水泵安装高程为85.5m（水泵传动轴中心）。水泵在低水位启动时，需要抽真空，真空泵型号为SZB-8，共3台，2用1备。</w:t>
      </w:r>
    </w:p>
    <w:p>
      <w:pPr>
        <w:pStyle w:val="5"/>
        <w:rPr>
          <w:color w:val="auto"/>
          <w:highlight w:val="none"/>
        </w:rPr>
      </w:pPr>
      <w:r>
        <w:rPr>
          <w:rFonts w:hint="eastAsia"/>
          <w:color w:val="auto"/>
          <w:highlight w:val="none"/>
        </w:rPr>
        <w:t>5.2.8.5辅助系统</w:t>
      </w:r>
    </w:p>
    <w:p>
      <w:pPr>
        <w:ind w:firstLine="480"/>
        <w:contextualSpacing/>
        <w:jc w:val="left"/>
        <w:rPr>
          <w:rFonts w:ascii="宋体" w:hAnsi="宋体"/>
          <w:color w:val="auto"/>
          <w:highlight w:val="none"/>
        </w:rPr>
      </w:pPr>
      <w:r>
        <w:rPr>
          <w:rFonts w:hint="eastAsia" w:ascii="宋体" w:hAnsi="宋体"/>
          <w:color w:val="auto"/>
          <w:highlight w:val="none"/>
        </w:rPr>
        <w:t>（1）排水系统</w:t>
      </w:r>
    </w:p>
    <w:p>
      <w:pPr>
        <w:ind w:firstLine="480"/>
        <w:contextualSpacing/>
        <w:jc w:val="left"/>
        <w:rPr>
          <w:rFonts w:ascii="宋体" w:hAnsi="宋体"/>
          <w:color w:val="auto"/>
          <w:highlight w:val="none"/>
        </w:rPr>
      </w:pPr>
      <w:r>
        <w:rPr>
          <w:rFonts w:hint="eastAsia" w:ascii="宋体" w:hAnsi="宋体"/>
          <w:color w:val="auto"/>
          <w:highlight w:val="none"/>
        </w:rPr>
        <w:t>泵站主厂房内设集水井一个，尺寸1.5×1.0×1.5m(长×宽×高)，设排水泵2台，排水泵型号QX-10，流量8.5m</w:t>
      </w:r>
      <w:r>
        <w:rPr>
          <w:rFonts w:hint="eastAsia" w:ascii="宋体" w:hAnsi="宋体"/>
          <w:color w:val="auto"/>
          <w:highlight w:val="none"/>
          <w:vertAlign w:val="superscript"/>
        </w:rPr>
        <w:t>3</w:t>
      </w:r>
      <w:r>
        <w:rPr>
          <w:rFonts w:hint="eastAsia" w:ascii="宋体" w:hAnsi="宋体"/>
          <w:color w:val="auto"/>
          <w:highlight w:val="none"/>
        </w:rPr>
        <w:t>/h，扬程10m，排水泵排水至室外，设YW-67型液位信号器1个，控制排水泵自动开停。主厂房内集水以管件渗漏水为主，水量较小。</w:t>
      </w:r>
    </w:p>
    <w:p>
      <w:pPr>
        <w:ind w:firstLine="480"/>
        <w:contextualSpacing/>
        <w:jc w:val="left"/>
        <w:rPr>
          <w:rFonts w:ascii="宋体" w:hAnsi="宋体"/>
          <w:color w:val="auto"/>
          <w:highlight w:val="none"/>
        </w:rPr>
      </w:pPr>
      <w:r>
        <w:rPr>
          <w:rFonts w:hint="eastAsia" w:ascii="宋体" w:hAnsi="宋体"/>
          <w:color w:val="auto"/>
          <w:highlight w:val="none"/>
        </w:rPr>
        <w:t>（2）起重设备</w:t>
      </w:r>
    </w:p>
    <w:p>
      <w:pPr>
        <w:ind w:firstLine="480"/>
        <w:contextualSpacing/>
        <w:jc w:val="left"/>
        <w:rPr>
          <w:rFonts w:ascii="宋体" w:hAnsi="宋体"/>
          <w:color w:val="auto"/>
          <w:highlight w:val="none"/>
        </w:rPr>
      </w:pPr>
      <w:r>
        <w:rPr>
          <w:rFonts w:hint="eastAsia" w:ascii="宋体" w:hAnsi="宋体"/>
          <w:color w:val="auto"/>
          <w:highlight w:val="none"/>
        </w:rPr>
        <w:t>主厂房内设电动单梁起重机1台，起重量2t，跨度6.5m。</w:t>
      </w:r>
    </w:p>
    <w:p>
      <w:pPr>
        <w:ind w:firstLine="480"/>
        <w:contextualSpacing/>
        <w:jc w:val="left"/>
        <w:rPr>
          <w:rFonts w:ascii="宋体" w:hAnsi="宋体"/>
          <w:color w:val="auto"/>
          <w:highlight w:val="none"/>
        </w:rPr>
      </w:pPr>
      <w:r>
        <w:rPr>
          <w:rFonts w:hint="eastAsia" w:ascii="宋体" w:hAnsi="宋体"/>
          <w:color w:val="auto"/>
          <w:highlight w:val="none"/>
        </w:rPr>
        <w:t>（3）测量系统</w:t>
      </w:r>
    </w:p>
    <w:p>
      <w:pPr>
        <w:ind w:firstLine="480"/>
        <w:contextualSpacing/>
        <w:jc w:val="left"/>
        <w:rPr>
          <w:rFonts w:ascii="宋体" w:hAnsi="宋体"/>
          <w:color w:val="auto"/>
          <w:highlight w:val="none"/>
        </w:rPr>
      </w:pPr>
      <w:r>
        <w:rPr>
          <w:rFonts w:hint="eastAsia" w:ascii="宋体" w:hAnsi="宋体"/>
          <w:color w:val="auto"/>
          <w:highlight w:val="none"/>
        </w:rPr>
        <w:t>每台水泵出口装有压力传感器，可以测定水泵出口压力，并具备远传功能。</w:t>
      </w:r>
    </w:p>
    <w:p>
      <w:pPr>
        <w:ind w:firstLine="480"/>
        <w:contextualSpacing/>
        <w:jc w:val="left"/>
        <w:rPr>
          <w:rFonts w:ascii="宋体" w:hAnsi="宋体"/>
          <w:color w:val="auto"/>
          <w:highlight w:val="none"/>
        </w:rPr>
      </w:pPr>
      <w:r>
        <w:rPr>
          <w:rFonts w:hint="eastAsia" w:ascii="宋体" w:hAnsi="宋体"/>
          <w:color w:val="auto"/>
          <w:highlight w:val="none"/>
        </w:rPr>
        <w:t>在总输水管上设多声道超声波流量计一台，用以测量供水量。口径为DN1000</w:t>
      </w:r>
      <w:r>
        <w:rPr>
          <w:rFonts w:ascii="宋体" w:hAnsi="宋体"/>
          <w:color w:val="auto"/>
          <w:highlight w:val="none"/>
        </w:rPr>
        <w:t>mm</w:t>
      </w:r>
      <w:r>
        <w:rPr>
          <w:rFonts w:hint="eastAsia" w:ascii="宋体" w:hAnsi="宋体"/>
          <w:color w:val="auto"/>
          <w:highlight w:val="none"/>
        </w:rPr>
        <w:t>。</w:t>
      </w:r>
    </w:p>
    <w:p>
      <w:pPr>
        <w:pStyle w:val="5"/>
        <w:rPr>
          <w:color w:val="auto"/>
          <w:highlight w:val="none"/>
        </w:rPr>
      </w:pPr>
      <w:r>
        <w:rPr>
          <w:rFonts w:hint="eastAsia"/>
          <w:color w:val="auto"/>
          <w:highlight w:val="none"/>
        </w:rPr>
        <w:t>5.2.8.6主要机电设备表</w:t>
      </w:r>
    </w:p>
    <w:p>
      <w:pPr>
        <w:pStyle w:val="152"/>
        <w:rPr>
          <w:snapToGrid w:val="0"/>
          <w:color w:val="auto"/>
          <w:w w:val="0"/>
          <w:highlight w:val="none"/>
        </w:rPr>
      </w:pPr>
      <w:r>
        <w:rPr>
          <w:rFonts w:hint="eastAsia"/>
          <w:snapToGrid w:val="0"/>
          <w:color w:val="auto"/>
          <w:w w:val="0"/>
          <w:highlight w:val="none"/>
        </w:rPr>
        <w:t>表</w:t>
      </w:r>
      <w:r>
        <w:rPr>
          <w:rFonts w:hint="eastAsia" w:ascii="黑体" w:hAnsi="黑体"/>
          <w:bCs w:val="0"/>
          <w:color w:val="auto"/>
          <w:highlight w:val="none"/>
        </w:rPr>
        <w:t>5.2.7.6</w:t>
      </w:r>
      <w:r>
        <w:rPr>
          <w:rFonts w:hint="eastAsia"/>
          <w:snapToGrid w:val="0"/>
          <w:color w:val="auto"/>
          <w:w w:val="0"/>
          <w:highlight w:val="none"/>
        </w:rPr>
        <w:t xml:space="preserve">                     主要机电设备表</w:t>
      </w:r>
    </w:p>
    <w:tbl>
      <w:tblPr>
        <w:tblStyle w:val="33"/>
        <w:tblW w:w="8392" w:type="dxa"/>
        <w:jc w:val="center"/>
        <w:tblLayout w:type="autofit"/>
        <w:tblCellMar>
          <w:top w:w="0" w:type="dxa"/>
          <w:left w:w="0" w:type="dxa"/>
          <w:bottom w:w="0" w:type="dxa"/>
          <w:right w:w="0" w:type="dxa"/>
        </w:tblCellMar>
      </w:tblPr>
      <w:tblGrid>
        <w:gridCol w:w="760"/>
        <w:gridCol w:w="2775"/>
        <w:gridCol w:w="2743"/>
        <w:gridCol w:w="1090"/>
        <w:gridCol w:w="1024"/>
      </w:tblGrid>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Chars="0"/>
              <w:rPr>
                <w:rFonts w:ascii="宋体" w:hAnsi="宋体"/>
                <w:color w:val="auto"/>
                <w:sz w:val="21"/>
                <w:szCs w:val="21"/>
                <w:highlight w:val="none"/>
              </w:rPr>
            </w:pPr>
            <w:r>
              <w:rPr>
                <w:rFonts w:hint="eastAsia" w:ascii="宋体" w:hAnsi="宋体"/>
                <w:color w:val="auto"/>
                <w:sz w:val="21"/>
                <w:szCs w:val="21"/>
                <w:highlight w:val="none"/>
              </w:rPr>
              <w:t>序号序号序号</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名</w:t>
            </w:r>
            <w:r>
              <w:rPr>
                <w:rFonts w:ascii="宋体" w:hAnsi="宋体"/>
                <w:color w:val="auto"/>
                <w:sz w:val="21"/>
                <w:szCs w:val="21"/>
                <w:highlight w:val="none"/>
              </w:rPr>
              <w:t xml:space="preserve">     </w:t>
            </w:r>
            <w:r>
              <w:rPr>
                <w:rFonts w:hint="eastAsia" w:ascii="宋体" w:hAnsi="宋体"/>
                <w:color w:val="auto"/>
                <w:sz w:val="21"/>
                <w:szCs w:val="21"/>
                <w:highlight w:val="none"/>
              </w:rPr>
              <w:t>称</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型</w:t>
            </w:r>
            <w:r>
              <w:rPr>
                <w:rFonts w:ascii="宋体" w:hAnsi="宋体"/>
                <w:color w:val="auto"/>
                <w:sz w:val="21"/>
                <w:szCs w:val="21"/>
                <w:highlight w:val="none"/>
              </w:rPr>
              <w:t xml:space="preserve">         </w:t>
            </w:r>
            <w:r>
              <w:rPr>
                <w:rFonts w:hint="eastAsia" w:ascii="宋体" w:hAnsi="宋体"/>
                <w:color w:val="auto"/>
                <w:sz w:val="21"/>
                <w:szCs w:val="21"/>
                <w:highlight w:val="none"/>
              </w:rPr>
              <w:t>号</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Chars="0"/>
              <w:rPr>
                <w:rFonts w:ascii="宋体" w:hAnsi="宋体"/>
                <w:color w:val="auto"/>
                <w:sz w:val="21"/>
                <w:szCs w:val="21"/>
                <w:highlight w:val="none"/>
              </w:rPr>
            </w:pPr>
            <w:r>
              <w:rPr>
                <w:rFonts w:hint="eastAsia" w:ascii="宋体" w:hAnsi="宋体"/>
                <w:color w:val="auto"/>
                <w:sz w:val="21"/>
                <w:szCs w:val="21"/>
                <w:highlight w:val="none"/>
              </w:rPr>
              <w:t>单位</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Chars="0"/>
              <w:rPr>
                <w:rFonts w:ascii="宋体" w:hAnsi="宋体"/>
                <w:color w:val="auto"/>
                <w:sz w:val="21"/>
                <w:szCs w:val="21"/>
                <w:highlight w:val="none"/>
              </w:rPr>
            </w:pPr>
            <w:r>
              <w:rPr>
                <w:rFonts w:hint="eastAsia" w:ascii="宋体" w:hAnsi="宋体"/>
                <w:color w:val="auto"/>
                <w:sz w:val="21"/>
                <w:szCs w:val="21"/>
                <w:highlight w:val="none"/>
              </w:rPr>
              <w:t>数量</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105" w:firstLineChars="50"/>
              <w:jc w:val="center"/>
              <w:rPr>
                <w:rFonts w:ascii="宋体" w:hAnsi="宋体"/>
                <w:color w:val="auto"/>
                <w:sz w:val="21"/>
                <w:szCs w:val="21"/>
                <w:highlight w:val="none"/>
              </w:rPr>
            </w:pPr>
            <w:r>
              <w:rPr>
                <w:rFonts w:hint="eastAsia" w:ascii="宋体" w:hAnsi="宋体"/>
                <w:color w:val="auto"/>
                <w:sz w:val="21"/>
                <w:szCs w:val="21"/>
                <w:highlight w:val="none"/>
              </w:rPr>
              <w:t>1</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离心泵</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ascii="宋体" w:hAnsi="宋体"/>
                <w:color w:val="auto"/>
                <w:sz w:val="21"/>
                <w:szCs w:val="21"/>
                <w:highlight w:val="none"/>
              </w:rPr>
              <w:t>KQW350/525-132/6(Z)</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台</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5</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0" w:firstLineChars="0"/>
              <w:jc w:val="center"/>
              <w:rPr>
                <w:rFonts w:ascii="宋体" w:hAnsi="宋体"/>
                <w:color w:val="auto"/>
                <w:sz w:val="21"/>
                <w:szCs w:val="21"/>
                <w:highlight w:val="none"/>
              </w:rPr>
            </w:pPr>
            <w:r>
              <w:rPr>
                <w:rFonts w:hint="eastAsia" w:ascii="宋体" w:hAnsi="宋体"/>
                <w:color w:val="auto"/>
                <w:sz w:val="21"/>
                <w:szCs w:val="21"/>
                <w:highlight w:val="none"/>
              </w:rPr>
              <w:t xml:space="preserve"> 2</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电动机</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台</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5</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0" w:firstLineChars="0"/>
              <w:jc w:val="center"/>
              <w:rPr>
                <w:rFonts w:ascii="宋体" w:hAnsi="宋体"/>
                <w:color w:val="auto"/>
                <w:sz w:val="21"/>
                <w:szCs w:val="21"/>
                <w:highlight w:val="none"/>
              </w:rPr>
            </w:pPr>
            <w:r>
              <w:rPr>
                <w:rFonts w:hint="eastAsia" w:ascii="宋体" w:hAnsi="宋体"/>
                <w:color w:val="auto"/>
                <w:sz w:val="21"/>
                <w:szCs w:val="21"/>
                <w:highlight w:val="none"/>
              </w:rPr>
              <w:t xml:space="preserve"> 3</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橡胶减震器</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DN350</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台</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5</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0" w:firstLineChars="0"/>
              <w:jc w:val="center"/>
              <w:rPr>
                <w:rFonts w:ascii="宋体" w:hAnsi="宋体"/>
                <w:color w:val="auto"/>
                <w:sz w:val="21"/>
                <w:szCs w:val="21"/>
                <w:highlight w:val="none"/>
              </w:rPr>
            </w:pPr>
            <w:r>
              <w:rPr>
                <w:rFonts w:hint="eastAsia" w:ascii="宋体" w:hAnsi="宋体"/>
                <w:color w:val="auto"/>
                <w:sz w:val="21"/>
                <w:szCs w:val="21"/>
                <w:highlight w:val="none"/>
              </w:rPr>
              <w:t xml:space="preserve"> 4</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橡胶减震器</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DN350</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台</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5</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jc w:val="center"/>
              <w:rPr>
                <w:rFonts w:ascii="宋体" w:hAnsi="宋体"/>
                <w:color w:val="auto"/>
                <w:sz w:val="21"/>
                <w:szCs w:val="21"/>
                <w:highlight w:val="none"/>
              </w:rPr>
            </w:pPr>
            <w:r>
              <w:rPr>
                <w:rFonts w:hint="eastAsia" w:ascii="宋体" w:hAnsi="宋体"/>
                <w:color w:val="auto"/>
                <w:sz w:val="21"/>
                <w:szCs w:val="21"/>
                <w:highlight w:val="none"/>
              </w:rPr>
              <w:t>5</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起重机</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台</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1</w:t>
            </w:r>
          </w:p>
        </w:tc>
      </w:tr>
      <w:tr>
        <w:tblPrEx>
          <w:tblCellMar>
            <w:top w:w="0" w:type="dxa"/>
            <w:left w:w="0" w:type="dxa"/>
            <w:bottom w:w="0" w:type="dxa"/>
            <w:right w:w="0" w:type="dxa"/>
          </w:tblCellMar>
        </w:tblPrEx>
        <w:trPr>
          <w:cantSplit/>
          <w:trHeight w:val="495"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jc w:val="center"/>
              <w:rPr>
                <w:rFonts w:ascii="宋体" w:hAnsi="宋体"/>
                <w:color w:val="auto"/>
                <w:sz w:val="21"/>
                <w:szCs w:val="21"/>
                <w:highlight w:val="none"/>
              </w:rPr>
            </w:pPr>
            <w:r>
              <w:rPr>
                <w:rFonts w:hint="eastAsia" w:ascii="宋体" w:hAnsi="宋体"/>
                <w:color w:val="auto"/>
                <w:sz w:val="21"/>
                <w:szCs w:val="21"/>
                <w:highlight w:val="none"/>
              </w:rPr>
              <w:t>6</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电动蝶阀</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DN500</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台</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10</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jc w:val="center"/>
              <w:rPr>
                <w:rFonts w:ascii="宋体" w:hAnsi="宋体"/>
                <w:color w:val="auto"/>
                <w:sz w:val="21"/>
                <w:szCs w:val="21"/>
                <w:highlight w:val="none"/>
              </w:rPr>
            </w:pPr>
            <w:r>
              <w:rPr>
                <w:rFonts w:hint="eastAsia" w:ascii="宋体" w:hAnsi="宋体"/>
                <w:color w:val="auto"/>
                <w:sz w:val="21"/>
                <w:szCs w:val="21"/>
                <w:highlight w:val="none"/>
              </w:rPr>
              <w:t>7</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液控蝶阀</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DN500</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台</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5</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jc w:val="center"/>
              <w:rPr>
                <w:rFonts w:ascii="宋体" w:hAnsi="宋体"/>
                <w:color w:val="auto"/>
                <w:sz w:val="21"/>
                <w:szCs w:val="21"/>
                <w:highlight w:val="none"/>
              </w:rPr>
            </w:pPr>
            <w:r>
              <w:rPr>
                <w:rFonts w:hint="eastAsia" w:ascii="宋体" w:hAnsi="宋体"/>
                <w:color w:val="auto"/>
                <w:sz w:val="21"/>
                <w:szCs w:val="21"/>
                <w:highlight w:val="none"/>
              </w:rPr>
              <w:t>8</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传力伸缩器</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DN500</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台</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10</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jc w:val="center"/>
              <w:rPr>
                <w:rFonts w:ascii="宋体" w:hAnsi="宋体"/>
                <w:color w:val="auto"/>
                <w:sz w:val="21"/>
                <w:szCs w:val="21"/>
                <w:highlight w:val="none"/>
              </w:rPr>
            </w:pPr>
            <w:r>
              <w:rPr>
                <w:rFonts w:hint="eastAsia" w:ascii="宋体" w:hAnsi="宋体"/>
                <w:color w:val="auto"/>
                <w:sz w:val="21"/>
                <w:szCs w:val="21"/>
                <w:highlight w:val="none"/>
              </w:rPr>
              <w:t>9</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排水系统</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套</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1</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left="240" w:right="240" w:firstLine="0" w:firstLineChars="0"/>
              <w:jc w:val="center"/>
              <w:rPr>
                <w:rFonts w:ascii="宋体" w:hAnsi="宋体"/>
                <w:color w:val="auto"/>
                <w:sz w:val="21"/>
                <w:szCs w:val="21"/>
                <w:highlight w:val="none"/>
              </w:rPr>
            </w:pPr>
            <w:r>
              <w:rPr>
                <w:rFonts w:hint="eastAsia" w:ascii="宋体" w:hAnsi="宋体"/>
                <w:color w:val="auto"/>
                <w:sz w:val="21"/>
                <w:szCs w:val="21"/>
                <w:highlight w:val="none"/>
              </w:rPr>
              <w:t>10</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多声道超声波流量计</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DN1000</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套</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1</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left="240" w:right="240" w:firstLine="0" w:firstLineChars="0"/>
              <w:jc w:val="center"/>
              <w:rPr>
                <w:rFonts w:ascii="宋体" w:hAnsi="宋体"/>
                <w:color w:val="auto"/>
                <w:sz w:val="21"/>
                <w:szCs w:val="21"/>
                <w:highlight w:val="none"/>
              </w:rPr>
            </w:pPr>
            <w:r>
              <w:rPr>
                <w:rFonts w:hint="eastAsia" w:ascii="宋体" w:hAnsi="宋体"/>
                <w:color w:val="auto"/>
                <w:sz w:val="21"/>
                <w:szCs w:val="21"/>
                <w:highlight w:val="none"/>
              </w:rPr>
              <w:t>11</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抽真空系统</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套</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3</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left="240" w:right="240" w:firstLine="0" w:firstLineChars="0"/>
              <w:jc w:val="center"/>
              <w:rPr>
                <w:rFonts w:ascii="宋体" w:hAnsi="宋体"/>
                <w:color w:val="auto"/>
                <w:sz w:val="21"/>
                <w:szCs w:val="21"/>
                <w:highlight w:val="none"/>
              </w:rPr>
            </w:pPr>
            <w:r>
              <w:rPr>
                <w:rFonts w:hint="eastAsia" w:ascii="宋体" w:hAnsi="宋体"/>
                <w:color w:val="auto"/>
                <w:sz w:val="21"/>
                <w:szCs w:val="21"/>
                <w:highlight w:val="none"/>
              </w:rPr>
              <w:t>12</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钢管</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DN500</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米</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40</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left="240" w:right="240" w:firstLine="0" w:firstLineChars="0"/>
              <w:jc w:val="center"/>
              <w:rPr>
                <w:rFonts w:ascii="宋体" w:hAnsi="宋体"/>
                <w:color w:val="auto"/>
                <w:sz w:val="21"/>
                <w:szCs w:val="21"/>
                <w:highlight w:val="none"/>
              </w:rPr>
            </w:pPr>
            <w:r>
              <w:rPr>
                <w:rFonts w:hint="eastAsia" w:ascii="宋体" w:hAnsi="宋体"/>
                <w:color w:val="auto"/>
                <w:sz w:val="21"/>
                <w:szCs w:val="21"/>
                <w:highlight w:val="none"/>
              </w:rPr>
              <w:t>13</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钢管</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DN1000</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米</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50</w:t>
            </w:r>
          </w:p>
        </w:tc>
      </w:tr>
    </w:tbl>
    <w:p>
      <w:pPr>
        <w:pStyle w:val="4"/>
        <w:rPr>
          <w:rFonts w:hint="default"/>
          <w:color w:val="auto"/>
          <w:highlight w:val="none"/>
          <w:lang w:val="en-US"/>
        </w:rPr>
      </w:pPr>
      <w:r>
        <w:rPr>
          <w:rFonts w:hint="eastAsia"/>
          <w:color w:val="auto"/>
          <w:highlight w:val="none"/>
        </w:rPr>
        <w:t>5.2.8</w:t>
      </w:r>
      <w:r>
        <w:rPr>
          <w:rFonts w:hint="eastAsia"/>
          <w:color w:val="auto"/>
          <w:highlight w:val="none"/>
          <w:lang w:val="en-US" w:eastAsia="zh-CN"/>
        </w:rPr>
        <w:t>西棠阴扬水站</w:t>
      </w:r>
    </w:p>
    <w:p>
      <w:pPr>
        <w:ind w:firstLine="480"/>
        <w:rPr>
          <w:rFonts w:ascii="宋体" w:hAnsi="宋体"/>
          <w:color w:val="auto"/>
          <w:highlight w:val="none"/>
        </w:rPr>
      </w:pPr>
      <w:r>
        <w:rPr>
          <w:rFonts w:hint="eastAsia"/>
          <w:color w:val="auto"/>
          <w:highlight w:val="none"/>
          <w:lang w:val="en-US" w:eastAsia="zh-CN"/>
        </w:rPr>
        <w:t>西棠阴扬水站为加压泵站</w:t>
      </w:r>
      <w:r>
        <w:rPr>
          <w:rFonts w:hint="eastAsia"/>
          <w:color w:val="auto"/>
          <w:highlight w:val="none"/>
          <w:lang w:eastAsia="zh-CN"/>
        </w:rPr>
        <w:t>，</w:t>
      </w:r>
      <w:r>
        <w:rPr>
          <w:rFonts w:hint="eastAsia"/>
          <w:color w:val="auto"/>
          <w:highlight w:val="none"/>
        </w:rPr>
        <w:t>位于龙泉庄水库大坝下游侧，</w:t>
      </w:r>
      <w:r>
        <w:rPr>
          <w:rFonts w:ascii="宋体" w:hAnsi="宋体"/>
          <w:color w:val="auto"/>
          <w:highlight w:val="none"/>
        </w:rPr>
        <w:t>新建</w:t>
      </w:r>
      <w:r>
        <w:rPr>
          <w:rFonts w:hint="eastAsia" w:ascii="宋体" w:hAnsi="宋体"/>
          <w:color w:val="auto"/>
          <w:highlight w:val="none"/>
        </w:rPr>
        <w:t>提水</w:t>
      </w:r>
      <w:r>
        <w:rPr>
          <w:rFonts w:ascii="宋体" w:hAnsi="宋体"/>
          <w:color w:val="auto"/>
          <w:highlight w:val="none"/>
        </w:rPr>
        <w:t>泵站流量</w:t>
      </w:r>
      <w:r>
        <w:rPr>
          <w:rFonts w:hint="eastAsia" w:ascii="宋体" w:hAnsi="宋体"/>
          <w:color w:val="auto"/>
          <w:highlight w:val="none"/>
          <w:lang w:val="en-US" w:eastAsia="zh-CN"/>
        </w:rPr>
        <w:t>0.74</w:t>
      </w:r>
      <w:r>
        <w:rPr>
          <w:rFonts w:hint="eastAsia" w:ascii="宋体" w:hAnsi="宋体"/>
          <w:color w:val="auto"/>
          <w:highlight w:val="none"/>
        </w:rPr>
        <w:t>m³/s</w:t>
      </w:r>
      <w:r>
        <w:rPr>
          <w:rFonts w:ascii="宋体" w:hAnsi="宋体"/>
          <w:color w:val="auto"/>
          <w:highlight w:val="none"/>
        </w:rPr>
        <w:t>，选用</w:t>
      </w:r>
      <w:r>
        <w:rPr>
          <w:rFonts w:hint="eastAsia" w:ascii="宋体" w:hAnsi="宋体"/>
          <w:color w:val="auto"/>
          <w:highlight w:val="none"/>
        </w:rPr>
        <w:t>5台</w:t>
      </w:r>
      <w:r>
        <w:rPr>
          <w:rFonts w:ascii="宋体" w:hAnsi="宋体"/>
          <w:color w:val="auto"/>
          <w:highlight w:val="none"/>
        </w:rPr>
        <w:t>离心泵，</w:t>
      </w:r>
      <w:r>
        <w:rPr>
          <w:rFonts w:hint="eastAsia" w:ascii="宋体" w:hAnsi="宋体"/>
          <w:color w:val="auto"/>
          <w:highlight w:val="none"/>
        </w:rPr>
        <w:t>4用1</w:t>
      </w:r>
      <w:r>
        <w:rPr>
          <w:rFonts w:ascii="宋体" w:hAnsi="宋体"/>
          <w:color w:val="auto"/>
          <w:highlight w:val="none"/>
        </w:rPr>
        <w:t>备。沿水流方向依次包括泵室主副厂房等泵站主体工程和机组设备、输配电系统等。</w:t>
      </w:r>
    </w:p>
    <w:p>
      <w:pPr>
        <w:pStyle w:val="5"/>
        <w:rPr>
          <w:color w:val="auto"/>
          <w:highlight w:val="none"/>
        </w:rPr>
      </w:pPr>
      <w:r>
        <w:rPr>
          <w:rFonts w:hint="eastAsia"/>
          <w:color w:val="auto"/>
          <w:highlight w:val="none"/>
        </w:rPr>
        <w:t>5.2.8.1提水泵站结构设计</w:t>
      </w:r>
    </w:p>
    <w:p>
      <w:pPr>
        <w:ind w:firstLine="480"/>
        <w:rPr>
          <w:rFonts w:ascii="宋体" w:hAnsi="宋体"/>
          <w:color w:val="auto"/>
          <w:highlight w:val="none"/>
        </w:rPr>
      </w:pPr>
      <w:r>
        <w:rPr>
          <w:rFonts w:ascii="宋体" w:hAnsi="宋体"/>
          <w:color w:val="auto"/>
          <w:highlight w:val="none"/>
        </w:rPr>
        <w:t>主厂房顺水流向长度</w:t>
      </w:r>
      <w:r>
        <w:rPr>
          <w:rFonts w:hint="eastAsia" w:ascii="宋体" w:hAnsi="宋体"/>
          <w:color w:val="auto"/>
          <w:highlight w:val="none"/>
        </w:rPr>
        <w:t>8</w:t>
      </w:r>
      <w:r>
        <w:rPr>
          <w:rFonts w:ascii="宋体" w:hAnsi="宋体"/>
          <w:color w:val="auto"/>
          <w:highlight w:val="none"/>
        </w:rPr>
        <w:t>.7m，垂直水流向宽度</w:t>
      </w:r>
      <w:r>
        <w:rPr>
          <w:rFonts w:hint="eastAsia" w:ascii="宋体" w:hAnsi="宋体"/>
          <w:color w:val="auto"/>
          <w:highlight w:val="none"/>
        </w:rPr>
        <w:t>29.8</w:t>
      </w:r>
      <w:r>
        <w:rPr>
          <w:rFonts w:ascii="宋体" w:hAnsi="宋体"/>
          <w:color w:val="auto"/>
          <w:highlight w:val="none"/>
        </w:rPr>
        <w:t>mm。</w:t>
      </w:r>
      <w:r>
        <w:rPr>
          <w:rFonts w:ascii="宋体" w:hAnsi="宋体"/>
          <w:color w:val="auto"/>
          <w:kern w:val="0"/>
          <w:highlight w:val="none"/>
        </w:rPr>
        <w:t>选</w:t>
      </w:r>
      <w:r>
        <w:rPr>
          <w:rFonts w:hint="eastAsia" w:ascii="宋体" w:hAnsi="宋体"/>
          <w:color w:val="auto"/>
          <w:kern w:val="0"/>
          <w:highlight w:val="none"/>
        </w:rPr>
        <w:t>用离</w:t>
      </w:r>
      <w:r>
        <w:rPr>
          <w:rFonts w:hint="eastAsia" w:ascii="宋体" w:hAnsi="宋体"/>
          <w:color w:val="auto"/>
          <w:highlight w:val="none"/>
        </w:rPr>
        <w:t>心泵</w:t>
      </w:r>
      <w:r>
        <w:rPr>
          <w:rFonts w:ascii="宋体" w:hAnsi="宋体"/>
          <w:color w:val="auto"/>
          <w:kern w:val="0"/>
          <w:highlight w:val="none"/>
        </w:rPr>
        <w:t>，共</w:t>
      </w:r>
      <w:r>
        <w:rPr>
          <w:rFonts w:hint="eastAsia" w:ascii="宋体" w:hAnsi="宋体"/>
          <w:color w:val="auto"/>
          <w:kern w:val="0"/>
          <w:highlight w:val="none"/>
        </w:rPr>
        <w:t>5台</w:t>
      </w:r>
      <w:r>
        <w:rPr>
          <w:rFonts w:ascii="宋体" w:hAnsi="宋体"/>
          <w:color w:val="auto"/>
          <w:kern w:val="0"/>
          <w:highlight w:val="none"/>
        </w:rPr>
        <w:t>，其中备用</w:t>
      </w:r>
      <w:r>
        <w:rPr>
          <w:rFonts w:hint="eastAsia" w:ascii="宋体" w:hAnsi="宋体"/>
          <w:color w:val="auto"/>
          <w:kern w:val="0"/>
          <w:highlight w:val="none"/>
        </w:rPr>
        <w:t>1</w:t>
      </w:r>
      <w:r>
        <w:rPr>
          <w:rFonts w:ascii="宋体" w:hAnsi="宋体"/>
          <w:color w:val="auto"/>
          <w:kern w:val="0"/>
          <w:highlight w:val="none"/>
        </w:rPr>
        <w:t>台，设计扬程</w:t>
      </w:r>
      <w:r>
        <w:rPr>
          <w:rFonts w:hint="eastAsia" w:ascii="宋体" w:hAnsi="宋体"/>
          <w:color w:val="auto"/>
          <w:kern w:val="0"/>
          <w:highlight w:val="none"/>
        </w:rPr>
        <w:t>32</w:t>
      </w:r>
      <w:r>
        <w:rPr>
          <w:rFonts w:ascii="宋体" w:hAnsi="宋体"/>
          <w:color w:val="auto"/>
          <w:kern w:val="0"/>
          <w:highlight w:val="none"/>
        </w:rPr>
        <w:t>m，单机流量</w:t>
      </w:r>
      <w:r>
        <w:rPr>
          <w:rFonts w:hint="eastAsia" w:ascii="宋体" w:hAnsi="宋体"/>
          <w:color w:val="auto"/>
          <w:kern w:val="0"/>
          <w:highlight w:val="none"/>
        </w:rPr>
        <w:t>0.</w:t>
      </w:r>
      <w:r>
        <w:rPr>
          <w:rFonts w:hint="eastAsia" w:ascii="宋体" w:hAnsi="宋体"/>
          <w:color w:val="auto"/>
          <w:kern w:val="0"/>
          <w:highlight w:val="none"/>
          <w:lang w:val="en-US" w:eastAsia="zh-CN"/>
        </w:rPr>
        <w:t>183</w:t>
      </w:r>
      <w:r>
        <w:rPr>
          <w:rFonts w:ascii="宋体" w:hAnsi="宋体"/>
          <w:color w:val="auto"/>
          <w:kern w:val="0"/>
          <w:highlight w:val="none"/>
        </w:rPr>
        <w:t>m</w:t>
      </w:r>
      <w:r>
        <w:rPr>
          <w:rFonts w:ascii="宋体" w:hAnsi="宋体"/>
          <w:color w:val="auto"/>
          <w:kern w:val="0"/>
          <w:highlight w:val="none"/>
          <w:vertAlign w:val="superscript"/>
        </w:rPr>
        <w:t>3</w:t>
      </w:r>
      <w:r>
        <w:rPr>
          <w:rFonts w:ascii="宋体" w:hAnsi="宋体"/>
          <w:color w:val="auto"/>
          <w:kern w:val="0"/>
          <w:highlight w:val="none"/>
        </w:rPr>
        <w:t>/s，水泵配套功率</w:t>
      </w:r>
      <w:r>
        <w:rPr>
          <w:rFonts w:hint="eastAsia" w:ascii="宋体" w:hAnsi="宋体"/>
          <w:color w:val="auto"/>
          <w:kern w:val="0"/>
          <w:highlight w:val="none"/>
        </w:rPr>
        <w:t>1</w:t>
      </w:r>
      <w:r>
        <w:rPr>
          <w:rFonts w:hint="eastAsia" w:ascii="宋体" w:hAnsi="宋体"/>
          <w:color w:val="auto"/>
          <w:kern w:val="0"/>
          <w:highlight w:val="none"/>
          <w:lang w:val="en-US" w:eastAsia="zh-CN"/>
        </w:rPr>
        <w:t>10</w:t>
      </w:r>
      <w:r>
        <w:rPr>
          <w:rFonts w:ascii="宋体" w:hAnsi="宋体"/>
          <w:color w:val="auto"/>
          <w:kern w:val="0"/>
          <w:highlight w:val="none"/>
        </w:rPr>
        <w:t>kW，总装机容量</w:t>
      </w:r>
      <w:r>
        <w:rPr>
          <w:rFonts w:hint="eastAsia" w:ascii="宋体" w:hAnsi="宋体"/>
          <w:color w:val="auto"/>
          <w:kern w:val="0"/>
          <w:highlight w:val="none"/>
          <w:lang w:val="en-US" w:eastAsia="zh-CN"/>
        </w:rPr>
        <w:t>440</w:t>
      </w:r>
      <w:r>
        <w:rPr>
          <w:rFonts w:ascii="宋体" w:hAnsi="宋体"/>
          <w:color w:val="auto"/>
          <w:kern w:val="0"/>
          <w:highlight w:val="none"/>
        </w:rPr>
        <w:t>kW。机组呈一字型排列，机组间距4.</w:t>
      </w:r>
      <w:r>
        <w:rPr>
          <w:rFonts w:hint="eastAsia" w:ascii="宋体" w:hAnsi="宋体"/>
          <w:color w:val="auto"/>
          <w:kern w:val="0"/>
          <w:highlight w:val="none"/>
        </w:rPr>
        <w:t>2</w:t>
      </w:r>
      <w:r>
        <w:rPr>
          <w:rFonts w:ascii="宋体" w:hAnsi="宋体"/>
          <w:color w:val="auto"/>
          <w:kern w:val="0"/>
          <w:highlight w:val="none"/>
        </w:rPr>
        <w:t>0m。</w:t>
      </w:r>
      <w:r>
        <w:rPr>
          <w:rFonts w:ascii="宋体" w:hAnsi="宋体"/>
          <w:color w:val="auto"/>
          <w:highlight w:val="none"/>
        </w:rPr>
        <w:t>泵房建筑面积</w:t>
      </w:r>
      <w:r>
        <w:rPr>
          <w:rFonts w:hint="eastAsia" w:ascii="宋体" w:hAnsi="宋体"/>
          <w:color w:val="auto"/>
          <w:highlight w:val="none"/>
        </w:rPr>
        <w:t>268</w:t>
      </w:r>
      <w:r>
        <w:rPr>
          <w:rFonts w:ascii="宋体" w:hAnsi="宋体"/>
          <w:color w:val="auto"/>
          <w:highlight w:val="none"/>
        </w:rPr>
        <w:t>m</w:t>
      </w:r>
      <w:r>
        <w:rPr>
          <w:rFonts w:ascii="宋体" w:hAnsi="宋体"/>
          <w:color w:val="auto"/>
          <w:highlight w:val="none"/>
          <w:vertAlign w:val="superscript"/>
        </w:rPr>
        <w:t>2</w:t>
      </w:r>
      <w:r>
        <w:rPr>
          <w:rFonts w:ascii="宋体" w:hAnsi="宋体"/>
          <w:color w:val="auto"/>
          <w:highlight w:val="none"/>
        </w:rPr>
        <w:t>。副厂房布置在泵房右侧，包括35KV高压配电室、10KV高压配电室、0.4KV低压配电室、中控室、保护室、通信室等。副厂房建筑面积</w:t>
      </w:r>
      <w:r>
        <w:rPr>
          <w:rFonts w:hint="eastAsia" w:ascii="宋体" w:hAnsi="宋体"/>
          <w:color w:val="auto"/>
          <w:highlight w:val="none"/>
        </w:rPr>
        <w:t>242</w:t>
      </w:r>
      <w:r>
        <w:rPr>
          <w:rFonts w:ascii="宋体" w:hAnsi="宋体"/>
          <w:color w:val="auto"/>
          <w:highlight w:val="none"/>
        </w:rPr>
        <w:t>m</w:t>
      </w:r>
      <w:r>
        <w:rPr>
          <w:rFonts w:ascii="宋体" w:hAnsi="宋体"/>
          <w:color w:val="auto"/>
          <w:highlight w:val="none"/>
          <w:vertAlign w:val="superscript"/>
        </w:rPr>
        <w:t>2</w:t>
      </w:r>
      <w:r>
        <w:rPr>
          <w:rFonts w:ascii="宋体" w:hAnsi="宋体"/>
          <w:color w:val="auto"/>
          <w:highlight w:val="none"/>
        </w:rPr>
        <w:t>。</w:t>
      </w:r>
    </w:p>
    <w:p>
      <w:pPr>
        <w:pStyle w:val="5"/>
        <w:rPr>
          <w:color w:val="auto"/>
          <w:highlight w:val="none"/>
        </w:rPr>
      </w:pPr>
      <w:r>
        <w:rPr>
          <w:rFonts w:hint="eastAsia"/>
          <w:color w:val="auto"/>
          <w:highlight w:val="none"/>
        </w:rPr>
        <w:t>5.2.8.2水力机械</w:t>
      </w:r>
    </w:p>
    <w:p>
      <w:pPr>
        <w:ind w:firstLine="480"/>
        <w:contextualSpacing/>
        <w:jc w:val="left"/>
        <w:rPr>
          <w:rFonts w:ascii="宋体" w:hAnsi="宋体"/>
          <w:color w:val="auto"/>
          <w:highlight w:val="none"/>
        </w:rPr>
      </w:pPr>
      <w:r>
        <w:rPr>
          <w:rFonts w:hint="eastAsia" w:ascii="宋体" w:hAnsi="宋体"/>
          <w:color w:val="auto"/>
          <w:highlight w:val="none"/>
        </w:rPr>
        <w:t>1、设计参数</w:t>
      </w:r>
    </w:p>
    <w:p>
      <w:pPr>
        <w:ind w:firstLine="480"/>
        <w:contextualSpacing/>
        <w:jc w:val="left"/>
        <w:rPr>
          <w:rFonts w:ascii="宋体" w:hAnsi="宋体"/>
          <w:color w:val="auto"/>
          <w:highlight w:val="none"/>
        </w:rPr>
      </w:pPr>
      <w:r>
        <w:rPr>
          <w:rFonts w:hint="eastAsia" w:ascii="宋体" w:hAnsi="宋体"/>
          <w:color w:val="auto"/>
          <w:highlight w:val="none"/>
        </w:rPr>
        <w:t>工程需设提水泵站向用户供水，设计参数如下：</w:t>
      </w:r>
    </w:p>
    <w:p>
      <w:pPr>
        <w:ind w:firstLine="480"/>
        <w:contextualSpacing/>
        <w:jc w:val="left"/>
        <w:rPr>
          <w:rFonts w:ascii="宋体" w:hAnsi="宋体"/>
          <w:color w:val="auto"/>
          <w:highlight w:val="none"/>
        </w:rPr>
      </w:pPr>
      <w:r>
        <w:rPr>
          <w:rFonts w:hint="eastAsia" w:ascii="宋体" w:hAnsi="宋体"/>
          <w:color w:val="auto"/>
          <w:highlight w:val="none"/>
        </w:rPr>
        <w:t>前池</w:t>
      </w:r>
      <w:r>
        <w:rPr>
          <w:rFonts w:ascii="宋体" w:hAnsi="宋体"/>
          <w:color w:val="auto"/>
          <w:highlight w:val="none"/>
        </w:rPr>
        <w:t>最高水位：</w:t>
      </w:r>
      <w:r>
        <w:rPr>
          <w:rFonts w:hint="eastAsia" w:ascii="宋体" w:hAnsi="宋体"/>
          <w:color w:val="auto"/>
          <w:highlight w:val="none"/>
        </w:rPr>
        <w:t>84</w:t>
      </w:r>
      <w:r>
        <w:rPr>
          <w:rFonts w:ascii="宋体" w:hAnsi="宋体"/>
          <w:color w:val="auto"/>
          <w:highlight w:val="none"/>
        </w:rPr>
        <w:t>m；最低水位：</w:t>
      </w:r>
      <w:r>
        <w:rPr>
          <w:rFonts w:hint="eastAsia" w:ascii="宋体" w:hAnsi="宋体"/>
          <w:color w:val="auto"/>
          <w:highlight w:val="none"/>
        </w:rPr>
        <w:t>80</w:t>
      </w:r>
      <w:r>
        <w:rPr>
          <w:rFonts w:ascii="宋体" w:hAnsi="宋体"/>
          <w:color w:val="auto"/>
          <w:highlight w:val="none"/>
        </w:rPr>
        <w:t>m。</w:t>
      </w:r>
      <w:r>
        <w:rPr>
          <w:rFonts w:hint="eastAsia" w:ascii="宋体" w:hAnsi="宋体"/>
          <w:color w:val="auto"/>
          <w:highlight w:val="none"/>
        </w:rPr>
        <w:t>东郊水厂配水池高程53m，四级加压泵站地面高程42m。</w:t>
      </w:r>
    </w:p>
    <w:p>
      <w:pPr>
        <w:ind w:firstLine="480"/>
        <w:contextualSpacing/>
        <w:jc w:val="left"/>
        <w:rPr>
          <w:rFonts w:ascii="宋体" w:hAnsi="宋体"/>
          <w:color w:val="auto"/>
          <w:highlight w:val="none"/>
        </w:rPr>
      </w:pPr>
      <w:r>
        <w:rPr>
          <w:rFonts w:hint="eastAsia" w:ascii="宋体" w:hAnsi="宋体"/>
          <w:color w:val="auto"/>
          <w:highlight w:val="none"/>
        </w:rPr>
        <w:t>DN800</w:t>
      </w:r>
      <w:r>
        <w:rPr>
          <w:rFonts w:ascii="宋体" w:hAnsi="宋体"/>
          <w:color w:val="auto"/>
          <w:highlight w:val="none"/>
        </w:rPr>
        <w:t>管道产生的水头损失约为</w:t>
      </w:r>
      <w:r>
        <w:rPr>
          <w:rFonts w:hint="eastAsia" w:ascii="宋体" w:hAnsi="宋体"/>
          <w:color w:val="auto"/>
          <w:highlight w:val="none"/>
        </w:rPr>
        <w:t xml:space="preserve"> 32.64</w:t>
      </w:r>
      <w:r>
        <w:rPr>
          <w:rFonts w:ascii="宋体" w:hAnsi="宋体"/>
          <w:color w:val="auto"/>
          <w:highlight w:val="none"/>
        </w:rPr>
        <w:t>m。管道设计流量按</w:t>
      </w:r>
      <w:r>
        <w:rPr>
          <w:rFonts w:hint="eastAsia" w:ascii="宋体" w:hAnsi="宋体"/>
          <w:color w:val="auto"/>
          <w:highlight w:val="none"/>
        </w:rPr>
        <w:t>0.694</w:t>
      </w:r>
      <w:r>
        <w:rPr>
          <w:rFonts w:ascii="宋体" w:hAnsi="宋体"/>
          <w:color w:val="auto"/>
          <w:highlight w:val="none"/>
        </w:rPr>
        <w:t>m³/s。</w:t>
      </w:r>
    </w:p>
    <w:p>
      <w:pPr>
        <w:ind w:firstLine="480"/>
        <w:contextualSpacing/>
        <w:jc w:val="left"/>
        <w:rPr>
          <w:rFonts w:ascii="宋体" w:hAnsi="宋体"/>
          <w:color w:val="auto"/>
          <w:highlight w:val="none"/>
        </w:rPr>
      </w:pPr>
      <w:r>
        <w:rPr>
          <w:rFonts w:hint="eastAsia" w:ascii="宋体" w:hAnsi="宋体"/>
          <w:color w:val="auto"/>
          <w:highlight w:val="none"/>
        </w:rPr>
        <w:t>DN</w:t>
      </w:r>
      <w:r>
        <w:rPr>
          <w:rFonts w:hint="eastAsia" w:ascii="宋体" w:hAnsi="宋体"/>
          <w:color w:val="auto"/>
          <w:highlight w:val="none"/>
          <w:lang w:val="en-US" w:eastAsia="zh-CN"/>
        </w:rPr>
        <w:t>35</w:t>
      </w:r>
      <w:r>
        <w:rPr>
          <w:rFonts w:hint="eastAsia" w:ascii="宋体" w:hAnsi="宋体"/>
          <w:color w:val="auto"/>
          <w:highlight w:val="none"/>
        </w:rPr>
        <w:t>0</w:t>
      </w:r>
      <w:r>
        <w:rPr>
          <w:rFonts w:ascii="宋体" w:hAnsi="宋体"/>
          <w:color w:val="auto"/>
          <w:highlight w:val="none"/>
        </w:rPr>
        <w:t>管道产生的水头损失约为</w:t>
      </w:r>
      <w:r>
        <w:rPr>
          <w:rFonts w:hint="eastAsia" w:ascii="宋体" w:hAnsi="宋体"/>
          <w:color w:val="auto"/>
          <w:highlight w:val="none"/>
        </w:rPr>
        <w:t xml:space="preserve"> 32.64</w:t>
      </w:r>
      <w:r>
        <w:rPr>
          <w:rFonts w:ascii="宋体" w:hAnsi="宋体"/>
          <w:color w:val="auto"/>
          <w:highlight w:val="none"/>
        </w:rPr>
        <w:t>m。管道设计流量按</w:t>
      </w:r>
      <w:r>
        <w:rPr>
          <w:rFonts w:hint="eastAsia" w:ascii="宋体" w:hAnsi="宋体"/>
          <w:color w:val="auto"/>
          <w:highlight w:val="none"/>
        </w:rPr>
        <w:t>0.</w:t>
      </w:r>
      <w:r>
        <w:rPr>
          <w:rFonts w:hint="eastAsia" w:ascii="宋体" w:hAnsi="宋体"/>
          <w:color w:val="auto"/>
          <w:highlight w:val="none"/>
          <w:lang w:val="en-US" w:eastAsia="zh-CN"/>
        </w:rPr>
        <w:t>2</w:t>
      </w:r>
      <w:r>
        <w:rPr>
          <w:rFonts w:ascii="宋体" w:hAnsi="宋体"/>
          <w:color w:val="auto"/>
          <w:highlight w:val="none"/>
        </w:rPr>
        <w:t>m³/s。</w:t>
      </w:r>
    </w:p>
    <w:p>
      <w:pPr>
        <w:ind w:firstLine="480"/>
        <w:contextualSpacing/>
        <w:jc w:val="left"/>
        <w:rPr>
          <w:rFonts w:ascii="宋体" w:hAnsi="宋体"/>
          <w:color w:val="auto"/>
          <w:highlight w:val="none"/>
        </w:rPr>
      </w:pPr>
      <w:r>
        <w:rPr>
          <w:rFonts w:hint="eastAsia" w:ascii="宋体" w:hAnsi="宋体"/>
          <w:color w:val="auto"/>
          <w:highlight w:val="none"/>
        </w:rPr>
        <w:t>2、泵站扬程计算</w:t>
      </w:r>
    </w:p>
    <w:p>
      <w:pPr>
        <w:ind w:firstLine="480"/>
        <w:contextualSpacing/>
        <w:jc w:val="left"/>
        <w:rPr>
          <w:rFonts w:ascii="宋体" w:hAnsi="宋体"/>
          <w:color w:val="auto"/>
          <w:highlight w:val="none"/>
        </w:rPr>
      </w:pPr>
      <w:r>
        <w:rPr>
          <w:rFonts w:hint="eastAsia" w:ascii="宋体" w:hAnsi="宋体"/>
          <w:color w:val="auto"/>
          <w:highlight w:val="none"/>
        </w:rPr>
        <w:t>泵站扬程为：</w:t>
      </w:r>
      <w:r>
        <w:rPr>
          <w:rFonts w:hint="eastAsia" w:ascii="宋体" w:hAnsi="宋体"/>
          <w:color w:val="auto"/>
          <w:highlight w:val="none"/>
          <w:lang w:val="en-US" w:eastAsia="zh-CN"/>
        </w:rPr>
        <w:t>44</w:t>
      </w:r>
      <w:r>
        <w:rPr>
          <w:rFonts w:hint="eastAsia" w:ascii="宋体" w:hAnsi="宋体"/>
          <w:color w:val="auto"/>
          <w:highlight w:val="none"/>
        </w:rPr>
        <w:t>m。</w:t>
      </w:r>
    </w:p>
    <w:p>
      <w:pPr>
        <w:pStyle w:val="5"/>
        <w:rPr>
          <w:rFonts w:hint="eastAsia" w:ascii="宋体" w:hAnsi="宋体" w:eastAsia="宋体" w:cs="宋体"/>
          <w:bCs w:val="0"/>
          <w:color w:val="auto"/>
          <w:kern w:val="2"/>
          <w:sz w:val="24"/>
          <w:szCs w:val="22"/>
          <w:highlight w:val="none"/>
          <w:lang w:val="en-US" w:eastAsia="zh-CN" w:bidi="ar-SA"/>
        </w:rPr>
      </w:pPr>
      <w:r>
        <w:rPr>
          <w:rFonts w:hint="eastAsia"/>
          <w:color w:val="auto"/>
          <w:highlight w:val="none"/>
        </w:rPr>
        <w:t>5.2.8.3水泵选型</w:t>
      </w:r>
    </w:p>
    <w:p>
      <w:pPr>
        <w:ind w:firstLine="480"/>
        <w:contextualSpacing/>
        <w:jc w:val="left"/>
        <w:rPr>
          <w:rFonts w:hint="eastAsia" w:ascii="宋体" w:hAnsi="宋体" w:eastAsia="宋体" w:cs="宋体"/>
          <w:bCs w:val="0"/>
          <w:color w:val="auto"/>
          <w:kern w:val="2"/>
          <w:sz w:val="24"/>
          <w:szCs w:val="22"/>
          <w:highlight w:val="none"/>
          <w:lang w:val="en-US" w:eastAsia="zh-CN" w:bidi="ar-SA"/>
        </w:rPr>
      </w:pPr>
      <w:r>
        <w:rPr>
          <w:rFonts w:hint="eastAsia" w:ascii="宋体" w:hAnsi="宋体" w:eastAsia="宋体" w:cs="宋体"/>
          <w:bCs w:val="0"/>
          <w:color w:val="auto"/>
          <w:kern w:val="2"/>
          <w:sz w:val="24"/>
          <w:szCs w:val="22"/>
          <w:highlight w:val="none"/>
          <w:lang w:val="en-US" w:eastAsia="zh-CN" w:bidi="ar-SA"/>
        </w:rPr>
        <w:t>按计算得的扬程及泵站流量选择水泵型号</w:t>
      </w:r>
      <w:r>
        <w:rPr>
          <w:rFonts w:hint="default" w:ascii="宋体" w:hAnsi="宋体" w:eastAsia="宋体" w:cs="宋体"/>
          <w:bCs w:val="0"/>
          <w:color w:val="auto"/>
          <w:kern w:val="2"/>
          <w:sz w:val="24"/>
          <w:szCs w:val="22"/>
          <w:highlight w:val="none"/>
          <w:lang w:val="en-US" w:eastAsia="zh-CN" w:bidi="ar-SA"/>
        </w:rPr>
        <w:t>300KQL/W660-44-110/4</w:t>
      </w:r>
      <w:r>
        <w:rPr>
          <w:rFonts w:hint="eastAsia" w:ascii="宋体" w:hAnsi="宋体" w:eastAsia="宋体" w:cs="宋体"/>
          <w:bCs w:val="0"/>
          <w:color w:val="auto"/>
          <w:kern w:val="2"/>
          <w:sz w:val="24"/>
          <w:szCs w:val="22"/>
          <w:highlight w:val="none"/>
          <w:lang w:val="en-US" w:eastAsia="zh-CN" w:bidi="ar-SA"/>
        </w:rPr>
        <w:t xml:space="preserve">。 </w:t>
      </w:r>
    </w:p>
    <w:p>
      <w:pPr>
        <w:pStyle w:val="5"/>
        <w:rPr>
          <w:rFonts w:hint="eastAsia" w:ascii="宋体" w:hAnsi="宋体" w:eastAsia="宋体" w:cs="宋体"/>
          <w:bCs w:val="0"/>
          <w:color w:val="auto"/>
          <w:kern w:val="2"/>
          <w:sz w:val="24"/>
          <w:szCs w:val="22"/>
          <w:highlight w:val="none"/>
          <w:lang w:val="en-US" w:eastAsia="zh-CN" w:bidi="ar-SA"/>
        </w:rPr>
      </w:pPr>
      <w:r>
        <w:rPr>
          <w:rFonts w:hint="eastAsia" w:ascii="宋体" w:hAnsi="宋体" w:eastAsia="宋体" w:cs="宋体"/>
          <w:bCs w:val="0"/>
          <w:color w:val="auto"/>
          <w:kern w:val="2"/>
          <w:sz w:val="24"/>
          <w:szCs w:val="22"/>
          <w:highlight w:val="none"/>
          <w:lang w:val="en-US" w:eastAsia="zh-CN" w:bidi="ar-SA"/>
        </w:rPr>
        <w:t>5.2.8.4设备布置</w:t>
      </w:r>
    </w:p>
    <w:p>
      <w:pPr>
        <w:ind w:firstLine="480"/>
        <w:contextualSpacing/>
        <w:jc w:val="left"/>
        <w:rPr>
          <w:rFonts w:ascii="宋体" w:hAnsi="宋体"/>
          <w:color w:val="auto"/>
          <w:highlight w:val="none"/>
        </w:rPr>
      </w:pPr>
      <w:r>
        <w:rPr>
          <w:rFonts w:hint="eastAsia" w:ascii="宋体" w:hAnsi="宋体"/>
          <w:color w:val="auto"/>
          <w:highlight w:val="none"/>
        </w:rPr>
        <w:t>泵站共安装5台机组，泵站采用单列排列，机组间距4.2</w:t>
      </w:r>
      <w:r>
        <w:rPr>
          <w:rFonts w:ascii="宋体" w:hAnsi="宋体"/>
          <w:color w:val="auto"/>
          <w:highlight w:val="none"/>
        </w:rPr>
        <w:t>m</w:t>
      </w:r>
      <w:r>
        <w:rPr>
          <w:rFonts w:hint="eastAsia" w:ascii="宋体" w:hAnsi="宋体"/>
          <w:color w:val="auto"/>
          <w:highlight w:val="none"/>
        </w:rPr>
        <w:t>。</w:t>
      </w:r>
    </w:p>
    <w:p>
      <w:pPr>
        <w:ind w:firstLine="480"/>
        <w:contextualSpacing/>
        <w:jc w:val="left"/>
        <w:rPr>
          <w:rFonts w:ascii="宋体" w:hAnsi="宋体"/>
          <w:color w:val="auto"/>
          <w:highlight w:val="none"/>
        </w:rPr>
      </w:pPr>
      <w:r>
        <w:rPr>
          <w:rFonts w:hint="eastAsia" w:ascii="宋体" w:hAnsi="宋体"/>
          <w:color w:val="auto"/>
          <w:highlight w:val="none"/>
        </w:rPr>
        <w:t>水泵进水管上设电动碟阀，直径500</w:t>
      </w:r>
      <w:r>
        <w:rPr>
          <w:rFonts w:ascii="宋体" w:hAnsi="宋体"/>
          <w:color w:val="auto"/>
          <w:highlight w:val="none"/>
        </w:rPr>
        <w:t>mm</w:t>
      </w:r>
      <w:r>
        <w:rPr>
          <w:rFonts w:hint="eastAsia" w:ascii="宋体" w:hAnsi="宋体"/>
          <w:color w:val="auto"/>
          <w:highlight w:val="none"/>
        </w:rPr>
        <w:t>，压力1.0Mp</w:t>
      </w:r>
      <w:r>
        <w:rPr>
          <w:rFonts w:ascii="宋体" w:hAnsi="宋体"/>
          <w:color w:val="auto"/>
          <w:highlight w:val="none"/>
        </w:rPr>
        <w:t>a</w:t>
      </w:r>
      <w:r>
        <w:rPr>
          <w:rFonts w:hint="eastAsia" w:ascii="宋体" w:hAnsi="宋体"/>
          <w:color w:val="auto"/>
          <w:highlight w:val="none"/>
        </w:rPr>
        <w:t>，碟阀与水泵间设橡胶减震器。离心水泵需关阀起动，在每台水泵出口设泵站型自动保压液控碟阀和电动碟阀，直径500</w:t>
      </w:r>
      <w:r>
        <w:rPr>
          <w:rFonts w:ascii="宋体" w:hAnsi="宋体"/>
          <w:color w:val="auto"/>
          <w:highlight w:val="none"/>
        </w:rPr>
        <w:t>mm</w:t>
      </w:r>
      <w:r>
        <w:rPr>
          <w:rFonts w:hint="eastAsia" w:ascii="宋体" w:hAnsi="宋体"/>
          <w:color w:val="auto"/>
          <w:highlight w:val="none"/>
        </w:rPr>
        <w:t>，压力1.0Mp</w:t>
      </w:r>
      <w:r>
        <w:rPr>
          <w:rFonts w:ascii="宋体" w:hAnsi="宋体"/>
          <w:color w:val="auto"/>
          <w:highlight w:val="none"/>
        </w:rPr>
        <w:t>a</w:t>
      </w:r>
      <w:r>
        <w:rPr>
          <w:rFonts w:hint="eastAsia" w:ascii="宋体" w:hAnsi="宋体"/>
          <w:color w:val="auto"/>
          <w:highlight w:val="none"/>
        </w:rPr>
        <w:t>。液控碟阀为工作阀门，电动碟阀为检修阀门。液控碟阀能按预定程序实现泵阀联动，能够实现远距离控制，在60</w:t>
      </w:r>
      <w:r>
        <w:rPr>
          <w:rFonts w:ascii="宋体" w:hAnsi="宋体"/>
          <w:color w:val="auto"/>
          <w:highlight w:val="none"/>
        </w:rPr>
        <w:t>s</w:t>
      </w:r>
      <w:r>
        <w:rPr>
          <w:rFonts w:hint="eastAsia" w:ascii="宋体" w:hAnsi="宋体"/>
          <w:color w:val="auto"/>
          <w:highlight w:val="none"/>
        </w:rPr>
        <w:t>内可以根据需要调整关闭时间。特别是在事故停泵时，阀门可自动按预先设定的程序分快、慢两阶段关闭，具有良好的消除水锤效能。</w:t>
      </w:r>
    </w:p>
    <w:p>
      <w:pPr>
        <w:ind w:firstLine="480"/>
        <w:contextualSpacing/>
        <w:jc w:val="left"/>
        <w:rPr>
          <w:rFonts w:ascii="宋体" w:hAnsi="宋体"/>
          <w:color w:val="auto"/>
          <w:highlight w:val="none"/>
        </w:rPr>
      </w:pPr>
      <w:r>
        <w:rPr>
          <w:rFonts w:hint="eastAsia" w:ascii="宋体" w:hAnsi="宋体"/>
          <w:color w:val="auto"/>
          <w:highlight w:val="none"/>
        </w:rPr>
        <w:t>出水管上设传力式伸缩器。5台水泵出水管合并为1根总输水管，总输水管直径DN1000mm。在总输水管上设多声道超声波流量计1台，用以测量供水量。</w:t>
      </w:r>
    </w:p>
    <w:p>
      <w:pPr>
        <w:ind w:firstLine="480"/>
        <w:contextualSpacing/>
        <w:jc w:val="left"/>
        <w:rPr>
          <w:rFonts w:ascii="宋体" w:hAnsi="宋体"/>
          <w:color w:val="auto"/>
          <w:highlight w:val="none"/>
        </w:rPr>
      </w:pPr>
      <w:r>
        <w:rPr>
          <w:rFonts w:hint="eastAsia" w:ascii="宋体" w:hAnsi="宋体"/>
          <w:color w:val="auto"/>
          <w:highlight w:val="none"/>
        </w:rPr>
        <w:t>在确定水泵安装高程时，考虑到取水水位水位低于地面较多，水泵配备抽真空装置，这样可以充分利用水泵的吸上性能，提高水泵的安装高程，减少泵站开挖深度。确定水泵安装高程为85.5m（水泵传动轴中心）。水泵在低水位启动时，需要抽真空，真空泵型号为SZB-8，共3台，2用1备。</w:t>
      </w:r>
    </w:p>
    <w:p>
      <w:pPr>
        <w:pStyle w:val="5"/>
        <w:rPr>
          <w:color w:val="auto"/>
          <w:highlight w:val="none"/>
        </w:rPr>
      </w:pPr>
      <w:r>
        <w:rPr>
          <w:rFonts w:hint="eastAsia"/>
          <w:color w:val="auto"/>
          <w:highlight w:val="none"/>
        </w:rPr>
        <w:t>5.2.8.5辅助系统</w:t>
      </w:r>
    </w:p>
    <w:p>
      <w:pPr>
        <w:ind w:firstLine="480"/>
        <w:contextualSpacing/>
        <w:jc w:val="left"/>
        <w:rPr>
          <w:rFonts w:ascii="宋体" w:hAnsi="宋体"/>
          <w:color w:val="auto"/>
          <w:highlight w:val="none"/>
        </w:rPr>
      </w:pPr>
      <w:r>
        <w:rPr>
          <w:rFonts w:hint="eastAsia" w:ascii="宋体" w:hAnsi="宋体"/>
          <w:color w:val="auto"/>
          <w:highlight w:val="none"/>
        </w:rPr>
        <w:t>（1）排水系统</w:t>
      </w:r>
    </w:p>
    <w:p>
      <w:pPr>
        <w:ind w:firstLine="480"/>
        <w:contextualSpacing/>
        <w:jc w:val="left"/>
        <w:rPr>
          <w:rFonts w:ascii="宋体" w:hAnsi="宋体"/>
          <w:color w:val="auto"/>
          <w:highlight w:val="none"/>
        </w:rPr>
      </w:pPr>
      <w:r>
        <w:rPr>
          <w:rFonts w:hint="eastAsia" w:ascii="宋体" w:hAnsi="宋体"/>
          <w:color w:val="auto"/>
          <w:highlight w:val="none"/>
        </w:rPr>
        <w:t>泵站主厂房内设集水井一个，尺寸1.5×1.0×1.5m(长×宽×高)，设排水泵2台，排水泵型号QX-10，流量8.5m</w:t>
      </w:r>
      <w:r>
        <w:rPr>
          <w:rFonts w:hint="eastAsia" w:ascii="宋体" w:hAnsi="宋体"/>
          <w:color w:val="auto"/>
          <w:highlight w:val="none"/>
          <w:vertAlign w:val="superscript"/>
        </w:rPr>
        <w:t>3</w:t>
      </w:r>
      <w:r>
        <w:rPr>
          <w:rFonts w:hint="eastAsia" w:ascii="宋体" w:hAnsi="宋体"/>
          <w:color w:val="auto"/>
          <w:highlight w:val="none"/>
        </w:rPr>
        <w:t>/h，扬程10m，排水泵排水至室外，设YW-67型液位信号器1个，控制排水泵自动开停。主厂房内集水以管件渗漏水为主，水量较小。</w:t>
      </w:r>
    </w:p>
    <w:p>
      <w:pPr>
        <w:ind w:firstLine="480"/>
        <w:contextualSpacing/>
        <w:jc w:val="left"/>
        <w:rPr>
          <w:rFonts w:ascii="宋体" w:hAnsi="宋体"/>
          <w:color w:val="auto"/>
          <w:highlight w:val="none"/>
        </w:rPr>
      </w:pPr>
      <w:r>
        <w:rPr>
          <w:rFonts w:hint="eastAsia" w:ascii="宋体" w:hAnsi="宋体"/>
          <w:color w:val="auto"/>
          <w:highlight w:val="none"/>
        </w:rPr>
        <w:t>（2）起重设备</w:t>
      </w:r>
    </w:p>
    <w:p>
      <w:pPr>
        <w:ind w:firstLine="480"/>
        <w:contextualSpacing/>
        <w:jc w:val="left"/>
        <w:rPr>
          <w:rFonts w:ascii="宋体" w:hAnsi="宋体"/>
          <w:color w:val="auto"/>
          <w:highlight w:val="none"/>
        </w:rPr>
      </w:pPr>
      <w:r>
        <w:rPr>
          <w:rFonts w:hint="eastAsia" w:ascii="宋体" w:hAnsi="宋体"/>
          <w:color w:val="auto"/>
          <w:highlight w:val="none"/>
        </w:rPr>
        <w:t>主厂房内设电动单梁起重机1台，起重量2t，跨度6.5m。</w:t>
      </w:r>
    </w:p>
    <w:p>
      <w:pPr>
        <w:ind w:firstLine="480"/>
        <w:contextualSpacing/>
        <w:jc w:val="left"/>
        <w:rPr>
          <w:rFonts w:ascii="宋体" w:hAnsi="宋体"/>
          <w:color w:val="auto"/>
          <w:highlight w:val="none"/>
        </w:rPr>
      </w:pPr>
      <w:r>
        <w:rPr>
          <w:rFonts w:hint="eastAsia" w:ascii="宋体" w:hAnsi="宋体"/>
          <w:color w:val="auto"/>
          <w:highlight w:val="none"/>
        </w:rPr>
        <w:t>（3）测量系统</w:t>
      </w:r>
    </w:p>
    <w:p>
      <w:pPr>
        <w:ind w:firstLine="480"/>
        <w:contextualSpacing/>
        <w:jc w:val="left"/>
        <w:rPr>
          <w:rFonts w:ascii="宋体" w:hAnsi="宋体"/>
          <w:color w:val="auto"/>
          <w:highlight w:val="none"/>
        </w:rPr>
      </w:pPr>
      <w:r>
        <w:rPr>
          <w:rFonts w:hint="eastAsia" w:ascii="宋体" w:hAnsi="宋体"/>
          <w:color w:val="auto"/>
          <w:highlight w:val="none"/>
        </w:rPr>
        <w:t>每台水泵出口装有压力传感器，可以测定水泵出口压力，并具备远传功能。</w:t>
      </w:r>
    </w:p>
    <w:p>
      <w:pPr>
        <w:ind w:firstLine="480"/>
        <w:contextualSpacing/>
        <w:jc w:val="left"/>
        <w:rPr>
          <w:rFonts w:ascii="宋体" w:hAnsi="宋体"/>
          <w:color w:val="auto"/>
          <w:highlight w:val="none"/>
        </w:rPr>
      </w:pPr>
      <w:r>
        <w:rPr>
          <w:rFonts w:hint="eastAsia" w:ascii="宋体" w:hAnsi="宋体"/>
          <w:color w:val="auto"/>
          <w:highlight w:val="none"/>
        </w:rPr>
        <w:t>在总输水管上设多声道超声波流量计一台，用以测量供水量。口径为DN1000</w:t>
      </w:r>
      <w:r>
        <w:rPr>
          <w:rFonts w:ascii="宋体" w:hAnsi="宋体"/>
          <w:color w:val="auto"/>
          <w:highlight w:val="none"/>
        </w:rPr>
        <w:t>mm</w:t>
      </w:r>
      <w:r>
        <w:rPr>
          <w:rFonts w:hint="eastAsia" w:ascii="宋体" w:hAnsi="宋体"/>
          <w:color w:val="auto"/>
          <w:highlight w:val="none"/>
        </w:rPr>
        <w:t>。</w:t>
      </w:r>
    </w:p>
    <w:p>
      <w:pPr>
        <w:pStyle w:val="5"/>
        <w:rPr>
          <w:color w:val="auto"/>
          <w:highlight w:val="none"/>
        </w:rPr>
      </w:pPr>
      <w:r>
        <w:rPr>
          <w:rFonts w:hint="eastAsia"/>
          <w:color w:val="auto"/>
          <w:highlight w:val="none"/>
        </w:rPr>
        <w:t>5.2.8.6主要机电设备表</w:t>
      </w:r>
    </w:p>
    <w:p>
      <w:pPr>
        <w:pStyle w:val="152"/>
        <w:rPr>
          <w:snapToGrid w:val="0"/>
          <w:color w:val="auto"/>
          <w:w w:val="0"/>
          <w:highlight w:val="none"/>
        </w:rPr>
      </w:pPr>
      <w:r>
        <w:rPr>
          <w:rFonts w:hint="eastAsia"/>
          <w:snapToGrid w:val="0"/>
          <w:color w:val="auto"/>
          <w:w w:val="0"/>
          <w:highlight w:val="none"/>
        </w:rPr>
        <w:t>表</w:t>
      </w:r>
      <w:r>
        <w:rPr>
          <w:rFonts w:hint="eastAsia" w:ascii="黑体" w:hAnsi="黑体"/>
          <w:bCs w:val="0"/>
          <w:color w:val="auto"/>
          <w:highlight w:val="none"/>
        </w:rPr>
        <w:t>5.2.7.6</w:t>
      </w:r>
      <w:r>
        <w:rPr>
          <w:rFonts w:hint="eastAsia"/>
          <w:snapToGrid w:val="0"/>
          <w:color w:val="auto"/>
          <w:w w:val="0"/>
          <w:highlight w:val="none"/>
        </w:rPr>
        <w:t xml:space="preserve">                     主要机电设备表</w:t>
      </w:r>
    </w:p>
    <w:tbl>
      <w:tblPr>
        <w:tblStyle w:val="33"/>
        <w:tblW w:w="8392" w:type="dxa"/>
        <w:jc w:val="center"/>
        <w:tblLayout w:type="autofit"/>
        <w:tblCellMar>
          <w:top w:w="0" w:type="dxa"/>
          <w:left w:w="0" w:type="dxa"/>
          <w:bottom w:w="0" w:type="dxa"/>
          <w:right w:w="0" w:type="dxa"/>
        </w:tblCellMar>
      </w:tblPr>
      <w:tblGrid>
        <w:gridCol w:w="760"/>
        <w:gridCol w:w="2775"/>
        <w:gridCol w:w="2743"/>
        <w:gridCol w:w="1090"/>
        <w:gridCol w:w="1024"/>
      </w:tblGrid>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Chars="0"/>
              <w:rPr>
                <w:rFonts w:ascii="宋体" w:hAnsi="宋体"/>
                <w:color w:val="auto"/>
                <w:sz w:val="21"/>
                <w:szCs w:val="21"/>
                <w:highlight w:val="none"/>
              </w:rPr>
            </w:pPr>
            <w:r>
              <w:rPr>
                <w:rFonts w:hint="eastAsia" w:ascii="宋体" w:hAnsi="宋体"/>
                <w:color w:val="auto"/>
                <w:sz w:val="21"/>
                <w:szCs w:val="21"/>
                <w:highlight w:val="none"/>
              </w:rPr>
              <w:t>序号序号序号</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名</w:t>
            </w:r>
            <w:r>
              <w:rPr>
                <w:rFonts w:ascii="宋体" w:hAnsi="宋体"/>
                <w:color w:val="auto"/>
                <w:sz w:val="21"/>
                <w:szCs w:val="21"/>
                <w:highlight w:val="none"/>
              </w:rPr>
              <w:t xml:space="preserve">     </w:t>
            </w:r>
            <w:r>
              <w:rPr>
                <w:rFonts w:hint="eastAsia" w:ascii="宋体" w:hAnsi="宋体"/>
                <w:color w:val="auto"/>
                <w:sz w:val="21"/>
                <w:szCs w:val="21"/>
                <w:highlight w:val="none"/>
              </w:rPr>
              <w:t>称</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型</w:t>
            </w:r>
            <w:r>
              <w:rPr>
                <w:rFonts w:ascii="宋体" w:hAnsi="宋体"/>
                <w:color w:val="auto"/>
                <w:sz w:val="21"/>
                <w:szCs w:val="21"/>
                <w:highlight w:val="none"/>
              </w:rPr>
              <w:t xml:space="preserve">         </w:t>
            </w:r>
            <w:r>
              <w:rPr>
                <w:rFonts w:hint="eastAsia" w:ascii="宋体" w:hAnsi="宋体"/>
                <w:color w:val="auto"/>
                <w:sz w:val="21"/>
                <w:szCs w:val="21"/>
                <w:highlight w:val="none"/>
              </w:rPr>
              <w:t>号</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Chars="0"/>
              <w:rPr>
                <w:rFonts w:ascii="宋体" w:hAnsi="宋体"/>
                <w:color w:val="auto"/>
                <w:sz w:val="21"/>
                <w:szCs w:val="21"/>
                <w:highlight w:val="none"/>
              </w:rPr>
            </w:pPr>
            <w:r>
              <w:rPr>
                <w:rFonts w:hint="eastAsia" w:ascii="宋体" w:hAnsi="宋体"/>
                <w:color w:val="auto"/>
                <w:sz w:val="21"/>
                <w:szCs w:val="21"/>
                <w:highlight w:val="none"/>
              </w:rPr>
              <w:t>单位</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Chars="0"/>
              <w:rPr>
                <w:rFonts w:ascii="宋体" w:hAnsi="宋体"/>
                <w:color w:val="auto"/>
                <w:sz w:val="21"/>
                <w:szCs w:val="21"/>
                <w:highlight w:val="none"/>
              </w:rPr>
            </w:pPr>
            <w:r>
              <w:rPr>
                <w:rFonts w:hint="eastAsia" w:ascii="宋体" w:hAnsi="宋体"/>
                <w:color w:val="auto"/>
                <w:sz w:val="21"/>
                <w:szCs w:val="21"/>
                <w:highlight w:val="none"/>
              </w:rPr>
              <w:t>数量</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105" w:firstLineChars="50"/>
              <w:jc w:val="center"/>
              <w:rPr>
                <w:rFonts w:ascii="宋体" w:hAnsi="宋体"/>
                <w:color w:val="auto"/>
                <w:sz w:val="21"/>
                <w:szCs w:val="21"/>
                <w:highlight w:val="none"/>
              </w:rPr>
            </w:pPr>
            <w:r>
              <w:rPr>
                <w:rFonts w:hint="eastAsia" w:ascii="宋体" w:hAnsi="宋体"/>
                <w:color w:val="auto"/>
                <w:sz w:val="21"/>
                <w:szCs w:val="21"/>
                <w:highlight w:val="none"/>
              </w:rPr>
              <w:t>1</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离心泵</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ascii="宋体" w:hAnsi="宋体"/>
                <w:color w:val="auto"/>
                <w:sz w:val="21"/>
                <w:szCs w:val="21"/>
                <w:highlight w:val="none"/>
              </w:rPr>
              <w:t>KQW350/525-132/6(Z)</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台</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5</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0" w:firstLineChars="0"/>
              <w:jc w:val="center"/>
              <w:rPr>
                <w:rFonts w:ascii="宋体" w:hAnsi="宋体"/>
                <w:color w:val="auto"/>
                <w:sz w:val="21"/>
                <w:szCs w:val="21"/>
                <w:highlight w:val="none"/>
              </w:rPr>
            </w:pPr>
            <w:r>
              <w:rPr>
                <w:rFonts w:hint="eastAsia" w:ascii="宋体" w:hAnsi="宋体"/>
                <w:color w:val="auto"/>
                <w:sz w:val="21"/>
                <w:szCs w:val="21"/>
                <w:highlight w:val="none"/>
              </w:rPr>
              <w:t xml:space="preserve"> 2</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电动机</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台</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5</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0" w:firstLineChars="0"/>
              <w:jc w:val="center"/>
              <w:rPr>
                <w:rFonts w:ascii="宋体" w:hAnsi="宋体"/>
                <w:color w:val="auto"/>
                <w:sz w:val="21"/>
                <w:szCs w:val="21"/>
                <w:highlight w:val="none"/>
              </w:rPr>
            </w:pPr>
            <w:r>
              <w:rPr>
                <w:rFonts w:hint="eastAsia" w:ascii="宋体" w:hAnsi="宋体"/>
                <w:color w:val="auto"/>
                <w:sz w:val="21"/>
                <w:szCs w:val="21"/>
                <w:highlight w:val="none"/>
              </w:rPr>
              <w:t xml:space="preserve"> 3</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橡胶减震器</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DN350</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台</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5</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0" w:firstLineChars="0"/>
              <w:jc w:val="center"/>
              <w:rPr>
                <w:rFonts w:ascii="宋体" w:hAnsi="宋体"/>
                <w:color w:val="auto"/>
                <w:sz w:val="21"/>
                <w:szCs w:val="21"/>
                <w:highlight w:val="none"/>
              </w:rPr>
            </w:pPr>
            <w:r>
              <w:rPr>
                <w:rFonts w:hint="eastAsia" w:ascii="宋体" w:hAnsi="宋体"/>
                <w:color w:val="auto"/>
                <w:sz w:val="21"/>
                <w:szCs w:val="21"/>
                <w:highlight w:val="none"/>
              </w:rPr>
              <w:t xml:space="preserve"> 4</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橡胶减震器</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DN350</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台</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5</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jc w:val="center"/>
              <w:rPr>
                <w:rFonts w:ascii="宋体" w:hAnsi="宋体"/>
                <w:color w:val="auto"/>
                <w:sz w:val="21"/>
                <w:szCs w:val="21"/>
                <w:highlight w:val="none"/>
              </w:rPr>
            </w:pPr>
            <w:r>
              <w:rPr>
                <w:rFonts w:hint="eastAsia" w:ascii="宋体" w:hAnsi="宋体"/>
                <w:color w:val="auto"/>
                <w:sz w:val="21"/>
                <w:szCs w:val="21"/>
                <w:highlight w:val="none"/>
              </w:rPr>
              <w:t>5</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起重机</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台</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1</w:t>
            </w:r>
          </w:p>
        </w:tc>
      </w:tr>
      <w:tr>
        <w:tblPrEx>
          <w:tblCellMar>
            <w:top w:w="0" w:type="dxa"/>
            <w:left w:w="0" w:type="dxa"/>
            <w:bottom w:w="0" w:type="dxa"/>
            <w:right w:w="0" w:type="dxa"/>
          </w:tblCellMar>
        </w:tblPrEx>
        <w:trPr>
          <w:cantSplit/>
          <w:trHeight w:val="495"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jc w:val="center"/>
              <w:rPr>
                <w:rFonts w:ascii="宋体" w:hAnsi="宋体"/>
                <w:color w:val="auto"/>
                <w:sz w:val="21"/>
                <w:szCs w:val="21"/>
                <w:highlight w:val="none"/>
              </w:rPr>
            </w:pPr>
            <w:r>
              <w:rPr>
                <w:rFonts w:hint="eastAsia" w:ascii="宋体" w:hAnsi="宋体"/>
                <w:color w:val="auto"/>
                <w:sz w:val="21"/>
                <w:szCs w:val="21"/>
                <w:highlight w:val="none"/>
              </w:rPr>
              <w:t>6</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电动蝶阀</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DN500</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台</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10</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jc w:val="center"/>
              <w:rPr>
                <w:rFonts w:ascii="宋体" w:hAnsi="宋体"/>
                <w:color w:val="auto"/>
                <w:sz w:val="21"/>
                <w:szCs w:val="21"/>
                <w:highlight w:val="none"/>
              </w:rPr>
            </w:pPr>
            <w:r>
              <w:rPr>
                <w:rFonts w:hint="eastAsia" w:ascii="宋体" w:hAnsi="宋体"/>
                <w:color w:val="auto"/>
                <w:sz w:val="21"/>
                <w:szCs w:val="21"/>
                <w:highlight w:val="none"/>
              </w:rPr>
              <w:t>7</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液控蝶阀</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DN500</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台</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5</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jc w:val="center"/>
              <w:rPr>
                <w:rFonts w:ascii="宋体" w:hAnsi="宋体"/>
                <w:color w:val="auto"/>
                <w:sz w:val="21"/>
                <w:szCs w:val="21"/>
                <w:highlight w:val="none"/>
              </w:rPr>
            </w:pPr>
            <w:r>
              <w:rPr>
                <w:rFonts w:hint="eastAsia" w:ascii="宋体" w:hAnsi="宋体"/>
                <w:color w:val="auto"/>
                <w:sz w:val="21"/>
                <w:szCs w:val="21"/>
                <w:highlight w:val="none"/>
              </w:rPr>
              <w:t>8</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传力伸缩器</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DN500</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台</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10</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jc w:val="center"/>
              <w:rPr>
                <w:rFonts w:ascii="宋体" w:hAnsi="宋体"/>
                <w:color w:val="auto"/>
                <w:sz w:val="21"/>
                <w:szCs w:val="21"/>
                <w:highlight w:val="none"/>
              </w:rPr>
            </w:pPr>
            <w:r>
              <w:rPr>
                <w:rFonts w:hint="eastAsia" w:ascii="宋体" w:hAnsi="宋体"/>
                <w:color w:val="auto"/>
                <w:sz w:val="21"/>
                <w:szCs w:val="21"/>
                <w:highlight w:val="none"/>
              </w:rPr>
              <w:t>9</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排水系统</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套</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1</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left="240" w:right="240" w:firstLine="0" w:firstLineChars="0"/>
              <w:jc w:val="center"/>
              <w:rPr>
                <w:rFonts w:ascii="宋体" w:hAnsi="宋体"/>
                <w:color w:val="auto"/>
                <w:sz w:val="21"/>
                <w:szCs w:val="21"/>
                <w:highlight w:val="none"/>
              </w:rPr>
            </w:pPr>
            <w:r>
              <w:rPr>
                <w:rFonts w:hint="eastAsia" w:ascii="宋体" w:hAnsi="宋体"/>
                <w:color w:val="auto"/>
                <w:sz w:val="21"/>
                <w:szCs w:val="21"/>
                <w:highlight w:val="none"/>
              </w:rPr>
              <w:t>10</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多声道超声波流量计</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DN1000</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套</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1</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left="240" w:right="240" w:firstLine="0" w:firstLineChars="0"/>
              <w:jc w:val="center"/>
              <w:rPr>
                <w:rFonts w:ascii="宋体" w:hAnsi="宋体"/>
                <w:color w:val="auto"/>
                <w:sz w:val="21"/>
                <w:szCs w:val="21"/>
                <w:highlight w:val="none"/>
              </w:rPr>
            </w:pPr>
            <w:r>
              <w:rPr>
                <w:rFonts w:hint="eastAsia" w:ascii="宋体" w:hAnsi="宋体"/>
                <w:color w:val="auto"/>
                <w:sz w:val="21"/>
                <w:szCs w:val="21"/>
                <w:highlight w:val="none"/>
              </w:rPr>
              <w:t>11</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抽真空系统</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套</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3</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left="240" w:right="240" w:firstLine="0" w:firstLineChars="0"/>
              <w:jc w:val="center"/>
              <w:rPr>
                <w:rFonts w:ascii="宋体" w:hAnsi="宋体"/>
                <w:color w:val="auto"/>
                <w:sz w:val="21"/>
                <w:szCs w:val="21"/>
                <w:highlight w:val="none"/>
              </w:rPr>
            </w:pPr>
            <w:r>
              <w:rPr>
                <w:rFonts w:hint="eastAsia" w:ascii="宋体" w:hAnsi="宋体"/>
                <w:color w:val="auto"/>
                <w:sz w:val="21"/>
                <w:szCs w:val="21"/>
                <w:highlight w:val="none"/>
              </w:rPr>
              <w:t>12</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钢管</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DN500</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米</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40</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left="240" w:right="240" w:firstLine="0" w:firstLineChars="0"/>
              <w:jc w:val="center"/>
              <w:rPr>
                <w:rFonts w:ascii="宋体" w:hAnsi="宋体"/>
                <w:color w:val="auto"/>
                <w:sz w:val="21"/>
                <w:szCs w:val="21"/>
                <w:highlight w:val="none"/>
              </w:rPr>
            </w:pPr>
            <w:r>
              <w:rPr>
                <w:rFonts w:hint="eastAsia" w:ascii="宋体" w:hAnsi="宋体"/>
                <w:color w:val="auto"/>
                <w:sz w:val="21"/>
                <w:szCs w:val="21"/>
                <w:highlight w:val="none"/>
              </w:rPr>
              <w:t>13</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钢管</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DN1000</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米</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50</w:t>
            </w:r>
          </w:p>
        </w:tc>
      </w:tr>
    </w:tbl>
    <w:p>
      <w:pPr>
        <w:pStyle w:val="4"/>
        <w:rPr>
          <w:rFonts w:hint="default"/>
          <w:color w:val="auto"/>
          <w:highlight w:val="none"/>
          <w:lang w:val="en-US" w:eastAsia="zh-CN"/>
        </w:rPr>
      </w:pPr>
      <w:r>
        <w:rPr>
          <w:rFonts w:hint="eastAsia"/>
          <w:color w:val="auto"/>
          <w:highlight w:val="none"/>
        </w:rPr>
        <w:t>5.2.7</w:t>
      </w:r>
      <w:r>
        <w:rPr>
          <w:rFonts w:hint="eastAsia"/>
          <w:color w:val="auto"/>
          <w:highlight w:val="none"/>
          <w:lang w:val="en-US" w:eastAsia="zh-CN"/>
        </w:rPr>
        <w:t>吴林扬水站和魏楼扬水站</w:t>
      </w:r>
    </w:p>
    <w:p>
      <w:pPr>
        <w:ind w:firstLine="480"/>
        <w:rPr>
          <w:rFonts w:ascii="宋体" w:hAnsi="宋体"/>
          <w:color w:val="auto"/>
          <w:highlight w:val="none"/>
        </w:rPr>
      </w:pPr>
      <w:r>
        <w:rPr>
          <w:rFonts w:hint="eastAsia"/>
          <w:color w:val="auto"/>
          <w:highlight w:val="none"/>
          <w:lang w:val="en-US" w:eastAsia="zh-CN"/>
        </w:rPr>
        <w:t>吴林扬水站为加压泵站，位于西棠阴村西</w:t>
      </w:r>
      <w:r>
        <w:rPr>
          <w:rFonts w:hint="eastAsia"/>
          <w:color w:val="auto"/>
          <w:highlight w:val="none"/>
        </w:rPr>
        <w:t>，</w:t>
      </w:r>
      <w:r>
        <w:rPr>
          <w:rFonts w:ascii="宋体" w:hAnsi="宋体"/>
          <w:color w:val="auto"/>
          <w:highlight w:val="none"/>
        </w:rPr>
        <w:t>新建</w:t>
      </w:r>
      <w:r>
        <w:rPr>
          <w:rFonts w:hint="eastAsia" w:ascii="宋体" w:hAnsi="宋体"/>
          <w:color w:val="auto"/>
          <w:highlight w:val="none"/>
        </w:rPr>
        <w:t>提水</w:t>
      </w:r>
      <w:r>
        <w:rPr>
          <w:rFonts w:ascii="宋体" w:hAnsi="宋体"/>
          <w:color w:val="auto"/>
          <w:highlight w:val="none"/>
        </w:rPr>
        <w:t>泵站流量</w:t>
      </w:r>
      <w:r>
        <w:rPr>
          <w:rFonts w:hint="eastAsia" w:ascii="宋体" w:hAnsi="宋体"/>
          <w:color w:val="auto"/>
          <w:highlight w:val="none"/>
        </w:rPr>
        <w:t>0.347m³/s</w:t>
      </w:r>
      <w:r>
        <w:rPr>
          <w:rFonts w:ascii="宋体" w:hAnsi="宋体"/>
          <w:color w:val="auto"/>
          <w:highlight w:val="none"/>
        </w:rPr>
        <w:t>，选用</w:t>
      </w:r>
      <w:r>
        <w:rPr>
          <w:rFonts w:hint="eastAsia" w:ascii="宋体" w:hAnsi="宋体"/>
          <w:color w:val="auto"/>
          <w:highlight w:val="none"/>
        </w:rPr>
        <w:t>5台</w:t>
      </w:r>
      <w:r>
        <w:rPr>
          <w:rFonts w:ascii="宋体" w:hAnsi="宋体"/>
          <w:color w:val="auto"/>
          <w:highlight w:val="none"/>
        </w:rPr>
        <w:t>离心泵，</w:t>
      </w:r>
      <w:r>
        <w:rPr>
          <w:rFonts w:hint="eastAsia" w:ascii="宋体" w:hAnsi="宋体"/>
          <w:color w:val="auto"/>
          <w:highlight w:val="none"/>
        </w:rPr>
        <w:t>4用1</w:t>
      </w:r>
      <w:r>
        <w:rPr>
          <w:rFonts w:ascii="宋体" w:hAnsi="宋体"/>
          <w:color w:val="auto"/>
          <w:highlight w:val="none"/>
        </w:rPr>
        <w:t>备。沿水流方向依次包括泵室主副厂房等泵站主体工程和机组设备、输配电系统等。</w:t>
      </w:r>
    </w:p>
    <w:p>
      <w:pPr>
        <w:ind w:firstLine="480"/>
        <w:rPr>
          <w:rFonts w:hint="eastAsia"/>
          <w:color w:val="auto"/>
          <w:highlight w:val="none"/>
          <w:lang w:val="en-US" w:eastAsia="zh-CN"/>
        </w:rPr>
      </w:pPr>
      <w:r>
        <w:rPr>
          <w:rFonts w:hint="eastAsia"/>
          <w:color w:val="auto"/>
          <w:highlight w:val="none"/>
          <w:lang w:val="en-US" w:eastAsia="zh-CN"/>
        </w:rPr>
        <w:t>魏楼扬水站为加压泵站，位于位于吴林街道敬老院内东侧，新建提水泵站流量0.347m³/s，选用5台离心泵，4用1备。沿水流方向依次包括泵室主副厂房等泵站主体工程和机组设备、输配电系统等。</w:t>
      </w:r>
    </w:p>
    <w:p>
      <w:pPr>
        <w:pStyle w:val="5"/>
        <w:rPr>
          <w:color w:val="auto"/>
          <w:highlight w:val="none"/>
        </w:rPr>
      </w:pPr>
      <w:r>
        <w:rPr>
          <w:rFonts w:hint="eastAsia"/>
          <w:color w:val="auto"/>
          <w:highlight w:val="none"/>
        </w:rPr>
        <w:t>5.2.7.1提水泵站结构设计</w:t>
      </w:r>
    </w:p>
    <w:p>
      <w:pPr>
        <w:ind w:firstLine="480"/>
        <w:rPr>
          <w:rFonts w:ascii="宋体" w:hAnsi="宋体"/>
          <w:color w:val="auto"/>
          <w:highlight w:val="none"/>
        </w:rPr>
      </w:pPr>
      <w:r>
        <w:rPr>
          <w:rFonts w:ascii="宋体" w:hAnsi="宋体"/>
          <w:color w:val="auto"/>
          <w:highlight w:val="none"/>
        </w:rPr>
        <w:t>主厂房顺水流向长度</w:t>
      </w:r>
      <w:r>
        <w:rPr>
          <w:rFonts w:hint="eastAsia" w:ascii="宋体" w:hAnsi="宋体"/>
          <w:color w:val="auto"/>
          <w:highlight w:val="none"/>
        </w:rPr>
        <w:t>8</w:t>
      </w:r>
      <w:r>
        <w:rPr>
          <w:rFonts w:ascii="宋体" w:hAnsi="宋体"/>
          <w:color w:val="auto"/>
          <w:highlight w:val="none"/>
        </w:rPr>
        <w:t>.7m，垂直水流向宽度</w:t>
      </w:r>
      <w:r>
        <w:rPr>
          <w:rFonts w:hint="eastAsia" w:ascii="宋体" w:hAnsi="宋体"/>
          <w:color w:val="auto"/>
          <w:highlight w:val="none"/>
        </w:rPr>
        <w:t>29.8</w:t>
      </w:r>
      <w:r>
        <w:rPr>
          <w:rFonts w:ascii="宋体" w:hAnsi="宋体"/>
          <w:color w:val="auto"/>
          <w:highlight w:val="none"/>
        </w:rPr>
        <w:t>mm。</w:t>
      </w:r>
      <w:r>
        <w:rPr>
          <w:rFonts w:ascii="宋体" w:hAnsi="宋体"/>
          <w:color w:val="auto"/>
          <w:kern w:val="0"/>
          <w:highlight w:val="none"/>
        </w:rPr>
        <w:t>选</w:t>
      </w:r>
      <w:r>
        <w:rPr>
          <w:rFonts w:hint="eastAsia" w:ascii="宋体" w:hAnsi="宋体"/>
          <w:color w:val="auto"/>
          <w:kern w:val="0"/>
          <w:highlight w:val="none"/>
        </w:rPr>
        <w:t>用离</w:t>
      </w:r>
      <w:r>
        <w:rPr>
          <w:rFonts w:hint="eastAsia" w:ascii="宋体" w:hAnsi="宋体"/>
          <w:color w:val="auto"/>
          <w:highlight w:val="none"/>
        </w:rPr>
        <w:t>心泵</w:t>
      </w:r>
      <w:r>
        <w:rPr>
          <w:rFonts w:ascii="宋体" w:hAnsi="宋体"/>
          <w:color w:val="auto"/>
          <w:kern w:val="0"/>
          <w:highlight w:val="none"/>
        </w:rPr>
        <w:t>，共</w:t>
      </w:r>
      <w:r>
        <w:rPr>
          <w:rFonts w:hint="eastAsia" w:ascii="宋体" w:hAnsi="宋体"/>
          <w:color w:val="auto"/>
          <w:kern w:val="0"/>
          <w:highlight w:val="none"/>
        </w:rPr>
        <w:t>5台</w:t>
      </w:r>
      <w:r>
        <w:rPr>
          <w:rFonts w:ascii="宋体" w:hAnsi="宋体"/>
          <w:color w:val="auto"/>
          <w:kern w:val="0"/>
          <w:highlight w:val="none"/>
        </w:rPr>
        <w:t>，其中备用</w:t>
      </w:r>
      <w:r>
        <w:rPr>
          <w:rFonts w:hint="eastAsia" w:ascii="宋体" w:hAnsi="宋体"/>
          <w:color w:val="auto"/>
          <w:kern w:val="0"/>
          <w:highlight w:val="none"/>
        </w:rPr>
        <w:t>1</w:t>
      </w:r>
      <w:r>
        <w:rPr>
          <w:rFonts w:ascii="宋体" w:hAnsi="宋体"/>
          <w:color w:val="auto"/>
          <w:kern w:val="0"/>
          <w:highlight w:val="none"/>
        </w:rPr>
        <w:t>台，设计扬程</w:t>
      </w:r>
      <w:r>
        <w:rPr>
          <w:rFonts w:hint="eastAsia" w:ascii="宋体" w:hAnsi="宋体"/>
          <w:color w:val="auto"/>
          <w:kern w:val="0"/>
          <w:highlight w:val="none"/>
        </w:rPr>
        <w:t>80</w:t>
      </w:r>
      <w:r>
        <w:rPr>
          <w:rFonts w:ascii="宋体" w:hAnsi="宋体"/>
          <w:color w:val="auto"/>
          <w:kern w:val="0"/>
          <w:highlight w:val="none"/>
        </w:rPr>
        <w:t>m，单机流量</w:t>
      </w:r>
      <w:r>
        <w:rPr>
          <w:rFonts w:hint="eastAsia" w:ascii="宋体" w:hAnsi="宋体"/>
          <w:color w:val="auto"/>
          <w:kern w:val="0"/>
          <w:highlight w:val="none"/>
        </w:rPr>
        <w:t>0.087</w:t>
      </w:r>
      <w:r>
        <w:rPr>
          <w:rFonts w:ascii="宋体" w:hAnsi="宋体"/>
          <w:color w:val="auto"/>
          <w:kern w:val="0"/>
          <w:highlight w:val="none"/>
        </w:rPr>
        <w:t>m</w:t>
      </w:r>
      <w:r>
        <w:rPr>
          <w:rFonts w:ascii="宋体" w:hAnsi="宋体"/>
          <w:color w:val="auto"/>
          <w:kern w:val="0"/>
          <w:highlight w:val="none"/>
          <w:vertAlign w:val="superscript"/>
        </w:rPr>
        <w:t>3</w:t>
      </w:r>
      <w:r>
        <w:rPr>
          <w:rFonts w:ascii="宋体" w:hAnsi="宋体"/>
          <w:color w:val="auto"/>
          <w:kern w:val="0"/>
          <w:highlight w:val="none"/>
        </w:rPr>
        <w:t>/s，水泵配套功率</w:t>
      </w:r>
      <w:r>
        <w:rPr>
          <w:rFonts w:hint="eastAsia" w:ascii="宋体" w:hAnsi="宋体"/>
          <w:color w:val="auto"/>
          <w:kern w:val="0"/>
          <w:highlight w:val="none"/>
        </w:rPr>
        <w:t>132</w:t>
      </w:r>
      <w:r>
        <w:rPr>
          <w:rFonts w:ascii="宋体" w:hAnsi="宋体"/>
          <w:color w:val="auto"/>
          <w:kern w:val="0"/>
          <w:highlight w:val="none"/>
        </w:rPr>
        <w:t>kW，总装机容量</w:t>
      </w:r>
      <w:r>
        <w:rPr>
          <w:rFonts w:hint="eastAsia" w:ascii="宋体" w:hAnsi="宋体"/>
          <w:color w:val="auto"/>
          <w:kern w:val="0"/>
          <w:highlight w:val="none"/>
        </w:rPr>
        <w:t>528</w:t>
      </w:r>
      <w:r>
        <w:rPr>
          <w:rFonts w:ascii="宋体" w:hAnsi="宋体"/>
          <w:color w:val="auto"/>
          <w:kern w:val="0"/>
          <w:highlight w:val="none"/>
        </w:rPr>
        <w:t>kW。机组呈一字型排列，机组间距4.</w:t>
      </w:r>
      <w:r>
        <w:rPr>
          <w:rFonts w:hint="eastAsia" w:ascii="宋体" w:hAnsi="宋体"/>
          <w:color w:val="auto"/>
          <w:kern w:val="0"/>
          <w:highlight w:val="none"/>
        </w:rPr>
        <w:t>2</w:t>
      </w:r>
      <w:r>
        <w:rPr>
          <w:rFonts w:ascii="宋体" w:hAnsi="宋体"/>
          <w:color w:val="auto"/>
          <w:kern w:val="0"/>
          <w:highlight w:val="none"/>
        </w:rPr>
        <w:t>0m。</w:t>
      </w:r>
      <w:r>
        <w:rPr>
          <w:rFonts w:ascii="宋体" w:hAnsi="宋体"/>
          <w:color w:val="auto"/>
          <w:highlight w:val="none"/>
        </w:rPr>
        <w:t>泵房建筑面积</w:t>
      </w:r>
      <w:r>
        <w:rPr>
          <w:rFonts w:hint="eastAsia" w:ascii="宋体" w:hAnsi="宋体"/>
          <w:color w:val="auto"/>
          <w:highlight w:val="none"/>
        </w:rPr>
        <w:t>268</w:t>
      </w:r>
      <w:r>
        <w:rPr>
          <w:rFonts w:ascii="宋体" w:hAnsi="宋体"/>
          <w:color w:val="auto"/>
          <w:highlight w:val="none"/>
        </w:rPr>
        <w:t>m</w:t>
      </w:r>
      <w:r>
        <w:rPr>
          <w:rFonts w:ascii="宋体" w:hAnsi="宋体"/>
          <w:color w:val="auto"/>
          <w:highlight w:val="none"/>
          <w:vertAlign w:val="superscript"/>
        </w:rPr>
        <w:t>2</w:t>
      </w:r>
      <w:r>
        <w:rPr>
          <w:rFonts w:ascii="宋体" w:hAnsi="宋体"/>
          <w:color w:val="auto"/>
          <w:highlight w:val="none"/>
        </w:rPr>
        <w:t>。副厂房布置在泵房右侧，包括35KV高压配电室、10KV高压配电室、0.4KV低压配电室、中控室、保护室、通信室等。副厂房建筑面积</w:t>
      </w:r>
      <w:r>
        <w:rPr>
          <w:rFonts w:hint="eastAsia" w:ascii="宋体" w:hAnsi="宋体"/>
          <w:color w:val="auto"/>
          <w:highlight w:val="none"/>
        </w:rPr>
        <w:t>242</w:t>
      </w:r>
      <w:r>
        <w:rPr>
          <w:rFonts w:ascii="宋体" w:hAnsi="宋体"/>
          <w:color w:val="auto"/>
          <w:highlight w:val="none"/>
        </w:rPr>
        <w:t>m</w:t>
      </w:r>
      <w:r>
        <w:rPr>
          <w:rFonts w:ascii="宋体" w:hAnsi="宋体"/>
          <w:color w:val="auto"/>
          <w:highlight w:val="none"/>
          <w:vertAlign w:val="superscript"/>
        </w:rPr>
        <w:t>2</w:t>
      </w:r>
      <w:r>
        <w:rPr>
          <w:rFonts w:ascii="宋体" w:hAnsi="宋体"/>
          <w:color w:val="auto"/>
          <w:highlight w:val="none"/>
        </w:rPr>
        <w:t>。</w:t>
      </w:r>
    </w:p>
    <w:p>
      <w:pPr>
        <w:pStyle w:val="5"/>
        <w:rPr>
          <w:color w:val="auto"/>
          <w:highlight w:val="none"/>
        </w:rPr>
      </w:pPr>
      <w:r>
        <w:rPr>
          <w:rFonts w:hint="eastAsia"/>
          <w:color w:val="auto"/>
          <w:highlight w:val="none"/>
        </w:rPr>
        <w:t>5.2.7.2水力机械</w:t>
      </w:r>
    </w:p>
    <w:p>
      <w:pPr>
        <w:ind w:firstLine="480"/>
        <w:contextualSpacing/>
        <w:jc w:val="left"/>
        <w:rPr>
          <w:rFonts w:ascii="宋体" w:hAnsi="宋体"/>
          <w:color w:val="auto"/>
          <w:highlight w:val="none"/>
        </w:rPr>
      </w:pPr>
      <w:r>
        <w:rPr>
          <w:rFonts w:hint="eastAsia" w:ascii="宋体" w:hAnsi="宋体"/>
          <w:color w:val="auto"/>
          <w:highlight w:val="none"/>
        </w:rPr>
        <w:t>1、设计参数</w:t>
      </w:r>
    </w:p>
    <w:p>
      <w:pPr>
        <w:ind w:firstLine="480"/>
        <w:contextualSpacing/>
        <w:jc w:val="left"/>
        <w:rPr>
          <w:rFonts w:ascii="宋体" w:hAnsi="宋体"/>
          <w:color w:val="auto"/>
          <w:highlight w:val="none"/>
        </w:rPr>
      </w:pPr>
      <w:r>
        <w:rPr>
          <w:rFonts w:hint="eastAsia" w:ascii="宋体" w:hAnsi="宋体"/>
          <w:color w:val="auto"/>
          <w:highlight w:val="none"/>
        </w:rPr>
        <w:t>工程需设提水泵站向用户供水，设计参数如下：</w:t>
      </w:r>
    </w:p>
    <w:p>
      <w:pPr>
        <w:ind w:firstLine="480"/>
        <w:contextualSpacing/>
        <w:jc w:val="left"/>
        <w:rPr>
          <w:rFonts w:ascii="宋体" w:hAnsi="宋体"/>
          <w:color w:val="auto"/>
          <w:highlight w:val="none"/>
        </w:rPr>
      </w:pPr>
      <w:r>
        <w:rPr>
          <w:rFonts w:hint="eastAsia" w:ascii="宋体" w:hAnsi="宋体"/>
          <w:color w:val="auto"/>
          <w:highlight w:val="none"/>
        </w:rPr>
        <w:t>入泵</w:t>
      </w:r>
      <w:r>
        <w:rPr>
          <w:rFonts w:ascii="宋体" w:hAnsi="宋体"/>
          <w:color w:val="auto"/>
          <w:highlight w:val="none"/>
        </w:rPr>
        <w:t>最高</w:t>
      </w:r>
      <w:r>
        <w:rPr>
          <w:rFonts w:hint="eastAsia" w:ascii="宋体" w:hAnsi="宋体"/>
          <w:color w:val="auto"/>
          <w:highlight w:val="none"/>
        </w:rPr>
        <w:t>水压标高</w:t>
      </w:r>
      <w:r>
        <w:rPr>
          <w:rFonts w:ascii="宋体" w:hAnsi="宋体"/>
          <w:color w:val="auto"/>
          <w:highlight w:val="none"/>
        </w:rPr>
        <w:t>：</w:t>
      </w:r>
      <w:r>
        <w:rPr>
          <w:rFonts w:hint="eastAsia" w:ascii="宋体" w:hAnsi="宋体"/>
          <w:color w:val="auto"/>
          <w:highlight w:val="none"/>
        </w:rPr>
        <w:t>59</w:t>
      </w:r>
      <w:r>
        <w:rPr>
          <w:rFonts w:ascii="宋体" w:hAnsi="宋体"/>
          <w:color w:val="auto"/>
          <w:highlight w:val="none"/>
        </w:rPr>
        <w:t>m；最低</w:t>
      </w:r>
      <w:r>
        <w:rPr>
          <w:rFonts w:hint="eastAsia" w:ascii="宋体" w:hAnsi="宋体"/>
          <w:color w:val="auto"/>
          <w:highlight w:val="none"/>
        </w:rPr>
        <w:t>水压标高</w:t>
      </w:r>
      <w:r>
        <w:rPr>
          <w:rFonts w:ascii="宋体" w:hAnsi="宋体"/>
          <w:color w:val="auto"/>
          <w:highlight w:val="none"/>
        </w:rPr>
        <w:t>：</w:t>
      </w:r>
      <w:r>
        <w:rPr>
          <w:rFonts w:hint="eastAsia" w:ascii="宋体" w:hAnsi="宋体"/>
          <w:color w:val="auto"/>
          <w:highlight w:val="none"/>
        </w:rPr>
        <w:t>50</w:t>
      </w:r>
      <w:r>
        <w:rPr>
          <w:rFonts w:ascii="宋体" w:hAnsi="宋体"/>
          <w:color w:val="auto"/>
          <w:highlight w:val="none"/>
        </w:rPr>
        <w:t>m。</w:t>
      </w:r>
      <w:r>
        <w:rPr>
          <w:rFonts w:hint="eastAsia" w:ascii="宋体" w:hAnsi="宋体"/>
          <w:color w:val="auto"/>
          <w:highlight w:val="none"/>
        </w:rPr>
        <w:t>泵站地面标高42.0m，东部水厂配水池标高55m。</w:t>
      </w:r>
    </w:p>
    <w:p>
      <w:pPr>
        <w:ind w:firstLine="480"/>
        <w:contextualSpacing/>
        <w:jc w:val="left"/>
        <w:rPr>
          <w:rFonts w:ascii="宋体" w:hAnsi="宋体"/>
          <w:color w:val="auto"/>
          <w:highlight w:val="none"/>
        </w:rPr>
      </w:pPr>
      <w:r>
        <w:rPr>
          <w:rFonts w:ascii="宋体" w:hAnsi="宋体"/>
          <w:color w:val="auto"/>
          <w:highlight w:val="none"/>
        </w:rPr>
        <w:t>管道产生的水头损失约为</w:t>
      </w:r>
      <w:r>
        <w:rPr>
          <w:rFonts w:hint="eastAsia" w:ascii="宋体" w:hAnsi="宋体"/>
          <w:color w:val="auto"/>
          <w:highlight w:val="none"/>
        </w:rPr>
        <w:t>68.8</w:t>
      </w:r>
      <w:r>
        <w:rPr>
          <w:rFonts w:ascii="宋体" w:hAnsi="宋体"/>
          <w:color w:val="auto"/>
          <w:highlight w:val="none"/>
        </w:rPr>
        <w:t>m。管道设计流量按</w:t>
      </w:r>
      <w:r>
        <w:rPr>
          <w:rFonts w:hint="eastAsia" w:ascii="宋体" w:hAnsi="宋体"/>
          <w:color w:val="auto"/>
          <w:highlight w:val="none"/>
        </w:rPr>
        <w:t>0.347</w:t>
      </w:r>
      <w:r>
        <w:rPr>
          <w:rFonts w:ascii="宋体" w:hAnsi="宋体"/>
          <w:color w:val="auto"/>
          <w:highlight w:val="none"/>
        </w:rPr>
        <w:t>m³/s。</w:t>
      </w:r>
    </w:p>
    <w:p>
      <w:pPr>
        <w:ind w:firstLine="480"/>
        <w:contextualSpacing/>
        <w:jc w:val="left"/>
        <w:rPr>
          <w:rFonts w:ascii="宋体" w:hAnsi="宋体"/>
          <w:color w:val="auto"/>
          <w:highlight w:val="none"/>
        </w:rPr>
      </w:pPr>
      <w:r>
        <w:rPr>
          <w:rFonts w:hint="eastAsia" w:ascii="宋体" w:hAnsi="宋体"/>
          <w:color w:val="auto"/>
          <w:highlight w:val="none"/>
        </w:rPr>
        <w:t>2、泵站扬程计算</w:t>
      </w:r>
    </w:p>
    <w:p>
      <w:pPr>
        <w:ind w:firstLine="480"/>
        <w:contextualSpacing/>
        <w:jc w:val="left"/>
        <w:rPr>
          <w:rFonts w:ascii="宋体" w:hAnsi="宋体"/>
          <w:color w:val="auto"/>
          <w:highlight w:val="none"/>
        </w:rPr>
      </w:pPr>
      <w:r>
        <w:rPr>
          <w:rFonts w:hint="eastAsia" w:ascii="宋体" w:hAnsi="宋体"/>
          <w:color w:val="auto"/>
          <w:highlight w:val="none"/>
        </w:rPr>
        <w:t>泵站扬程为：80m。</w:t>
      </w:r>
    </w:p>
    <w:p>
      <w:pPr>
        <w:pStyle w:val="5"/>
        <w:rPr>
          <w:color w:val="auto"/>
          <w:highlight w:val="none"/>
        </w:rPr>
      </w:pPr>
      <w:r>
        <w:rPr>
          <w:rFonts w:hint="eastAsia"/>
          <w:color w:val="auto"/>
          <w:highlight w:val="none"/>
        </w:rPr>
        <w:t>5.2.7.3水泵选型</w:t>
      </w:r>
    </w:p>
    <w:p>
      <w:pPr>
        <w:ind w:firstLine="480"/>
        <w:contextualSpacing/>
        <w:jc w:val="left"/>
        <w:rPr>
          <w:rFonts w:ascii="宋体" w:hAnsi="宋体"/>
          <w:color w:val="auto"/>
          <w:highlight w:val="none"/>
        </w:rPr>
      </w:pPr>
      <w:r>
        <w:rPr>
          <w:rFonts w:hint="eastAsia" w:ascii="宋体" w:hAnsi="宋体"/>
          <w:color w:val="auto"/>
          <w:highlight w:val="none"/>
        </w:rPr>
        <w:t>按计算得的扬程及泵站流量选择水泵型号</w:t>
      </w:r>
      <w:r>
        <w:rPr>
          <w:rFonts w:ascii="宋体" w:hAnsi="宋体"/>
          <w:color w:val="auto"/>
          <w:highlight w:val="none"/>
        </w:rPr>
        <w:t>KQW200/460-132/4</w:t>
      </w:r>
      <w:r>
        <w:rPr>
          <w:rFonts w:hint="eastAsia" w:ascii="宋体" w:hAnsi="宋体"/>
          <w:color w:val="auto"/>
          <w:highlight w:val="none"/>
        </w:rPr>
        <w:t xml:space="preserve">。 </w:t>
      </w:r>
    </w:p>
    <w:p>
      <w:pPr>
        <w:pStyle w:val="5"/>
        <w:rPr>
          <w:color w:val="auto"/>
          <w:highlight w:val="none"/>
        </w:rPr>
      </w:pPr>
      <w:r>
        <w:rPr>
          <w:rFonts w:hint="eastAsia"/>
          <w:color w:val="auto"/>
          <w:highlight w:val="none"/>
        </w:rPr>
        <w:t>5.2.7.4设备布置</w:t>
      </w:r>
    </w:p>
    <w:p>
      <w:pPr>
        <w:ind w:firstLine="480"/>
        <w:contextualSpacing/>
        <w:jc w:val="left"/>
        <w:rPr>
          <w:rFonts w:ascii="宋体" w:hAnsi="宋体"/>
          <w:color w:val="auto"/>
          <w:highlight w:val="none"/>
        </w:rPr>
      </w:pPr>
      <w:r>
        <w:rPr>
          <w:rFonts w:hint="eastAsia" w:ascii="宋体" w:hAnsi="宋体"/>
          <w:color w:val="auto"/>
          <w:highlight w:val="none"/>
        </w:rPr>
        <w:t>泵站共安装5台机组，泵站采用单列排列，机组间距4.2</w:t>
      </w:r>
      <w:r>
        <w:rPr>
          <w:rFonts w:ascii="宋体" w:hAnsi="宋体"/>
          <w:color w:val="auto"/>
          <w:highlight w:val="none"/>
        </w:rPr>
        <w:t>m</w:t>
      </w:r>
      <w:r>
        <w:rPr>
          <w:rFonts w:hint="eastAsia" w:ascii="宋体" w:hAnsi="宋体"/>
          <w:color w:val="auto"/>
          <w:highlight w:val="none"/>
        </w:rPr>
        <w:t>。</w:t>
      </w:r>
    </w:p>
    <w:p>
      <w:pPr>
        <w:ind w:firstLine="480"/>
        <w:contextualSpacing/>
        <w:jc w:val="left"/>
        <w:rPr>
          <w:rFonts w:ascii="宋体" w:hAnsi="宋体"/>
          <w:color w:val="auto"/>
          <w:highlight w:val="none"/>
        </w:rPr>
      </w:pPr>
      <w:r>
        <w:rPr>
          <w:rFonts w:hint="eastAsia" w:ascii="宋体" w:hAnsi="宋体"/>
          <w:color w:val="auto"/>
          <w:highlight w:val="none"/>
        </w:rPr>
        <w:t>水泵进水管上设电动碟阀，直径300</w:t>
      </w:r>
      <w:r>
        <w:rPr>
          <w:rFonts w:ascii="宋体" w:hAnsi="宋体"/>
          <w:color w:val="auto"/>
          <w:highlight w:val="none"/>
        </w:rPr>
        <w:t>mm</w:t>
      </w:r>
      <w:r>
        <w:rPr>
          <w:rFonts w:hint="eastAsia" w:ascii="宋体" w:hAnsi="宋体"/>
          <w:color w:val="auto"/>
          <w:highlight w:val="none"/>
        </w:rPr>
        <w:t>，压力1.0Mp</w:t>
      </w:r>
      <w:r>
        <w:rPr>
          <w:rFonts w:ascii="宋体" w:hAnsi="宋体"/>
          <w:color w:val="auto"/>
          <w:highlight w:val="none"/>
        </w:rPr>
        <w:t>a</w:t>
      </w:r>
      <w:r>
        <w:rPr>
          <w:rFonts w:hint="eastAsia" w:ascii="宋体" w:hAnsi="宋体"/>
          <w:color w:val="auto"/>
          <w:highlight w:val="none"/>
        </w:rPr>
        <w:t>，碟阀与水泵间设橡胶减震器。离心水泵需关阀起动，在每台水泵出口设泵站型自动保压液控碟阀和电动碟阀，直径300</w:t>
      </w:r>
      <w:r>
        <w:rPr>
          <w:rFonts w:ascii="宋体" w:hAnsi="宋体"/>
          <w:color w:val="auto"/>
          <w:highlight w:val="none"/>
        </w:rPr>
        <w:t>mm</w:t>
      </w:r>
      <w:r>
        <w:rPr>
          <w:rFonts w:hint="eastAsia" w:ascii="宋体" w:hAnsi="宋体"/>
          <w:color w:val="auto"/>
          <w:highlight w:val="none"/>
        </w:rPr>
        <w:t>，压力1.0Mp</w:t>
      </w:r>
      <w:r>
        <w:rPr>
          <w:rFonts w:ascii="宋体" w:hAnsi="宋体"/>
          <w:color w:val="auto"/>
          <w:highlight w:val="none"/>
        </w:rPr>
        <w:t>a</w:t>
      </w:r>
      <w:r>
        <w:rPr>
          <w:rFonts w:hint="eastAsia" w:ascii="宋体" w:hAnsi="宋体"/>
          <w:color w:val="auto"/>
          <w:highlight w:val="none"/>
        </w:rPr>
        <w:t>。液控碟阀为工作阀门，电动碟阀为检修阀门。液控碟阀能按预定程序实现泵阀联动，能够实现远距离控制，在60</w:t>
      </w:r>
      <w:r>
        <w:rPr>
          <w:rFonts w:ascii="宋体" w:hAnsi="宋体"/>
          <w:color w:val="auto"/>
          <w:highlight w:val="none"/>
        </w:rPr>
        <w:t>s</w:t>
      </w:r>
      <w:r>
        <w:rPr>
          <w:rFonts w:hint="eastAsia" w:ascii="宋体" w:hAnsi="宋体"/>
          <w:color w:val="auto"/>
          <w:highlight w:val="none"/>
        </w:rPr>
        <w:t>内可以根据需要调整关闭时间。特别是在事故停泵时，阀门可自动按预先设定的程序分快、慢两阶段关闭，具有良好的消除水锤效能。</w:t>
      </w:r>
    </w:p>
    <w:p>
      <w:pPr>
        <w:ind w:firstLine="480"/>
        <w:contextualSpacing/>
        <w:jc w:val="left"/>
        <w:rPr>
          <w:rFonts w:ascii="宋体" w:hAnsi="宋体"/>
          <w:color w:val="auto"/>
          <w:highlight w:val="none"/>
        </w:rPr>
      </w:pPr>
      <w:r>
        <w:rPr>
          <w:rFonts w:hint="eastAsia" w:ascii="宋体" w:hAnsi="宋体"/>
          <w:color w:val="auto"/>
          <w:highlight w:val="none"/>
        </w:rPr>
        <w:t>出水管上设传力式伸缩器。5台水泵出水管合并为1根总输水管，总输水管直径DN600mm。在总输水管上设多声道超声波流量计1台，用以测量供水量。</w:t>
      </w:r>
    </w:p>
    <w:p>
      <w:pPr>
        <w:pStyle w:val="5"/>
        <w:rPr>
          <w:color w:val="auto"/>
          <w:highlight w:val="none"/>
        </w:rPr>
      </w:pPr>
      <w:r>
        <w:rPr>
          <w:rFonts w:hint="eastAsia"/>
          <w:color w:val="auto"/>
          <w:highlight w:val="none"/>
        </w:rPr>
        <w:t>5.2.7.5辅助系统</w:t>
      </w:r>
    </w:p>
    <w:p>
      <w:pPr>
        <w:ind w:firstLine="480"/>
        <w:contextualSpacing/>
        <w:jc w:val="left"/>
        <w:rPr>
          <w:rFonts w:ascii="宋体" w:hAnsi="宋体"/>
          <w:color w:val="auto"/>
          <w:highlight w:val="none"/>
        </w:rPr>
      </w:pPr>
      <w:r>
        <w:rPr>
          <w:rFonts w:hint="eastAsia" w:ascii="宋体" w:hAnsi="宋体"/>
          <w:color w:val="auto"/>
          <w:highlight w:val="none"/>
        </w:rPr>
        <w:t>（1）排水系统</w:t>
      </w:r>
    </w:p>
    <w:p>
      <w:pPr>
        <w:ind w:firstLine="480"/>
        <w:contextualSpacing/>
        <w:jc w:val="left"/>
        <w:rPr>
          <w:rFonts w:ascii="宋体" w:hAnsi="宋体"/>
          <w:color w:val="auto"/>
          <w:highlight w:val="none"/>
        </w:rPr>
      </w:pPr>
      <w:r>
        <w:rPr>
          <w:rFonts w:hint="eastAsia" w:ascii="宋体" w:hAnsi="宋体"/>
          <w:color w:val="auto"/>
          <w:highlight w:val="none"/>
        </w:rPr>
        <w:t>泵站主厂房内设集水井一个，尺寸1.5×1.0×1.5m(长×宽×高)，设排水泵2台，排水泵型号QX-10，流量8.5m</w:t>
      </w:r>
      <w:r>
        <w:rPr>
          <w:rFonts w:hint="eastAsia" w:ascii="宋体" w:hAnsi="宋体"/>
          <w:color w:val="auto"/>
          <w:highlight w:val="none"/>
          <w:vertAlign w:val="superscript"/>
        </w:rPr>
        <w:t>3</w:t>
      </w:r>
      <w:r>
        <w:rPr>
          <w:rFonts w:hint="eastAsia" w:ascii="宋体" w:hAnsi="宋体"/>
          <w:color w:val="auto"/>
          <w:highlight w:val="none"/>
        </w:rPr>
        <w:t>/h，扬程10m，排水泵排水至室外，设YW-67型液位信号器1个，控制排水泵自动开停。主厂房内集水以管件渗漏水为主，水量较小。</w:t>
      </w:r>
    </w:p>
    <w:p>
      <w:pPr>
        <w:ind w:firstLine="480"/>
        <w:contextualSpacing/>
        <w:jc w:val="left"/>
        <w:rPr>
          <w:rFonts w:ascii="宋体" w:hAnsi="宋体"/>
          <w:color w:val="auto"/>
          <w:highlight w:val="none"/>
        </w:rPr>
      </w:pPr>
      <w:r>
        <w:rPr>
          <w:rFonts w:hint="eastAsia" w:ascii="宋体" w:hAnsi="宋体"/>
          <w:color w:val="auto"/>
          <w:highlight w:val="none"/>
        </w:rPr>
        <w:t>（2）起重设备</w:t>
      </w:r>
    </w:p>
    <w:p>
      <w:pPr>
        <w:ind w:firstLine="480"/>
        <w:contextualSpacing/>
        <w:jc w:val="left"/>
        <w:rPr>
          <w:rFonts w:ascii="宋体" w:hAnsi="宋体"/>
          <w:color w:val="auto"/>
          <w:highlight w:val="none"/>
        </w:rPr>
      </w:pPr>
      <w:r>
        <w:rPr>
          <w:rFonts w:hint="eastAsia" w:ascii="宋体" w:hAnsi="宋体"/>
          <w:color w:val="auto"/>
          <w:highlight w:val="none"/>
        </w:rPr>
        <w:t>主厂房内设电动单梁起重机1台，起重量2t，跨度6.5m。</w:t>
      </w:r>
    </w:p>
    <w:p>
      <w:pPr>
        <w:ind w:firstLine="480"/>
        <w:contextualSpacing/>
        <w:jc w:val="left"/>
        <w:rPr>
          <w:rFonts w:ascii="宋体" w:hAnsi="宋体"/>
          <w:color w:val="auto"/>
          <w:highlight w:val="none"/>
        </w:rPr>
      </w:pPr>
      <w:r>
        <w:rPr>
          <w:rFonts w:hint="eastAsia" w:ascii="宋体" w:hAnsi="宋体"/>
          <w:color w:val="auto"/>
          <w:highlight w:val="none"/>
        </w:rPr>
        <w:t>（3）测量系统</w:t>
      </w:r>
    </w:p>
    <w:p>
      <w:pPr>
        <w:ind w:firstLine="480"/>
        <w:contextualSpacing/>
        <w:jc w:val="left"/>
        <w:rPr>
          <w:rFonts w:ascii="宋体" w:hAnsi="宋体"/>
          <w:color w:val="auto"/>
          <w:highlight w:val="none"/>
        </w:rPr>
      </w:pPr>
      <w:r>
        <w:rPr>
          <w:rFonts w:hint="eastAsia" w:ascii="宋体" w:hAnsi="宋体"/>
          <w:color w:val="auto"/>
          <w:highlight w:val="none"/>
        </w:rPr>
        <w:t>每台水泵出口装有压力传感器，可以测定水泵出口压力，并具备远传功能。</w:t>
      </w:r>
    </w:p>
    <w:p>
      <w:pPr>
        <w:ind w:firstLine="480"/>
        <w:contextualSpacing/>
        <w:jc w:val="left"/>
        <w:rPr>
          <w:rFonts w:ascii="宋体" w:hAnsi="宋体"/>
          <w:color w:val="auto"/>
          <w:highlight w:val="none"/>
        </w:rPr>
      </w:pPr>
      <w:r>
        <w:rPr>
          <w:rFonts w:hint="eastAsia" w:ascii="宋体" w:hAnsi="宋体"/>
          <w:color w:val="auto"/>
          <w:highlight w:val="none"/>
        </w:rPr>
        <w:t>在总输水管上设多声道超声波流量计一台，用以测量供水量。口径为DN600</w:t>
      </w:r>
      <w:r>
        <w:rPr>
          <w:rFonts w:ascii="宋体" w:hAnsi="宋体"/>
          <w:color w:val="auto"/>
          <w:highlight w:val="none"/>
        </w:rPr>
        <w:t>mm</w:t>
      </w:r>
      <w:r>
        <w:rPr>
          <w:rFonts w:hint="eastAsia" w:ascii="宋体" w:hAnsi="宋体"/>
          <w:color w:val="auto"/>
          <w:highlight w:val="none"/>
        </w:rPr>
        <w:t>。</w:t>
      </w:r>
    </w:p>
    <w:p>
      <w:pPr>
        <w:pStyle w:val="5"/>
        <w:rPr>
          <w:color w:val="auto"/>
          <w:highlight w:val="none"/>
        </w:rPr>
      </w:pPr>
      <w:r>
        <w:rPr>
          <w:rFonts w:hint="eastAsia"/>
          <w:color w:val="auto"/>
          <w:highlight w:val="none"/>
        </w:rPr>
        <w:t>5.2.7.6主要机电设备表</w:t>
      </w:r>
    </w:p>
    <w:p>
      <w:pPr>
        <w:pStyle w:val="152"/>
        <w:rPr>
          <w:snapToGrid w:val="0"/>
          <w:color w:val="auto"/>
          <w:w w:val="0"/>
          <w:highlight w:val="none"/>
        </w:rPr>
      </w:pPr>
      <w:r>
        <w:rPr>
          <w:rFonts w:hint="eastAsia"/>
          <w:snapToGrid w:val="0"/>
          <w:color w:val="auto"/>
          <w:w w:val="0"/>
          <w:highlight w:val="none"/>
        </w:rPr>
        <w:t>表</w:t>
      </w:r>
      <w:r>
        <w:rPr>
          <w:rFonts w:hint="eastAsia" w:ascii="黑体" w:hAnsi="黑体"/>
          <w:bCs w:val="0"/>
          <w:color w:val="auto"/>
          <w:highlight w:val="none"/>
        </w:rPr>
        <w:t>5.2.7.6</w:t>
      </w:r>
      <w:r>
        <w:rPr>
          <w:rFonts w:hint="eastAsia"/>
          <w:snapToGrid w:val="0"/>
          <w:color w:val="auto"/>
          <w:w w:val="0"/>
          <w:highlight w:val="none"/>
        </w:rPr>
        <w:t xml:space="preserve">                     主要机电设备表</w:t>
      </w:r>
    </w:p>
    <w:tbl>
      <w:tblPr>
        <w:tblStyle w:val="33"/>
        <w:tblW w:w="8392" w:type="dxa"/>
        <w:jc w:val="center"/>
        <w:tblLayout w:type="autofit"/>
        <w:tblCellMar>
          <w:top w:w="0" w:type="dxa"/>
          <w:left w:w="0" w:type="dxa"/>
          <w:bottom w:w="0" w:type="dxa"/>
          <w:right w:w="0" w:type="dxa"/>
        </w:tblCellMar>
      </w:tblPr>
      <w:tblGrid>
        <w:gridCol w:w="760"/>
        <w:gridCol w:w="2775"/>
        <w:gridCol w:w="2743"/>
        <w:gridCol w:w="1090"/>
        <w:gridCol w:w="1024"/>
      </w:tblGrid>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Chars="0"/>
              <w:rPr>
                <w:rFonts w:ascii="宋体" w:hAnsi="宋体"/>
                <w:color w:val="auto"/>
                <w:sz w:val="21"/>
                <w:szCs w:val="21"/>
                <w:highlight w:val="none"/>
              </w:rPr>
            </w:pPr>
            <w:r>
              <w:rPr>
                <w:rFonts w:hint="eastAsia" w:ascii="宋体" w:hAnsi="宋体"/>
                <w:color w:val="auto"/>
                <w:sz w:val="21"/>
                <w:szCs w:val="21"/>
                <w:highlight w:val="none"/>
              </w:rPr>
              <w:t>序号序号序号</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名</w:t>
            </w:r>
            <w:r>
              <w:rPr>
                <w:rFonts w:ascii="宋体" w:hAnsi="宋体"/>
                <w:color w:val="auto"/>
                <w:sz w:val="21"/>
                <w:szCs w:val="21"/>
                <w:highlight w:val="none"/>
              </w:rPr>
              <w:t xml:space="preserve">     </w:t>
            </w:r>
            <w:r>
              <w:rPr>
                <w:rFonts w:hint="eastAsia" w:ascii="宋体" w:hAnsi="宋体"/>
                <w:color w:val="auto"/>
                <w:sz w:val="21"/>
                <w:szCs w:val="21"/>
                <w:highlight w:val="none"/>
              </w:rPr>
              <w:t>称</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型</w:t>
            </w:r>
            <w:r>
              <w:rPr>
                <w:rFonts w:ascii="宋体" w:hAnsi="宋体"/>
                <w:color w:val="auto"/>
                <w:sz w:val="21"/>
                <w:szCs w:val="21"/>
                <w:highlight w:val="none"/>
              </w:rPr>
              <w:t xml:space="preserve">         </w:t>
            </w:r>
            <w:r>
              <w:rPr>
                <w:rFonts w:hint="eastAsia" w:ascii="宋体" w:hAnsi="宋体"/>
                <w:color w:val="auto"/>
                <w:sz w:val="21"/>
                <w:szCs w:val="21"/>
                <w:highlight w:val="none"/>
              </w:rPr>
              <w:t>号</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Chars="0"/>
              <w:rPr>
                <w:rFonts w:ascii="宋体" w:hAnsi="宋体"/>
                <w:color w:val="auto"/>
                <w:sz w:val="21"/>
                <w:szCs w:val="21"/>
                <w:highlight w:val="none"/>
              </w:rPr>
            </w:pPr>
            <w:r>
              <w:rPr>
                <w:rFonts w:hint="eastAsia" w:ascii="宋体" w:hAnsi="宋体"/>
                <w:color w:val="auto"/>
                <w:sz w:val="21"/>
                <w:szCs w:val="21"/>
                <w:highlight w:val="none"/>
              </w:rPr>
              <w:t>单位</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Chars="0"/>
              <w:rPr>
                <w:rFonts w:ascii="宋体" w:hAnsi="宋体"/>
                <w:color w:val="auto"/>
                <w:sz w:val="21"/>
                <w:szCs w:val="21"/>
                <w:highlight w:val="none"/>
              </w:rPr>
            </w:pPr>
            <w:r>
              <w:rPr>
                <w:rFonts w:hint="eastAsia" w:ascii="宋体" w:hAnsi="宋体"/>
                <w:color w:val="auto"/>
                <w:sz w:val="21"/>
                <w:szCs w:val="21"/>
                <w:highlight w:val="none"/>
              </w:rPr>
              <w:t>数量</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105" w:firstLineChars="50"/>
              <w:jc w:val="center"/>
              <w:rPr>
                <w:rFonts w:ascii="宋体" w:hAnsi="宋体"/>
                <w:color w:val="auto"/>
                <w:sz w:val="21"/>
                <w:szCs w:val="21"/>
                <w:highlight w:val="none"/>
              </w:rPr>
            </w:pPr>
            <w:r>
              <w:rPr>
                <w:rFonts w:hint="eastAsia" w:ascii="宋体" w:hAnsi="宋体"/>
                <w:color w:val="auto"/>
                <w:sz w:val="21"/>
                <w:szCs w:val="21"/>
                <w:highlight w:val="none"/>
              </w:rPr>
              <w:t>1</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离心泵</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ascii="宋体" w:hAnsi="宋体"/>
                <w:color w:val="auto"/>
                <w:sz w:val="21"/>
                <w:szCs w:val="21"/>
                <w:highlight w:val="none"/>
              </w:rPr>
              <w:t>KQW200/</w:t>
            </w:r>
            <w:r>
              <w:rPr>
                <w:rFonts w:hint="eastAsia" w:ascii="宋体" w:hAnsi="宋体"/>
                <w:color w:val="auto"/>
                <w:sz w:val="21"/>
                <w:szCs w:val="21"/>
                <w:highlight w:val="none"/>
              </w:rPr>
              <w:t>460-132</w:t>
            </w:r>
            <w:r>
              <w:rPr>
                <w:rFonts w:ascii="宋体" w:hAnsi="宋体"/>
                <w:color w:val="auto"/>
                <w:sz w:val="21"/>
                <w:szCs w:val="21"/>
                <w:highlight w:val="none"/>
              </w:rPr>
              <w:t>/4</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台</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5</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0" w:firstLineChars="0"/>
              <w:jc w:val="center"/>
              <w:rPr>
                <w:rFonts w:ascii="宋体" w:hAnsi="宋体"/>
                <w:color w:val="auto"/>
                <w:sz w:val="21"/>
                <w:szCs w:val="21"/>
                <w:highlight w:val="none"/>
              </w:rPr>
            </w:pPr>
            <w:r>
              <w:rPr>
                <w:rFonts w:hint="eastAsia" w:ascii="宋体" w:hAnsi="宋体"/>
                <w:color w:val="auto"/>
                <w:sz w:val="21"/>
                <w:szCs w:val="21"/>
                <w:highlight w:val="none"/>
              </w:rPr>
              <w:t xml:space="preserve"> 2</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电动机</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台</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5</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0" w:firstLineChars="0"/>
              <w:jc w:val="center"/>
              <w:rPr>
                <w:rFonts w:ascii="宋体" w:hAnsi="宋体"/>
                <w:color w:val="auto"/>
                <w:sz w:val="21"/>
                <w:szCs w:val="21"/>
                <w:highlight w:val="none"/>
              </w:rPr>
            </w:pPr>
            <w:r>
              <w:rPr>
                <w:rFonts w:hint="eastAsia" w:ascii="宋体" w:hAnsi="宋体"/>
                <w:color w:val="auto"/>
                <w:sz w:val="21"/>
                <w:szCs w:val="21"/>
                <w:highlight w:val="none"/>
              </w:rPr>
              <w:t xml:space="preserve"> 3</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橡胶减震器</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DN200</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台</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5</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0" w:firstLineChars="0"/>
              <w:jc w:val="center"/>
              <w:rPr>
                <w:rFonts w:ascii="宋体" w:hAnsi="宋体"/>
                <w:color w:val="auto"/>
                <w:sz w:val="21"/>
                <w:szCs w:val="21"/>
                <w:highlight w:val="none"/>
              </w:rPr>
            </w:pPr>
            <w:r>
              <w:rPr>
                <w:rFonts w:hint="eastAsia" w:ascii="宋体" w:hAnsi="宋体"/>
                <w:color w:val="auto"/>
                <w:sz w:val="21"/>
                <w:szCs w:val="21"/>
                <w:highlight w:val="none"/>
              </w:rPr>
              <w:t xml:space="preserve"> 4</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橡胶减震器</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DN200</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台</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5</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jc w:val="center"/>
              <w:rPr>
                <w:rFonts w:ascii="宋体" w:hAnsi="宋体"/>
                <w:color w:val="auto"/>
                <w:sz w:val="21"/>
                <w:szCs w:val="21"/>
                <w:highlight w:val="none"/>
              </w:rPr>
            </w:pPr>
            <w:r>
              <w:rPr>
                <w:rFonts w:hint="eastAsia" w:ascii="宋体" w:hAnsi="宋体"/>
                <w:color w:val="auto"/>
                <w:sz w:val="21"/>
                <w:szCs w:val="21"/>
                <w:highlight w:val="none"/>
              </w:rPr>
              <w:t>5</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起重机</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台</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1</w:t>
            </w:r>
          </w:p>
        </w:tc>
      </w:tr>
      <w:tr>
        <w:tblPrEx>
          <w:tblCellMar>
            <w:top w:w="0" w:type="dxa"/>
            <w:left w:w="0" w:type="dxa"/>
            <w:bottom w:w="0" w:type="dxa"/>
            <w:right w:w="0" w:type="dxa"/>
          </w:tblCellMar>
        </w:tblPrEx>
        <w:trPr>
          <w:cantSplit/>
          <w:trHeight w:val="495"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jc w:val="center"/>
              <w:rPr>
                <w:rFonts w:ascii="宋体" w:hAnsi="宋体"/>
                <w:color w:val="auto"/>
                <w:sz w:val="21"/>
                <w:szCs w:val="21"/>
                <w:highlight w:val="none"/>
              </w:rPr>
            </w:pPr>
            <w:r>
              <w:rPr>
                <w:rFonts w:hint="eastAsia" w:ascii="宋体" w:hAnsi="宋体"/>
                <w:color w:val="auto"/>
                <w:sz w:val="21"/>
                <w:szCs w:val="21"/>
                <w:highlight w:val="none"/>
              </w:rPr>
              <w:t>6</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电动蝶阀</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DN300</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台</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10</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jc w:val="center"/>
              <w:rPr>
                <w:rFonts w:ascii="宋体" w:hAnsi="宋体"/>
                <w:color w:val="auto"/>
                <w:sz w:val="21"/>
                <w:szCs w:val="21"/>
                <w:highlight w:val="none"/>
              </w:rPr>
            </w:pPr>
            <w:r>
              <w:rPr>
                <w:rFonts w:hint="eastAsia" w:ascii="宋体" w:hAnsi="宋体"/>
                <w:color w:val="auto"/>
                <w:sz w:val="21"/>
                <w:szCs w:val="21"/>
                <w:highlight w:val="none"/>
              </w:rPr>
              <w:t>7</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液控蝶阀</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DN300</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台</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5</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jc w:val="center"/>
              <w:rPr>
                <w:rFonts w:ascii="宋体" w:hAnsi="宋体"/>
                <w:color w:val="auto"/>
                <w:sz w:val="21"/>
                <w:szCs w:val="21"/>
                <w:highlight w:val="none"/>
              </w:rPr>
            </w:pPr>
            <w:r>
              <w:rPr>
                <w:rFonts w:hint="eastAsia" w:ascii="宋体" w:hAnsi="宋体"/>
                <w:color w:val="auto"/>
                <w:sz w:val="21"/>
                <w:szCs w:val="21"/>
                <w:highlight w:val="none"/>
              </w:rPr>
              <w:t>8</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传力伸缩器</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台</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10</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jc w:val="center"/>
              <w:rPr>
                <w:rFonts w:ascii="宋体" w:hAnsi="宋体"/>
                <w:color w:val="auto"/>
                <w:sz w:val="21"/>
                <w:szCs w:val="21"/>
                <w:highlight w:val="none"/>
              </w:rPr>
            </w:pPr>
            <w:r>
              <w:rPr>
                <w:rFonts w:hint="eastAsia" w:ascii="宋体" w:hAnsi="宋体"/>
                <w:color w:val="auto"/>
                <w:sz w:val="21"/>
                <w:szCs w:val="21"/>
                <w:highlight w:val="none"/>
              </w:rPr>
              <w:t>9</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排水系统</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套</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1</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left="240" w:right="240" w:firstLine="0" w:firstLineChars="0"/>
              <w:jc w:val="center"/>
              <w:rPr>
                <w:rFonts w:ascii="宋体" w:hAnsi="宋体"/>
                <w:color w:val="auto"/>
                <w:sz w:val="21"/>
                <w:szCs w:val="21"/>
                <w:highlight w:val="none"/>
              </w:rPr>
            </w:pPr>
            <w:r>
              <w:rPr>
                <w:rFonts w:hint="eastAsia" w:ascii="宋体" w:hAnsi="宋体"/>
                <w:color w:val="auto"/>
                <w:sz w:val="21"/>
                <w:szCs w:val="21"/>
                <w:highlight w:val="none"/>
              </w:rPr>
              <w:t>10</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多声道超声波流量计</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套</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1</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left="240" w:right="240" w:firstLine="0" w:firstLineChars="0"/>
              <w:jc w:val="center"/>
              <w:rPr>
                <w:rFonts w:ascii="宋体" w:hAnsi="宋体"/>
                <w:color w:val="auto"/>
                <w:sz w:val="21"/>
                <w:szCs w:val="21"/>
                <w:highlight w:val="none"/>
              </w:rPr>
            </w:pPr>
            <w:r>
              <w:rPr>
                <w:rFonts w:hint="eastAsia" w:ascii="宋体" w:hAnsi="宋体"/>
                <w:color w:val="auto"/>
                <w:sz w:val="21"/>
                <w:szCs w:val="21"/>
                <w:highlight w:val="none"/>
              </w:rPr>
              <w:t>11</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钢管</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DN300</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米</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40</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ind w:left="240" w:right="240" w:firstLine="0" w:firstLineChars="0"/>
              <w:jc w:val="center"/>
              <w:rPr>
                <w:rFonts w:ascii="宋体" w:hAnsi="宋体"/>
                <w:color w:val="auto"/>
                <w:sz w:val="21"/>
                <w:szCs w:val="21"/>
                <w:highlight w:val="none"/>
              </w:rPr>
            </w:pPr>
            <w:r>
              <w:rPr>
                <w:rFonts w:hint="eastAsia" w:ascii="宋体" w:hAnsi="宋体"/>
                <w:color w:val="auto"/>
                <w:sz w:val="21"/>
                <w:szCs w:val="21"/>
                <w:highlight w:val="none"/>
              </w:rPr>
              <w:t>12</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钢管</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left="240" w:right="240" w:firstLine="420"/>
              <w:rPr>
                <w:rFonts w:ascii="宋体" w:hAnsi="宋体"/>
                <w:color w:val="auto"/>
                <w:sz w:val="21"/>
                <w:szCs w:val="21"/>
                <w:highlight w:val="none"/>
              </w:rPr>
            </w:pPr>
            <w:r>
              <w:rPr>
                <w:rFonts w:hint="eastAsia" w:ascii="宋体" w:hAnsi="宋体"/>
                <w:color w:val="auto"/>
                <w:sz w:val="21"/>
                <w:szCs w:val="21"/>
                <w:highlight w:val="none"/>
              </w:rPr>
              <w:t>DN600</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米</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ind w:right="240" w:firstLine="174" w:firstLineChars="83"/>
              <w:rPr>
                <w:rFonts w:ascii="宋体" w:hAnsi="宋体"/>
                <w:color w:val="auto"/>
                <w:sz w:val="21"/>
                <w:szCs w:val="21"/>
                <w:highlight w:val="none"/>
              </w:rPr>
            </w:pPr>
            <w:r>
              <w:rPr>
                <w:rFonts w:hint="eastAsia" w:ascii="宋体" w:hAnsi="宋体"/>
                <w:color w:val="auto"/>
                <w:sz w:val="21"/>
                <w:szCs w:val="21"/>
                <w:highlight w:val="none"/>
              </w:rPr>
              <w:t>50</w:t>
            </w:r>
          </w:p>
        </w:tc>
      </w:tr>
    </w:tbl>
    <w:p>
      <w:pPr>
        <w:pStyle w:val="3"/>
        <w:rPr>
          <w:color w:val="auto"/>
          <w:highlight w:val="none"/>
        </w:rPr>
      </w:pPr>
      <w:bookmarkStart w:id="34" w:name="_Toc10648"/>
      <w:r>
        <w:rPr>
          <w:rFonts w:hint="eastAsia"/>
          <w:color w:val="auto"/>
          <w:highlight w:val="none"/>
        </w:rPr>
        <w:t>5.3龙泉庄水库清淤扩容工程</w:t>
      </w:r>
      <w:bookmarkEnd w:id="34"/>
    </w:p>
    <w:p>
      <w:pPr>
        <w:ind w:firstLine="480"/>
        <w:contextualSpacing/>
        <w:jc w:val="left"/>
        <w:rPr>
          <w:rFonts w:ascii="宋体" w:hAnsi="宋体"/>
          <w:color w:val="auto"/>
          <w:highlight w:val="none"/>
        </w:rPr>
      </w:pPr>
      <w:r>
        <w:rPr>
          <w:rFonts w:hint="eastAsia" w:ascii="宋体" w:hAnsi="宋体"/>
          <w:color w:val="auto"/>
          <w:highlight w:val="none"/>
        </w:rPr>
        <w:t>龙泉庄水库为小㈠型水库，位于峄城区榴园镇，区域内有206国道、省道郯薛路通过，水库于1978年5月建成，流域面积6.25km</w:t>
      </w:r>
      <w:r>
        <w:rPr>
          <w:rFonts w:hint="eastAsia" w:ascii="宋体" w:hAnsi="宋体"/>
          <w:color w:val="auto"/>
          <w:highlight w:val="none"/>
          <w:vertAlign w:val="superscript"/>
        </w:rPr>
        <w:t>2</w:t>
      </w:r>
      <w:r>
        <w:rPr>
          <w:rFonts w:hint="eastAsia" w:ascii="宋体" w:hAnsi="宋体"/>
          <w:color w:val="auto"/>
          <w:highlight w:val="none"/>
        </w:rPr>
        <w:t>（包括库区以上褚庄、马山套两水库2.29 km</w:t>
      </w:r>
      <w:r>
        <w:rPr>
          <w:rFonts w:hint="eastAsia" w:ascii="宋体" w:hAnsi="宋体"/>
          <w:color w:val="auto"/>
          <w:highlight w:val="none"/>
          <w:vertAlign w:val="superscript"/>
        </w:rPr>
        <w:t xml:space="preserve"> 2</w:t>
      </w:r>
      <w:r>
        <w:rPr>
          <w:rFonts w:hint="eastAsia" w:ascii="宋体" w:hAnsi="宋体"/>
          <w:color w:val="auto"/>
          <w:highlight w:val="none"/>
        </w:rPr>
        <w:t>的流域面积），水库设计总库容360万m</w:t>
      </w:r>
      <w:r>
        <w:rPr>
          <w:rFonts w:hint="eastAsia" w:ascii="宋体" w:hAnsi="宋体"/>
          <w:color w:val="auto"/>
          <w:highlight w:val="none"/>
          <w:vertAlign w:val="superscript"/>
        </w:rPr>
        <w:t>3</w:t>
      </w:r>
      <w:r>
        <w:rPr>
          <w:rFonts w:hint="eastAsia" w:ascii="宋体" w:hAnsi="宋体"/>
          <w:color w:val="auto"/>
          <w:highlight w:val="none"/>
        </w:rPr>
        <w:t>，防洪库容146万m</w:t>
      </w:r>
      <w:r>
        <w:rPr>
          <w:rFonts w:hint="eastAsia" w:ascii="宋体" w:hAnsi="宋体"/>
          <w:color w:val="auto"/>
          <w:highlight w:val="none"/>
          <w:vertAlign w:val="superscript"/>
        </w:rPr>
        <w:t>3</w:t>
      </w:r>
      <w:r>
        <w:rPr>
          <w:rFonts w:hint="eastAsia" w:ascii="宋体" w:hAnsi="宋体"/>
          <w:color w:val="auto"/>
          <w:highlight w:val="none"/>
        </w:rPr>
        <w:t>，兴利库容189万m</w:t>
      </w:r>
      <w:r>
        <w:rPr>
          <w:rFonts w:hint="eastAsia" w:ascii="宋体" w:hAnsi="宋体"/>
          <w:color w:val="auto"/>
          <w:highlight w:val="none"/>
          <w:vertAlign w:val="superscript"/>
        </w:rPr>
        <w:t>3</w:t>
      </w:r>
      <w:r>
        <w:rPr>
          <w:rFonts w:hint="eastAsia" w:ascii="宋体" w:hAnsi="宋体"/>
          <w:color w:val="auto"/>
          <w:highlight w:val="none"/>
        </w:rPr>
        <w:t>，死库容25万m</w:t>
      </w:r>
      <w:r>
        <w:rPr>
          <w:rFonts w:hint="eastAsia" w:ascii="宋体" w:hAnsi="宋体"/>
          <w:color w:val="auto"/>
          <w:highlight w:val="none"/>
          <w:vertAlign w:val="superscript"/>
        </w:rPr>
        <w:t>3</w:t>
      </w:r>
      <w:r>
        <w:rPr>
          <w:rFonts w:hint="eastAsia" w:ascii="宋体" w:hAnsi="宋体"/>
          <w:color w:val="auto"/>
          <w:highlight w:val="none"/>
        </w:rPr>
        <w:t>，设计灌溉面积5000亩。大坝为均质土坝，全长 940.7m，坝顶宽度 3.6～5.7m，坝顶高程86.80～87.60m，最大坝高17.5m，坝顶泥土路面。放水洞为浆砌石盖板涵洞，洞口尺寸为 0.6m×0.8m，放水洞洞长58.3m，进口底高程为79.10m，拉杆式转动铸铁闸门，坝下游有竖井，最大出水流量为 0.637m</w:t>
      </w:r>
      <w:r>
        <w:rPr>
          <w:rFonts w:hint="eastAsia" w:ascii="宋体" w:hAnsi="宋体"/>
          <w:color w:val="auto"/>
          <w:highlight w:val="none"/>
          <w:vertAlign w:val="superscript"/>
        </w:rPr>
        <w:t>3</w:t>
      </w:r>
      <w:r>
        <w:rPr>
          <w:rFonts w:hint="eastAsia" w:ascii="宋体" w:hAnsi="宋体"/>
          <w:color w:val="auto"/>
          <w:highlight w:val="none"/>
        </w:rPr>
        <w:t>/s。水库溢洪道设在东端蛟山脚下环山路，底宽 25m，底板高程为 83.70m。</w:t>
      </w:r>
    </w:p>
    <w:p>
      <w:pPr>
        <w:ind w:firstLine="480"/>
        <w:contextualSpacing/>
        <w:jc w:val="left"/>
        <w:rPr>
          <w:rFonts w:ascii="宋体" w:hAnsi="宋体"/>
          <w:color w:val="auto"/>
          <w:highlight w:val="none"/>
        </w:rPr>
      </w:pPr>
      <w:r>
        <w:rPr>
          <w:rFonts w:ascii="宋体" w:hAnsi="宋体"/>
          <w:color w:val="auto"/>
          <w:highlight w:val="none"/>
        </w:rPr>
        <w:t>根据</w:t>
      </w:r>
      <w:r>
        <w:rPr>
          <w:rFonts w:hint="eastAsia" w:ascii="宋体" w:hAnsi="宋体"/>
          <w:color w:val="auto"/>
          <w:highlight w:val="none"/>
        </w:rPr>
        <w:t>测算</w:t>
      </w:r>
      <w:r>
        <w:rPr>
          <w:rFonts w:ascii="宋体" w:hAnsi="宋体"/>
          <w:color w:val="auto"/>
          <w:highlight w:val="none"/>
        </w:rPr>
        <w:t>，水库经</w:t>
      </w:r>
      <w:r>
        <w:rPr>
          <w:rFonts w:hint="eastAsia" w:ascii="宋体" w:hAnsi="宋体"/>
          <w:color w:val="auto"/>
          <w:highlight w:val="none"/>
        </w:rPr>
        <w:t>40</w:t>
      </w:r>
      <w:r>
        <w:rPr>
          <w:rFonts w:ascii="宋体" w:hAnsi="宋体"/>
          <w:color w:val="auto"/>
          <w:highlight w:val="none"/>
        </w:rPr>
        <w:t>多年运行，库区淤积严重，库区淤积主要集中在水库上游和下游区域。水库下游因多年泄洪影响，上游推移质泥沙使得区域逐渐淤积，平均淤积深度为</w:t>
      </w:r>
      <w:r>
        <w:rPr>
          <w:rFonts w:hint="eastAsia" w:ascii="宋体" w:hAnsi="宋体"/>
          <w:color w:val="auto"/>
          <w:highlight w:val="none"/>
        </w:rPr>
        <w:t>1.0</w:t>
      </w:r>
      <w:r>
        <w:rPr>
          <w:rFonts w:ascii="宋体" w:hAnsi="宋体"/>
          <w:color w:val="auto"/>
          <w:highlight w:val="none"/>
        </w:rPr>
        <w:t>m；水库上游因山洪影响，区域淤积相对严重，平均淤积深度为</w:t>
      </w:r>
      <w:r>
        <w:rPr>
          <w:rFonts w:hint="eastAsia" w:ascii="宋体" w:hAnsi="宋体"/>
          <w:color w:val="auto"/>
          <w:highlight w:val="none"/>
        </w:rPr>
        <w:t>1.5</w:t>
      </w:r>
      <w:r>
        <w:rPr>
          <w:rFonts w:ascii="宋体" w:hAnsi="宋体"/>
          <w:color w:val="auto"/>
          <w:highlight w:val="none"/>
        </w:rPr>
        <w:t>m。为恢复水库兴利库容，本项目仅对</w:t>
      </w:r>
      <w:r>
        <w:rPr>
          <w:rFonts w:hint="eastAsia" w:ascii="宋体" w:hAnsi="宋体"/>
          <w:color w:val="auto"/>
          <w:highlight w:val="none"/>
        </w:rPr>
        <w:t>龙泉庄</w:t>
      </w:r>
      <w:r>
        <w:rPr>
          <w:rFonts w:ascii="宋体" w:hAnsi="宋体"/>
          <w:color w:val="auto"/>
          <w:highlight w:val="none"/>
        </w:rPr>
        <w:t>水库兴利水位至死水位以上部分淤积区域进行清淤；为改善区域生态环境，扩大水库在常水位时的水面面积，本项目近可能扩大清淤面积；为保证水库边坡的稳定性，本项目清淤范围均在水库边坡及现有建筑物影响范围外。</w:t>
      </w:r>
    </w:p>
    <w:p>
      <w:pPr>
        <w:ind w:firstLine="480"/>
        <w:contextualSpacing/>
        <w:jc w:val="left"/>
        <w:rPr>
          <w:rFonts w:ascii="宋体" w:hAnsi="宋体"/>
          <w:color w:val="auto"/>
          <w:highlight w:val="none"/>
        </w:rPr>
      </w:pPr>
      <w:r>
        <w:rPr>
          <w:rFonts w:hint="eastAsia" w:ascii="宋体" w:hAnsi="宋体"/>
          <w:color w:val="auto"/>
          <w:highlight w:val="none"/>
        </w:rPr>
        <w:t>龙泉庄水库作为南四湖取水工程调蓄水库，现状兴利库容189万m</w:t>
      </w:r>
      <w:r>
        <w:rPr>
          <w:rFonts w:hint="eastAsia" w:ascii="宋体" w:hAnsi="宋体"/>
          <w:color w:val="auto"/>
          <w:highlight w:val="none"/>
          <w:vertAlign w:val="superscript"/>
        </w:rPr>
        <w:t>3</w:t>
      </w:r>
      <w:r>
        <w:rPr>
          <w:rFonts w:hint="eastAsia" w:ascii="宋体" w:hAnsi="宋体"/>
          <w:color w:val="auto"/>
          <w:highlight w:val="none"/>
        </w:rPr>
        <w:t>，拟实施水库增容工程，将水库兴利库容扩大至340万m³。</w:t>
      </w:r>
    </w:p>
    <w:p>
      <w:pPr>
        <w:pStyle w:val="4"/>
        <w:rPr>
          <w:color w:val="auto"/>
          <w:highlight w:val="none"/>
        </w:rPr>
      </w:pPr>
      <w:r>
        <w:rPr>
          <w:rFonts w:hint="eastAsia"/>
          <w:color w:val="auto"/>
          <w:highlight w:val="none"/>
        </w:rPr>
        <w:t>5.3.1工程等级和标准</w:t>
      </w:r>
    </w:p>
    <w:p>
      <w:pPr>
        <w:adjustRightInd w:val="0"/>
        <w:snapToGrid w:val="0"/>
        <w:ind w:firstLine="480"/>
        <w:rPr>
          <w:color w:val="auto"/>
          <w:highlight w:val="none"/>
        </w:rPr>
      </w:pPr>
      <w:r>
        <w:rPr>
          <w:color w:val="auto"/>
          <w:highlight w:val="none"/>
        </w:rPr>
        <w:t>依据《水利水电工程等级划分及洪水标准》（SL252-2017）</w:t>
      </w:r>
      <w:r>
        <w:rPr>
          <w:rFonts w:hint="eastAsia"/>
          <w:color w:val="auto"/>
          <w:highlight w:val="none"/>
        </w:rPr>
        <w:t>，龙泉庄</w:t>
      </w:r>
      <w:r>
        <w:rPr>
          <w:color w:val="auto"/>
          <w:highlight w:val="none"/>
        </w:rPr>
        <w:t>水库属于</w:t>
      </w:r>
      <w:r>
        <w:rPr>
          <w:rFonts w:hint="eastAsia"/>
          <w:color w:val="auto"/>
          <w:highlight w:val="none"/>
        </w:rPr>
        <w:t>小（1）</w:t>
      </w:r>
      <w:r>
        <w:rPr>
          <w:color w:val="auto"/>
          <w:highlight w:val="none"/>
        </w:rPr>
        <w:t>型水库，工程等别为</w:t>
      </w:r>
      <w:r>
        <w:rPr>
          <w:rFonts w:hint="eastAsia"/>
          <w:color w:val="auto"/>
          <w:highlight w:val="none"/>
        </w:rPr>
        <w:t>Ⅳ</w:t>
      </w:r>
      <w:r>
        <w:rPr>
          <w:color w:val="auto"/>
          <w:highlight w:val="none"/>
        </w:rPr>
        <w:t>等，其永久性主要建筑物大坝、溢洪道、放水洞等均为</w:t>
      </w:r>
      <w:r>
        <w:rPr>
          <w:rFonts w:hint="eastAsia"/>
          <w:color w:val="auto"/>
          <w:highlight w:val="none"/>
        </w:rPr>
        <w:t>4</w:t>
      </w:r>
      <w:r>
        <w:rPr>
          <w:color w:val="auto"/>
          <w:highlight w:val="none"/>
        </w:rPr>
        <w:t>级建筑物。水库建筑物洪水标准为</w:t>
      </w:r>
      <w:r>
        <w:rPr>
          <w:rFonts w:hint="eastAsia"/>
          <w:color w:val="auto"/>
          <w:highlight w:val="none"/>
        </w:rPr>
        <w:t>30</w:t>
      </w:r>
      <w:r>
        <w:rPr>
          <w:color w:val="auto"/>
          <w:highlight w:val="none"/>
        </w:rPr>
        <w:t>年一遇洪水设计，</w:t>
      </w:r>
      <w:r>
        <w:rPr>
          <w:rFonts w:hint="eastAsia"/>
          <w:color w:val="auto"/>
          <w:highlight w:val="none"/>
        </w:rPr>
        <w:t>300</w:t>
      </w:r>
      <w:r>
        <w:rPr>
          <w:color w:val="auto"/>
          <w:highlight w:val="none"/>
        </w:rPr>
        <w:t>年一遇洪水校核；水库下游河道防洪标准为20年一遇。</w:t>
      </w:r>
    </w:p>
    <w:p>
      <w:pPr>
        <w:pStyle w:val="4"/>
        <w:rPr>
          <w:color w:val="auto"/>
          <w:highlight w:val="none"/>
        </w:rPr>
      </w:pPr>
      <w:r>
        <w:rPr>
          <w:rFonts w:hint="eastAsia"/>
          <w:color w:val="auto"/>
          <w:highlight w:val="none"/>
        </w:rPr>
        <w:t>5.3.2工程总体布置</w:t>
      </w:r>
    </w:p>
    <w:p>
      <w:pPr>
        <w:adjustRightInd w:val="0"/>
        <w:snapToGrid w:val="0"/>
        <w:ind w:firstLine="480"/>
        <w:rPr>
          <w:color w:val="auto"/>
          <w:highlight w:val="none"/>
        </w:rPr>
      </w:pPr>
      <w:r>
        <w:rPr>
          <w:rFonts w:hint="eastAsia"/>
          <w:color w:val="auto"/>
          <w:highlight w:val="none"/>
        </w:rPr>
        <w:t>1、水库清淤</w:t>
      </w:r>
    </w:p>
    <w:p>
      <w:pPr>
        <w:adjustRightInd w:val="0"/>
        <w:snapToGrid w:val="0"/>
        <w:ind w:firstLine="480"/>
        <w:rPr>
          <w:color w:val="auto"/>
          <w:highlight w:val="none"/>
        </w:rPr>
      </w:pPr>
      <w:r>
        <w:rPr>
          <w:color w:val="auto"/>
          <w:highlight w:val="none"/>
        </w:rPr>
        <w:t>本工程对</w:t>
      </w:r>
      <w:r>
        <w:rPr>
          <w:rFonts w:hint="eastAsia"/>
          <w:color w:val="auto"/>
          <w:highlight w:val="none"/>
        </w:rPr>
        <w:t>龙泉庄</w:t>
      </w:r>
      <w:r>
        <w:rPr>
          <w:color w:val="auto"/>
          <w:highlight w:val="none"/>
        </w:rPr>
        <w:t>水库库区内</w:t>
      </w:r>
      <w:r>
        <w:rPr>
          <w:rFonts w:hint="eastAsia"/>
          <w:color w:val="auto"/>
          <w:highlight w:val="none"/>
        </w:rPr>
        <w:t>23.83</w:t>
      </w:r>
      <w:r>
        <w:rPr>
          <w:color w:val="auto"/>
          <w:highlight w:val="none"/>
        </w:rPr>
        <w:t>万m</w:t>
      </w:r>
      <w:r>
        <w:rPr>
          <w:color w:val="auto"/>
          <w:highlight w:val="none"/>
          <w:vertAlign w:val="superscript"/>
        </w:rPr>
        <w:t>2</w:t>
      </w:r>
      <w:r>
        <w:rPr>
          <w:color w:val="auto"/>
          <w:highlight w:val="none"/>
        </w:rPr>
        <w:t>区域进行清淤，清淤至高程</w:t>
      </w:r>
      <w:r>
        <w:rPr>
          <w:rFonts w:hint="eastAsia"/>
          <w:color w:val="auto"/>
          <w:highlight w:val="none"/>
        </w:rPr>
        <w:t>79.10</w:t>
      </w:r>
      <w:r>
        <w:rPr>
          <w:color w:val="auto"/>
          <w:highlight w:val="none"/>
        </w:rPr>
        <w:t>m，清淤方量合计为</w:t>
      </w:r>
      <w:r>
        <w:rPr>
          <w:rFonts w:hint="eastAsia"/>
          <w:color w:val="auto"/>
          <w:highlight w:val="none"/>
        </w:rPr>
        <w:t>29.78万</w:t>
      </w:r>
      <w:r>
        <w:rPr>
          <w:color w:val="auto"/>
          <w:highlight w:val="none"/>
        </w:rPr>
        <w:t>m</w:t>
      </w:r>
      <w:r>
        <w:rPr>
          <w:color w:val="auto"/>
          <w:highlight w:val="none"/>
          <w:vertAlign w:val="superscript"/>
        </w:rPr>
        <w:t>3</w:t>
      </w:r>
      <w:r>
        <w:rPr>
          <w:color w:val="auto"/>
          <w:highlight w:val="none"/>
        </w:rPr>
        <w:t>。本项目清淤边坡坡比为1：3。本项目采用2m</w:t>
      </w:r>
      <w:r>
        <w:rPr>
          <w:color w:val="auto"/>
          <w:highlight w:val="none"/>
          <w:vertAlign w:val="superscript"/>
        </w:rPr>
        <w:t>3</w:t>
      </w:r>
      <w:r>
        <w:rPr>
          <w:color w:val="auto"/>
          <w:highlight w:val="none"/>
        </w:rPr>
        <w:t>挖掘机挖土、20t自卸汽车外运的清淤方式。</w:t>
      </w:r>
    </w:p>
    <w:p>
      <w:pPr>
        <w:adjustRightInd w:val="0"/>
        <w:snapToGrid w:val="0"/>
        <w:ind w:firstLine="480"/>
        <w:rPr>
          <w:color w:val="auto"/>
          <w:highlight w:val="none"/>
        </w:rPr>
      </w:pPr>
      <w:r>
        <w:rPr>
          <w:rFonts w:hint="eastAsia"/>
          <w:color w:val="auto"/>
          <w:highlight w:val="none"/>
        </w:rPr>
        <w:t>2、水库扩容：</w:t>
      </w:r>
    </w:p>
    <w:p>
      <w:pPr>
        <w:adjustRightInd w:val="0"/>
        <w:snapToGrid w:val="0"/>
        <w:ind w:firstLine="480"/>
        <w:rPr>
          <w:color w:val="auto"/>
          <w:highlight w:val="none"/>
        </w:rPr>
      </w:pPr>
      <w:r>
        <w:rPr>
          <w:rFonts w:hint="eastAsia"/>
          <w:color w:val="auto"/>
          <w:highlight w:val="none"/>
        </w:rPr>
        <w:t>水库扩容实施主要内容：水库大坝加高培厚、溢洪道改建并增设调节闸、放水洞改建、库区扩挖及库区周边抬田。</w:t>
      </w:r>
    </w:p>
    <w:p>
      <w:pPr>
        <w:pStyle w:val="4"/>
        <w:rPr>
          <w:color w:val="auto"/>
          <w:highlight w:val="none"/>
        </w:rPr>
      </w:pPr>
      <w:bookmarkStart w:id="35" w:name="_Toc370110370"/>
      <w:r>
        <w:rPr>
          <w:rFonts w:hint="eastAsia"/>
          <w:color w:val="auto"/>
          <w:highlight w:val="none"/>
        </w:rPr>
        <w:t>5.3.3</w:t>
      </w:r>
      <w:r>
        <w:rPr>
          <w:color w:val="auto"/>
          <w:highlight w:val="none"/>
        </w:rPr>
        <w:t>清淤工程设计</w:t>
      </w:r>
      <w:bookmarkEnd w:id="35"/>
    </w:p>
    <w:p>
      <w:pPr>
        <w:adjustRightInd w:val="0"/>
        <w:snapToGrid w:val="0"/>
        <w:ind w:firstLine="480"/>
        <w:rPr>
          <w:color w:val="auto"/>
          <w:highlight w:val="none"/>
        </w:rPr>
      </w:pPr>
      <w:r>
        <w:rPr>
          <w:color w:val="auto"/>
          <w:highlight w:val="none"/>
        </w:rPr>
        <w:t>为恢复水库兴利库容，本项目对水库库区内兴利水位</w:t>
      </w:r>
      <w:r>
        <w:rPr>
          <w:rFonts w:hint="eastAsia"/>
          <w:color w:val="auto"/>
          <w:highlight w:val="none"/>
        </w:rPr>
        <w:t>83.70</w:t>
      </w:r>
      <w:r>
        <w:rPr>
          <w:color w:val="auto"/>
          <w:highlight w:val="none"/>
        </w:rPr>
        <w:t>m以下、死水位</w:t>
      </w:r>
      <w:r>
        <w:rPr>
          <w:rFonts w:hint="eastAsia"/>
          <w:color w:val="auto"/>
          <w:highlight w:val="none"/>
        </w:rPr>
        <w:t>79.10</w:t>
      </w:r>
      <w:r>
        <w:rPr>
          <w:color w:val="auto"/>
          <w:highlight w:val="none"/>
        </w:rPr>
        <w:t>m以上高程范围内部分区域进行清淤；为改善区域生态环境，扩大水库在常水位时的水面面积，本项目尽可能扩大清淤面积；为保证水库边坡的稳定性，本项目清淤范围均在水库边坡及现有建筑物影响范围外。</w:t>
      </w:r>
    </w:p>
    <w:p>
      <w:pPr>
        <w:adjustRightInd w:val="0"/>
        <w:snapToGrid w:val="0"/>
        <w:ind w:firstLine="480"/>
        <w:rPr>
          <w:color w:val="auto"/>
          <w:highlight w:val="none"/>
        </w:rPr>
      </w:pPr>
      <w:r>
        <w:rPr>
          <w:rFonts w:hint="eastAsia"/>
          <w:color w:val="auto"/>
          <w:highlight w:val="none"/>
        </w:rPr>
        <w:t>一、</w:t>
      </w:r>
      <w:r>
        <w:rPr>
          <w:color w:val="auto"/>
          <w:highlight w:val="none"/>
        </w:rPr>
        <w:t>清淤方量</w:t>
      </w:r>
    </w:p>
    <w:p>
      <w:pPr>
        <w:ind w:firstLine="480"/>
        <w:rPr>
          <w:color w:val="auto"/>
          <w:highlight w:val="none"/>
        </w:rPr>
      </w:pPr>
      <w:r>
        <w:rPr>
          <w:color w:val="auto"/>
          <w:highlight w:val="none"/>
        </w:rPr>
        <w:t>（1）方格网法计算</w:t>
      </w:r>
    </w:p>
    <w:p>
      <w:pPr>
        <w:ind w:firstLine="480"/>
        <w:rPr>
          <w:color w:val="auto"/>
          <w:highlight w:val="none"/>
        </w:rPr>
      </w:pPr>
      <w:r>
        <w:rPr>
          <w:color w:val="auto"/>
          <w:highlight w:val="none"/>
        </w:rPr>
        <w:t>本项目清淤方量采用方格网法进行计算，其计算公式如下：</w:t>
      </w:r>
    </w:p>
    <w:p>
      <w:pPr>
        <w:ind w:firstLine="480"/>
        <w:jc w:val="center"/>
        <w:rPr>
          <w:color w:val="auto"/>
          <w:highlight w:val="none"/>
        </w:rPr>
      </w:pPr>
      <w:r>
        <w:rPr>
          <w:color w:val="auto"/>
          <w:position w:val="-24"/>
          <w:highlight w:val="none"/>
        </w:rPr>
        <w:object>
          <v:shape id="_x0000_i1025" o:spt="75" type="#_x0000_t75" style="height:33.5pt;width:118.5pt;" o:ole="t" filled="f" o:preferrelative="t" stroked="f" coordsize="21600,21600">
            <v:path/>
            <v:fill on="f" focussize="0,0"/>
            <v:stroke on="f" joinstyle="miter"/>
            <v:imagedata r:id="rId24" o:title=""/>
            <o:lock v:ext="edit" aspectratio="t"/>
            <w10:wrap type="none"/>
            <w10:anchorlock/>
          </v:shape>
          <o:OLEObject Type="Embed" ProgID="Equation.DSMT4" ShapeID="_x0000_i1025" DrawAspect="Content" ObjectID="_1468075725" r:id="rId23">
            <o:LockedField>false</o:LockedField>
          </o:OLEObject>
        </w:object>
      </w:r>
    </w:p>
    <w:p>
      <w:pPr>
        <w:ind w:firstLine="480"/>
        <w:rPr>
          <w:color w:val="auto"/>
          <w:highlight w:val="none"/>
        </w:rPr>
      </w:pPr>
      <w:r>
        <w:rPr>
          <w:color w:val="auto"/>
          <w:highlight w:val="none"/>
        </w:rPr>
        <w:t>式中：</w:t>
      </w:r>
    </w:p>
    <w:p>
      <w:pPr>
        <w:ind w:firstLine="480"/>
        <w:rPr>
          <w:color w:val="auto"/>
          <w:highlight w:val="none"/>
        </w:rPr>
      </w:pPr>
      <w:r>
        <w:rPr>
          <w:i/>
          <w:color w:val="auto"/>
          <w:highlight w:val="none"/>
        </w:rPr>
        <w:t>V</w:t>
      </w:r>
      <w:r>
        <w:rPr>
          <w:color w:val="auto"/>
          <w:highlight w:val="none"/>
        </w:rPr>
        <w:t>——开挖土方量，m</w:t>
      </w:r>
      <w:r>
        <w:rPr>
          <w:color w:val="auto"/>
          <w:highlight w:val="none"/>
          <w:vertAlign w:val="superscript"/>
        </w:rPr>
        <w:t>3</w:t>
      </w:r>
      <w:r>
        <w:rPr>
          <w:color w:val="auto"/>
          <w:highlight w:val="none"/>
        </w:rPr>
        <w:t>；</w:t>
      </w:r>
    </w:p>
    <w:p>
      <w:pPr>
        <w:ind w:firstLine="480"/>
        <w:rPr>
          <w:color w:val="auto"/>
          <w:highlight w:val="none"/>
        </w:rPr>
      </w:pPr>
      <w:r>
        <w:rPr>
          <w:i/>
          <w:color w:val="auto"/>
          <w:highlight w:val="none"/>
        </w:rPr>
        <w:t>a</w:t>
      </w:r>
      <w:r>
        <w:rPr>
          <w:color w:val="auto"/>
          <w:highlight w:val="none"/>
        </w:rPr>
        <w:t>——方格网边长，本次计算采用20m；</w:t>
      </w:r>
    </w:p>
    <w:p>
      <w:pPr>
        <w:ind w:firstLine="480"/>
        <w:rPr>
          <w:color w:val="auto"/>
          <w:highlight w:val="none"/>
        </w:rPr>
      </w:pPr>
      <w:r>
        <w:rPr>
          <w:i/>
          <w:color w:val="auto"/>
          <w:highlight w:val="none"/>
        </w:rPr>
        <w:t>h</w:t>
      </w:r>
      <w:r>
        <w:rPr>
          <w:color w:val="auto"/>
          <w:highlight w:val="none"/>
          <w:vertAlign w:val="subscript"/>
        </w:rPr>
        <w:t>1</w:t>
      </w:r>
      <w:r>
        <w:rPr>
          <w:color w:val="auto"/>
          <w:highlight w:val="none"/>
        </w:rPr>
        <w:t>、</w:t>
      </w:r>
      <w:r>
        <w:rPr>
          <w:i/>
          <w:color w:val="auto"/>
          <w:highlight w:val="none"/>
        </w:rPr>
        <w:t>h</w:t>
      </w:r>
      <w:r>
        <w:rPr>
          <w:color w:val="auto"/>
          <w:highlight w:val="none"/>
          <w:vertAlign w:val="subscript"/>
        </w:rPr>
        <w:t>2</w:t>
      </w:r>
      <w:r>
        <w:rPr>
          <w:color w:val="auto"/>
          <w:highlight w:val="none"/>
        </w:rPr>
        <w:t>、</w:t>
      </w:r>
      <w:r>
        <w:rPr>
          <w:i/>
          <w:color w:val="auto"/>
          <w:highlight w:val="none"/>
        </w:rPr>
        <w:t>h</w:t>
      </w:r>
      <w:r>
        <w:rPr>
          <w:color w:val="auto"/>
          <w:highlight w:val="none"/>
          <w:vertAlign w:val="subscript"/>
        </w:rPr>
        <w:t>3</w:t>
      </w:r>
      <w:r>
        <w:rPr>
          <w:color w:val="auto"/>
          <w:highlight w:val="none"/>
        </w:rPr>
        <w:t>、</w:t>
      </w:r>
      <w:r>
        <w:rPr>
          <w:i/>
          <w:color w:val="auto"/>
          <w:highlight w:val="none"/>
        </w:rPr>
        <w:t>h</w:t>
      </w:r>
      <w:r>
        <w:rPr>
          <w:color w:val="auto"/>
          <w:highlight w:val="none"/>
          <w:vertAlign w:val="subscript"/>
        </w:rPr>
        <w:t>4</w:t>
      </w:r>
      <w:r>
        <w:rPr>
          <w:color w:val="auto"/>
          <w:highlight w:val="none"/>
        </w:rPr>
        <w:t>——方格网角点现状地面高程与设计地面高程之差，m。</w:t>
      </w:r>
    </w:p>
    <w:p>
      <w:pPr>
        <w:ind w:firstLine="480"/>
        <w:rPr>
          <w:color w:val="auto"/>
          <w:highlight w:val="none"/>
        </w:rPr>
      </w:pPr>
      <w:r>
        <w:rPr>
          <w:color w:val="auto"/>
          <w:highlight w:val="none"/>
        </w:rPr>
        <w:t>经计算，本项目清淤土方量合计为</w:t>
      </w:r>
      <w:r>
        <w:rPr>
          <w:rFonts w:hint="eastAsia"/>
          <w:color w:val="auto"/>
          <w:highlight w:val="none"/>
        </w:rPr>
        <w:t>29.78</w:t>
      </w:r>
      <w:r>
        <w:rPr>
          <w:color w:val="auto"/>
          <w:highlight w:val="none"/>
        </w:rPr>
        <w:t>万m</w:t>
      </w:r>
      <w:r>
        <w:rPr>
          <w:color w:val="auto"/>
          <w:highlight w:val="none"/>
          <w:vertAlign w:val="superscript"/>
        </w:rPr>
        <w:t>3</w:t>
      </w:r>
      <w:r>
        <w:rPr>
          <w:rFonts w:hint="eastAsia"/>
          <w:color w:val="auto"/>
          <w:highlight w:val="none"/>
        </w:rPr>
        <w:t>。</w:t>
      </w:r>
    </w:p>
    <w:p>
      <w:pPr>
        <w:pStyle w:val="4"/>
        <w:rPr>
          <w:color w:val="auto"/>
          <w:highlight w:val="none"/>
        </w:rPr>
      </w:pPr>
      <w:r>
        <w:rPr>
          <w:rFonts w:hint="eastAsia"/>
          <w:color w:val="auto"/>
          <w:highlight w:val="none"/>
        </w:rPr>
        <w:t>5.3.3扩容</w:t>
      </w:r>
      <w:r>
        <w:rPr>
          <w:color w:val="auto"/>
          <w:highlight w:val="none"/>
        </w:rPr>
        <w:t>工程设计</w:t>
      </w:r>
    </w:p>
    <w:p>
      <w:pPr>
        <w:adjustRightInd w:val="0"/>
        <w:snapToGrid w:val="0"/>
        <w:ind w:firstLine="480"/>
        <w:rPr>
          <w:color w:val="auto"/>
          <w:highlight w:val="none"/>
        </w:rPr>
      </w:pPr>
      <w:r>
        <w:rPr>
          <w:rFonts w:hint="eastAsia"/>
          <w:color w:val="auto"/>
          <w:highlight w:val="none"/>
        </w:rPr>
        <w:t>水库扩容实施主要内容：水库大坝加高培厚、溢洪道改建并增设调节闸、放水洞改建、库区扩挖及库区周边抬田。</w:t>
      </w:r>
    </w:p>
    <w:p>
      <w:pPr>
        <w:pStyle w:val="3"/>
        <w:rPr>
          <w:color w:val="auto"/>
          <w:highlight w:val="none"/>
        </w:rPr>
      </w:pPr>
      <w:bookmarkStart w:id="36" w:name="_Toc38007679"/>
      <w:bookmarkStart w:id="37" w:name="_Toc27224"/>
      <w:r>
        <w:rPr>
          <w:rFonts w:hint="eastAsia"/>
          <w:color w:val="auto"/>
          <w:highlight w:val="none"/>
        </w:rPr>
        <w:t>5.4</w:t>
      </w:r>
      <w:r>
        <w:rPr>
          <w:rFonts w:hint="eastAsia"/>
          <w:color w:val="auto"/>
          <w:highlight w:val="none"/>
          <w:lang w:val="en-US" w:eastAsia="zh-CN"/>
        </w:rPr>
        <w:t>龙泉庄水库</w:t>
      </w:r>
      <w:r>
        <w:rPr>
          <w:rFonts w:hint="eastAsia"/>
          <w:color w:val="auto"/>
          <w:highlight w:val="none"/>
        </w:rPr>
        <w:t>水厂建设工程</w:t>
      </w:r>
      <w:bookmarkEnd w:id="36"/>
      <w:bookmarkEnd w:id="37"/>
    </w:p>
    <w:p>
      <w:pPr>
        <w:ind w:firstLine="480"/>
        <w:rPr>
          <w:color w:val="auto"/>
          <w:highlight w:val="none"/>
        </w:rPr>
      </w:pPr>
      <w:r>
        <w:rPr>
          <w:rFonts w:hint="eastAsia"/>
          <w:color w:val="auto"/>
          <w:highlight w:val="none"/>
          <w:lang w:val="en-US" w:eastAsia="zh-CN"/>
        </w:rPr>
        <w:t>龙泉庄水库</w:t>
      </w:r>
      <w:r>
        <w:rPr>
          <w:rFonts w:hint="eastAsia"/>
          <w:color w:val="auto"/>
          <w:highlight w:val="none"/>
        </w:rPr>
        <w:t>水厂主要服务范围：榴园镇、阴平镇和古邵镇。净水厂日处理能力</w:t>
      </w:r>
      <w:r>
        <w:rPr>
          <w:rFonts w:hint="eastAsia"/>
          <w:color w:val="auto"/>
          <w:highlight w:val="none"/>
          <w:lang w:val="en-US" w:eastAsia="zh-CN"/>
        </w:rPr>
        <w:t>5</w:t>
      </w:r>
      <w:r>
        <w:rPr>
          <w:rFonts w:hint="eastAsia"/>
          <w:color w:val="auto"/>
          <w:highlight w:val="none"/>
        </w:rPr>
        <w:t>万吨。</w:t>
      </w:r>
      <w:r>
        <w:rPr>
          <w:rFonts w:hint="eastAsia"/>
          <w:color w:val="auto"/>
          <w:highlight w:val="none"/>
          <w:lang w:val="en-US" w:eastAsia="zh-CN"/>
        </w:rPr>
        <w:t>龙泉庄水库水厂位于龙泉庄水库西北角</w:t>
      </w:r>
      <w:r>
        <w:rPr>
          <w:rFonts w:hint="eastAsia"/>
          <w:color w:val="auto"/>
          <w:highlight w:val="none"/>
        </w:rPr>
        <w:t>，占地面积</w:t>
      </w:r>
      <w:r>
        <w:rPr>
          <w:rFonts w:hint="eastAsia"/>
          <w:color w:val="auto"/>
          <w:highlight w:val="none"/>
          <w:lang w:val="en-US" w:eastAsia="zh-CN"/>
        </w:rPr>
        <w:t>20</w:t>
      </w:r>
      <w:r>
        <w:rPr>
          <w:rFonts w:hint="eastAsia"/>
          <w:color w:val="auto"/>
          <w:highlight w:val="none"/>
        </w:rPr>
        <w:t>亩。</w:t>
      </w:r>
    </w:p>
    <w:p>
      <w:pPr>
        <w:pStyle w:val="4"/>
        <w:rPr>
          <w:color w:val="auto"/>
          <w:highlight w:val="none"/>
        </w:rPr>
      </w:pPr>
      <w:r>
        <w:rPr>
          <w:rFonts w:hint="eastAsia"/>
          <w:color w:val="auto"/>
          <w:highlight w:val="none"/>
        </w:rPr>
        <w:t>5.4.1处理工艺</w:t>
      </w:r>
    </w:p>
    <w:p>
      <w:pPr>
        <w:ind w:firstLine="480"/>
        <w:rPr>
          <w:color w:val="auto"/>
          <w:highlight w:val="none"/>
        </w:rPr>
      </w:pPr>
      <w:r>
        <w:rPr>
          <w:rFonts w:hint="eastAsia"/>
          <w:color w:val="auto"/>
          <w:highlight w:val="none"/>
        </w:rPr>
        <w:t>本工程水源为地表水，输水距离不长，水质存在一定的确定性。根据水源的特点，水质符合《地表水环境质量标准》（GB3838-2002）III类水体标准，给水处理的任务主要是：去除浊度和杀灭致病微生物，保证供水的安全性及水质的稳定性。</w:t>
      </w:r>
    </w:p>
    <w:p>
      <w:pPr>
        <w:ind w:firstLine="480"/>
        <w:rPr>
          <w:color w:val="auto"/>
          <w:highlight w:val="none"/>
        </w:rPr>
      </w:pPr>
      <w:r>
        <w:rPr>
          <w:rFonts w:hint="eastAsia"/>
          <w:color w:val="auto"/>
          <w:highlight w:val="none"/>
        </w:rPr>
        <w:t>根据本工程的特点，采用全自动一体化净水设备和普通构筑物净水工艺均可满足水质要求。</w:t>
      </w:r>
    </w:p>
    <w:p>
      <w:pPr>
        <w:spacing w:before="72" w:after="72"/>
        <w:ind w:firstLine="480"/>
        <w:rPr>
          <w:color w:val="auto"/>
          <w:highlight w:val="none"/>
        </w:rPr>
      </w:pPr>
      <w:r>
        <w:rPr>
          <w:rFonts w:hint="eastAsia"/>
          <w:color w:val="auto"/>
          <w:highlight w:val="none"/>
        </w:rPr>
        <w:t>一、全自动</w:t>
      </w:r>
      <w:r>
        <w:rPr>
          <w:rFonts w:hint="eastAsia" w:ascii="宋体" w:hAnsi="宋体"/>
          <w:color w:val="auto"/>
          <w:highlight w:val="none"/>
        </w:rPr>
        <w:t>一体化</w:t>
      </w:r>
      <w:r>
        <w:rPr>
          <w:rFonts w:hint="eastAsia"/>
          <w:color w:val="auto"/>
          <w:highlight w:val="none"/>
        </w:rPr>
        <w:t>净水设备</w:t>
      </w:r>
    </w:p>
    <w:p>
      <w:pPr>
        <w:ind w:firstLine="480"/>
        <w:rPr>
          <w:color w:val="auto"/>
          <w:highlight w:val="none"/>
        </w:rPr>
      </w:pPr>
      <w:r>
        <w:rPr>
          <w:rFonts w:hint="eastAsia"/>
          <w:color w:val="auto"/>
          <w:highlight w:val="none"/>
        </w:rPr>
        <w:t>水处理设备采用全自动净水设备，对水质进行净化处理，并进行反冲洗，处理合格的水流入清水池，水质处理后符合《生活饮用水卫生标准》(GB5749-2006)。</w:t>
      </w:r>
    </w:p>
    <w:p>
      <w:pPr>
        <w:ind w:firstLine="480"/>
        <w:rPr>
          <w:rFonts w:ascii="宋体" w:hAnsi="宋体"/>
          <w:color w:val="auto"/>
          <w:highlight w:val="none"/>
        </w:rPr>
      </w:pPr>
      <w:r>
        <w:rPr>
          <w:rFonts w:hint="eastAsia" w:ascii="宋体" w:hAnsi="宋体"/>
          <w:color w:val="auto"/>
          <w:highlight w:val="none"/>
        </w:rPr>
        <w:t>全自动净水设备是集絮凝、沉淀、排污、反冲、集水、过滤等工艺于一体，无需人员操作能达到单位全自动运行的系列净水装置，是实现水厂自动净化管理的重要净水单元。再配以自动加药装置及消毒设备，即可成为一个具有全套功能的净水厂，其具有以下特点:</w:t>
      </w:r>
    </w:p>
    <w:p>
      <w:pPr>
        <w:ind w:firstLine="480"/>
        <w:rPr>
          <w:color w:val="auto"/>
          <w:highlight w:val="none"/>
        </w:rPr>
      </w:pPr>
      <w:r>
        <w:rPr>
          <w:rFonts w:hint="eastAsia"/>
          <w:color w:val="auto"/>
          <w:highlight w:val="none"/>
        </w:rPr>
        <w:t>（1）除了对一级泵房及加药系统的管理外，净水装置本身从反应絮凝、沉淀、集泥、排泥、集水、配水、过滤、反冲、排污等一系列运行程序，达到了自动运行的要求。值班人员只要定时做水质监视测定工作外，无需对净水装置操作管理。</w:t>
      </w:r>
    </w:p>
    <w:p>
      <w:pPr>
        <w:ind w:firstLine="480"/>
        <w:rPr>
          <w:color w:val="auto"/>
          <w:highlight w:val="none"/>
        </w:rPr>
      </w:pPr>
      <w:r>
        <w:rPr>
          <w:rFonts w:hint="eastAsia"/>
          <w:color w:val="auto"/>
          <w:highlight w:val="none"/>
        </w:rPr>
        <w:t>（2）高浓度的絮凝层，能使原水中的杂质颗粒，在其间得到充分碰撞接触、吸附的机率，因为能适应各种原水的水温和浊度，杂质颗粒去除率高。在一定使用条件时，还具有除藻功能。</w:t>
      </w:r>
    </w:p>
    <w:p>
      <w:pPr>
        <w:ind w:firstLine="480"/>
        <w:rPr>
          <w:color w:val="auto"/>
          <w:highlight w:val="none"/>
        </w:rPr>
      </w:pPr>
      <w:r>
        <w:rPr>
          <w:rFonts w:hint="eastAsia"/>
          <w:color w:val="auto"/>
          <w:highlight w:val="none"/>
        </w:rPr>
        <w:t>（3）迅捷的泥渣浓缩室及可调试自动排泥系统，能保证多余的泥渣杂质及时排除，从而保证稳定的杂质去除率。</w:t>
      </w:r>
    </w:p>
    <w:p>
      <w:pPr>
        <w:ind w:firstLine="480"/>
        <w:rPr>
          <w:color w:val="auto"/>
          <w:highlight w:val="none"/>
        </w:rPr>
      </w:pPr>
      <w:r>
        <w:rPr>
          <w:rFonts w:hint="eastAsia"/>
          <w:color w:val="auto"/>
          <w:highlight w:val="none"/>
        </w:rPr>
        <w:t>（4）高效的絮凝及沉淀效果，使沉淀出水一直保持良好的状态。</w:t>
      </w:r>
    </w:p>
    <w:p>
      <w:pPr>
        <w:ind w:firstLine="480"/>
        <w:rPr>
          <w:color w:val="auto"/>
          <w:highlight w:val="none"/>
        </w:rPr>
      </w:pPr>
      <w:r>
        <w:rPr>
          <w:rFonts w:hint="eastAsia"/>
          <w:color w:val="auto"/>
          <w:highlight w:val="none"/>
        </w:rPr>
        <w:t>（5）新颖独特的积水系统及最低的集水水头，是集水更均匀有效，不仅提高了体积利用系数，因其集水水头极低，积累的省电效果可观。</w:t>
      </w:r>
    </w:p>
    <w:p>
      <w:pPr>
        <w:ind w:firstLine="480"/>
        <w:rPr>
          <w:color w:val="auto"/>
          <w:highlight w:val="none"/>
        </w:rPr>
      </w:pPr>
      <w:r>
        <w:rPr>
          <w:rFonts w:hint="eastAsia"/>
          <w:color w:val="auto"/>
          <w:highlight w:val="none"/>
        </w:rPr>
        <w:t>（6）自耗水率低，约在5%左右，对节省有限的水资源起积极的作用。</w:t>
      </w:r>
    </w:p>
    <w:p>
      <w:pPr>
        <w:ind w:firstLine="480"/>
        <w:rPr>
          <w:color w:val="auto"/>
          <w:highlight w:val="none"/>
        </w:rPr>
      </w:pPr>
      <w:r>
        <w:rPr>
          <w:rFonts w:hint="eastAsia"/>
          <w:color w:val="auto"/>
          <w:highlight w:val="none"/>
        </w:rPr>
        <w:t>（7）占地面积小，与一般净水构造物相比，可节省占地5%以上，高度在4.50米左右，室内外均可安置。</w:t>
      </w:r>
    </w:p>
    <w:p>
      <w:pPr>
        <w:ind w:firstLine="480"/>
        <w:rPr>
          <w:color w:val="auto"/>
          <w:highlight w:val="none"/>
        </w:rPr>
      </w:pPr>
      <w:r>
        <w:rPr>
          <w:color w:val="auto"/>
          <w:highlight w:val="none"/>
        </w:rPr>
        <w:drawing>
          <wp:anchor distT="0" distB="0" distL="114300" distR="114300" simplePos="0" relativeHeight="251661312" behindDoc="0" locked="0" layoutInCell="1" allowOverlap="1">
            <wp:simplePos x="0" y="0"/>
            <wp:positionH relativeFrom="column">
              <wp:posOffset>-42545</wp:posOffset>
            </wp:positionH>
            <wp:positionV relativeFrom="paragraph">
              <wp:posOffset>93980</wp:posOffset>
            </wp:positionV>
            <wp:extent cx="5232400" cy="10287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5" cstate="print">
                      <a:extLst>
                        <a:ext uri="{28A0092B-C50C-407E-A947-70E740481C1C}">
                          <a14:useLocalDpi xmlns:a14="http://schemas.microsoft.com/office/drawing/2010/main" val="0"/>
                        </a:ext>
                      </a:extLst>
                    </a:blip>
                    <a:srcRect t="12946" r="843" b="6386"/>
                    <a:stretch>
                      <a:fillRect/>
                    </a:stretch>
                  </pic:blipFill>
                  <pic:spPr>
                    <a:xfrm>
                      <a:off x="0" y="0"/>
                      <a:ext cx="5232400" cy="1028700"/>
                    </a:xfrm>
                    <a:prstGeom prst="rect">
                      <a:avLst/>
                    </a:prstGeom>
                    <a:ln>
                      <a:noFill/>
                    </a:ln>
                  </pic:spPr>
                </pic:pic>
              </a:graphicData>
            </a:graphic>
          </wp:anchor>
        </w:drawing>
      </w:r>
    </w:p>
    <w:p>
      <w:pPr>
        <w:ind w:firstLine="0" w:firstLineChars="0"/>
        <w:rPr>
          <w:color w:val="auto"/>
          <w:highlight w:val="none"/>
        </w:rPr>
      </w:pPr>
    </w:p>
    <w:p>
      <w:pPr>
        <w:ind w:firstLine="0" w:firstLineChars="0"/>
        <w:jc w:val="center"/>
        <w:rPr>
          <w:b/>
          <w:color w:val="auto"/>
          <w:highlight w:val="none"/>
        </w:rPr>
      </w:pPr>
    </w:p>
    <w:p>
      <w:pPr>
        <w:ind w:firstLine="0" w:firstLineChars="0"/>
        <w:jc w:val="center"/>
        <w:rPr>
          <w:b/>
          <w:color w:val="auto"/>
          <w:highlight w:val="none"/>
        </w:rPr>
      </w:pPr>
    </w:p>
    <w:p>
      <w:pPr>
        <w:ind w:firstLine="0" w:firstLineChars="0"/>
        <w:jc w:val="center"/>
        <w:rPr>
          <w:b/>
          <w:color w:val="auto"/>
          <w:highlight w:val="none"/>
        </w:rPr>
      </w:pPr>
      <w:r>
        <w:rPr>
          <w:b/>
          <w:color w:val="auto"/>
          <w:highlight w:val="none"/>
        </w:rPr>
        <w:t>图</w:t>
      </w:r>
      <w:r>
        <w:rPr>
          <w:rFonts w:hint="eastAsia"/>
          <w:b/>
          <w:color w:val="auto"/>
          <w:highlight w:val="none"/>
        </w:rPr>
        <w:t xml:space="preserve">5.4-1  </w:t>
      </w:r>
      <w:r>
        <w:rPr>
          <w:b/>
          <w:color w:val="auto"/>
          <w:highlight w:val="none"/>
        </w:rPr>
        <w:t>一体化净水设备净水工艺流程图</w:t>
      </w:r>
    </w:p>
    <w:p>
      <w:pPr>
        <w:ind w:firstLine="480"/>
        <w:rPr>
          <w:color w:val="auto"/>
          <w:highlight w:val="none"/>
        </w:rPr>
      </w:pPr>
      <w:r>
        <w:rPr>
          <w:rFonts w:hint="eastAsia"/>
          <w:color w:val="auto"/>
          <w:highlight w:val="none"/>
        </w:rPr>
        <w:t>（二）普通构筑物净水</w:t>
      </w:r>
    </w:p>
    <w:p>
      <w:pPr>
        <w:ind w:firstLine="480"/>
        <w:rPr>
          <w:color w:val="auto"/>
          <w:highlight w:val="none"/>
        </w:rPr>
      </w:pPr>
      <w:r>
        <w:rPr>
          <w:rFonts w:hint="eastAsia"/>
          <w:color w:val="auto"/>
          <w:highlight w:val="none"/>
        </w:rPr>
        <w:t>1、普通构筑物净水工艺流程图</w:t>
      </w:r>
    </w:p>
    <w:p>
      <w:pPr>
        <w:ind w:left="-1133" w:leftChars="-472" w:firstLine="0" w:firstLineChars="0"/>
        <w:rPr>
          <w:b/>
          <w:color w:val="auto"/>
          <w:highlight w:val="none"/>
        </w:rPr>
      </w:pPr>
      <w:r>
        <w:rPr>
          <w:rFonts w:hint="eastAsia"/>
          <w:b/>
          <w:color w:val="auto"/>
          <w:highlight w:val="none"/>
        </w:rPr>
        <w:drawing>
          <wp:inline distT="0" distB="0" distL="0" distR="0">
            <wp:extent cx="7010400" cy="13779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l="12474" t="26358" r="26873" b="43885"/>
                    <a:stretch>
                      <a:fillRect/>
                    </a:stretch>
                  </pic:blipFill>
                  <pic:spPr>
                    <a:xfrm>
                      <a:off x="0" y="0"/>
                      <a:ext cx="7010400" cy="1377950"/>
                    </a:xfrm>
                    <a:prstGeom prst="rect">
                      <a:avLst/>
                    </a:prstGeom>
                    <a:noFill/>
                    <a:ln>
                      <a:noFill/>
                    </a:ln>
                  </pic:spPr>
                </pic:pic>
              </a:graphicData>
            </a:graphic>
          </wp:inline>
        </w:drawing>
      </w:r>
    </w:p>
    <w:p>
      <w:pPr>
        <w:ind w:firstLine="0" w:firstLineChars="0"/>
        <w:jc w:val="center"/>
        <w:rPr>
          <w:b/>
          <w:color w:val="auto"/>
          <w:highlight w:val="none"/>
        </w:rPr>
      </w:pPr>
      <w:r>
        <w:rPr>
          <w:rFonts w:hint="eastAsia"/>
          <w:b/>
          <w:color w:val="auto"/>
          <w:highlight w:val="none"/>
        </w:rPr>
        <w:t>图5.4-2普通构筑物净水工艺流程图</w:t>
      </w:r>
    </w:p>
    <w:p>
      <w:pPr>
        <w:ind w:firstLine="480"/>
        <w:rPr>
          <w:color w:val="auto"/>
          <w:highlight w:val="none"/>
        </w:rPr>
      </w:pPr>
      <w:r>
        <w:rPr>
          <w:rFonts w:hint="eastAsia"/>
          <w:color w:val="auto"/>
          <w:highlight w:val="none"/>
        </w:rPr>
        <w:t>2、净水构筑物</w:t>
      </w:r>
    </w:p>
    <w:p>
      <w:pPr>
        <w:ind w:firstLine="480"/>
        <w:rPr>
          <w:color w:val="auto"/>
          <w:highlight w:val="none"/>
        </w:rPr>
      </w:pPr>
      <w:r>
        <w:rPr>
          <w:rFonts w:hint="eastAsia"/>
          <w:color w:val="auto"/>
          <w:highlight w:val="none"/>
        </w:rPr>
        <w:t>（1）絮凝池</w:t>
      </w:r>
    </w:p>
    <w:p>
      <w:pPr>
        <w:ind w:firstLine="480"/>
        <w:rPr>
          <w:color w:val="auto"/>
          <w:highlight w:val="none"/>
        </w:rPr>
      </w:pPr>
      <w:r>
        <w:rPr>
          <w:rFonts w:hint="eastAsia"/>
          <w:color w:val="auto"/>
          <w:highlight w:val="none"/>
        </w:rPr>
        <w:t>絮凝过程就是使具有凝聚性能的微絮粒相互接触碰撞，形成更大的絮体，以便在后续沉淀过程中分离，为了完成完善的絮凝，必须使絮粒具有在彼此接触后相互聚集的能力，同时具备使絮粒获得相应接触碰撞而又不致造成破碎的水力条件。絮凝过程在整个净水工艺中是一个十分重要的环节。</w:t>
      </w:r>
    </w:p>
    <w:p>
      <w:pPr>
        <w:ind w:firstLine="480"/>
        <w:rPr>
          <w:color w:val="auto"/>
          <w:highlight w:val="none"/>
        </w:rPr>
      </w:pPr>
      <w:r>
        <w:rPr>
          <w:rFonts w:hint="eastAsia"/>
          <w:color w:val="auto"/>
          <w:highlight w:val="none"/>
        </w:rPr>
        <w:t>净水工艺中絮凝池形式很多，大致可分为水力絮凝和机械絮凝。</w:t>
      </w:r>
    </w:p>
    <w:p>
      <w:pPr>
        <w:ind w:firstLine="480"/>
        <w:rPr>
          <w:color w:val="auto"/>
          <w:highlight w:val="none"/>
        </w:rPr>
      </w:pPr>
      <w:r>
        <w:rPr>
          <w:rFonts w:hint="eastAsia"/>
          <w:color w:val="auto"/>
          <w:highlight w:val="none"/>
        </w:rPr>
        <w:t>① 隔板絮凝池</w:t>
      </w:r>
    </w:p>
    <w:p>
      <w:pPr>
        <w:ind w:firstLine="480"/>
        <w:rPr>
          <w:color w:val="auto"/>
          <w:highlight w:val="none"/>
        </w:rPr>
      </w:pPr>
      <w:r>
        <w:rPr>
          <w:rFonts w:hint="eastAsia"/>
          <w:color w:val="auto"/>
          <w:highlight w:val="none"/>
        </w:rPr>
        <w:t>优点：构造简单、管理方便。</w:t>
      </w:r>
    </w:p>
    <w:p>
      <w:pPr>
        <w:ind w:firstLine="480"/>
        <w:rPr>
          <w:color w:val="auto"/>
          <w:highlight w:val="none"/>
        </w:rPr>
      </w:pPr>
      <w:r>
        <w:rPr>
          <w:rFonts w:hint="eastAsia"/>
          <w:color w:val="auto"/>
          <w:highlight w:val="none"/>
        </w:rPr>
        <w:t>缺点：水流条件不甚理想，能量消耗（即水头损失）中的无效部分比例较大，需较</w:t>
      </w:r>
    </w:p>
    <w:p>
      <w:pPr>
        <w:ind w:firstLine="480"/>
        <w:rPr>
          <w:color w:val="auto"/>
          <w:highlight w:val="none"/>
        </w:rPr>
      </w:pPr>
      <w:r>
        <w:rPr>
          <w:rFonts w:hint="eastAsia"/>
          <w:color w:val="auto"/>
          <w:highlight w:val="none"/>
        </w:rPr>
        <w:t>长的絮凝时间，池子容积较大。</w:t>
      </w:r>
    </w:p>
    <w:p>
      <w:pPr>
        <w:ind w:firstLine="480"/>
        <w:rPr>
          <w:color w:val="auto"/>
          <w:highlight w:val="none"/>
        </w:rPr>
      </w:pPr>
      <w:r>
        <w:rPr>
          <w:rFonts w:hint="eastAsia"/>
          <w:color w:val="auto"/>
          <w:highlight w:val="none"/>
        </w:rPr>
        <w:t>②网格（栅条）絮凝池</w:t>
      </w:r>
    </w:p>
    <w:p>
      <w:pPr>
        <w:ind w:firstLine="480"/>
        <w:rPr>
          <w:color w:val="auto"/>
          <w:highlight w:val="none"/>
        </w:rPr>
      </w:pPr>
      <w:r>
        <w:rPr>
          <w:rFonts w:hint="eastAsia"/>
          <w:color w:val="auto"/>
          <w:highlight w:val="none"/>
        </w:rPr>
        <w:t>优点：絮凝效果好；絮凝时间短；构造简单。</w:t>
      </w:r>
    </w:p>
    <w:p>
      <w:pPr>
        <w:ind w:firstLine="480"/>
        <w:rPr>
          <w:color w:val="auto"/>
          <w:highlight w:val="none"/>
        </w:rPr>
      </w:pPr>
      <w:r>
        <w:rPr>
          <w:rFonts w:hint="eastAsia"/>
          <w:color w:val="auto"/>
          <w:highlight w:val="none"/>
        </w:rPr>
        <w:t>缺点：水量变化影响效果。</w:t>
      </w:r>
    </w:p>
    <w:p>
      <w:pPr>
        <w:ind w:firstLine="480"/>
        <w:rPr>
          <w:color w:val="auto"/>
          <w:highlight w:val="none"/>
        </w:rPr>
      </w:pPr>
      <w:r>
        <w:rPr>
          <w:rFonts w:hint="eastAsia"/>
          <w:color w:val="auto"/>
          <w:highlight w:val="none"/>
        </w:rPr>
        <w:t>③折板絮凝池</w:t>
      </w:r>
    </w:p>
    <w:p>
      <w:pPr>
        <w:ind w:firstLine="480"/>
        <w:rPr>
          <w:color w:val="auto"/>
          <w:highlight w:val="none"/>
        </w:rPr>
      </w:pPr>
      <w:r>
        <w:rPr>
          <w:rFonts w:hint="eastAsia"/>
          <w:color w:val="auto"/>
          <w:highlight w:val="none"/>
        </w:rPr>
        <w:t>优点：折板絮凝池是利用在池中加设一些扰流单元以达到絮凝所要求的紊流状态，使能量损失得到充分利用，停留时间缩短，絮凝效果好。折板絮凝具有多种形式，常用的有多通道和单通道的的平折板、波纹板等。</w:t>
      </w:r>
    </w:p>
    <w:p>
      <w:pPr>
        <w:ind w:firstLine="480"/>
        <w:rPr>
          <w:color w:val="auto"/>
          <w:highlight w:val="none"/>
        </w:rPr>
      </w:pPr>
      <w:r>
        <w:rPr>
          <w:rFonts w:hint="eastAsia"/>
          <w:color w:val="auto"/>
          <w:highlight w:val="none"/>
        </w:rPr>
        <w:t>缺点：构造较复杂；水量变化影响效果。</w:t>
      </w:r>
    </w:p>
    <w:p>
      <w:pPr>
        <w:ind w:firstLine="480"/>
        <w:rPr>
          <w:color w:val="auto"/>
          <w:highlight w:val="none"/>
        </w:rPr>
      </w:pPr>
      <w:r>
        <w:rPr>
          <w:rFonts w:hint="eastAsia"/>
          <w:color w:val="auto"/>
          <w:highlight w:val="none"/>
        </w:rPr>
        <w:t>④机械絮凝池</w:t>
      </w:r>
    </w:p>
    <w:p>
      <w:pPr>
        <w:ind w:firstLine="480"/>
        <w:rPr>
          <w:color w:val="auto"/>
          <w:highlight w:val="none"/>
        </w:rPr>
      </w:pPr>
      <w:r>
        <w:rPr>
          <w:rFonts w:hint="eastAsia"/>
          <w:color w:val="auto"/>
          <w:highlight w:val="none"/>
        </w:rPr>
        <w:t>优点：絮凝效果好；水头损失小；可适应水质水量的变化。</w:t>
      </w:r>
    </w:p>
    <w:p>
      <w:pPr>
        <w:ind w:firstLine="480"/>
        <w:rPr>
          <w:color w:val="auto"/>
          <w:highlight w:val="none"/>
        </w:rPr>
      </w:pPr>
      <w:r>
        <w:rPr>
          <w:rFonts w:hint="eastAsia"/>
          <w:color w:val="auto"/>
          <w:highlight w:val="none"/>
        </w:rPr>
        <w:t>缺点：需机械设备和经常维护，投资及运行费用高。</w:t>
      </w:r>
    </w:p>
    <w:p>
      <w:pPr>
        <w:ind w:firstLine="480"/>
        <w:rPr>
          <w:color w:val="auto"/>
          <w:highlight w:val="none"/>
        </w:rPr>
      </w:pPr>
      <w:r>
        <w:rPr>
          <w:rFonts w:hint="eastAsia"/>
          <w:color w:val="auto"/>
          <w:highlight w:val="none"/>
        </w:rPr>
        <w:t>（2）沉淀池</w:t>
      </w:r>
    </w:p>
    <w:p>
      <w:pPr>
        <w:ind w:firstLine="480"/>
        <w:rPr>
          <w:color w:val="auto"/>
          <w:highlight w:val="none"/>
        </w:rPr>
      </w:pPr>
      <w:r>
        <w:rPr>
          <w:rFonts w:hint="eastAsia"/>
          <w:color w:val="auto"/>
          <w:highlight w:val="none"/>
        </w:rPr>
        <w:t>给水处理中的沉淀工艺是在重力作用下悬浮固体从水中分离的过程。目前使用较多的有平流式沉淀池、斜管沉淀池。</w:t>
      </w:r>
    </w:p>
    <w:p>
      <w:pPr>
        <w:ind w:firstLine="480"/>
        <w:rPr>
          <w:color w:val="auto"/>
          <w:highlight w:val="none"/>
        </w:rPr>
      </w:pPr>
      <w:r>
        <w:rPr>
          <w:rFonts w:hint="eastAsia"/>
          <w:color w:val="auto"/>
          <w:highlight w:val="none"/>
        </w:rPr>
        <w:t>①平流沉淀池</w:t>
      </w:r>
    </w:p>
    <w:p>
      <w:pPr>
        <w:ind w:firstLine="480"/>
        <w:rPr>
          <w:color w:val="auto"/>
          <w:highlight w:val="none"/>
        </w:rPr>
      </w:pPr>
      <w:r>
        <w:rPr>
          <w:rFonts w:hint="eastAsia"/>
          <w:color w:val="auto"/>
          <w:highlight w:val="none"/>
        </w:rPr>
        <w:t>平流沉淀池是目前我国大中型水厂最广泛使用的池型，具有构造简单、管理方便、耐冲击负荷强等优点。通过合理加药和絮凝，目前平流沉淀池的出水浊度基本可控制在1～3NTU。</w:t>
      </w:r>
    </w:p>
    <w:p>
      <w:pPr>
        <w:ind w:firstLine="480"/>
        <w:rPr>
          <w:color w:val="auto"/>
          <w:highlight w:val="none"/>
        </w:rPr>
      </w:pPr>
      <w:r>
        <w:rPr>
          <w:rFonts w:hint="eastAsia"/>
          <w:color w:val="auto"/>
          <w:highlight w:val="none"/>
        </w:rPr>
        <w:t>平流沉淀池的缺点是停留时间长，占地面积大。</w:t>
      </w:r>
    </w:p>
    <w:p>
      <w:pPr>
        <w:ind w:firstLine="480"/>
        <w:rPr>
          <w:color w:val="auto"/>
          <w:highlight w:val="none"/>
        </w:rPr>
      </w:pPr>
      <w:r>
        <w:rPr>
          <w:rFonts w:hint="eastAsia"/>
          <w:color w:val="auto"/>
          <w:highlight w:val="none"/>
        </w:rPr>
        <w:t>平流沉淀池对一些小而轻的矾花的去除效果很差。这些细小矾花只能由后续滤池去除，从而加大了滤池负担。一般平流沉淀池的浊度控制在3NTU 以下，想要进一步提高平流沉淀池对浊度和有机物去除率，必须耗费更多甚至数倍的混凝剂，制水成本会增加很多。</w:t>
      </w:r>
    </w:p>
    <w:p>
      <w:pPr>
        <w:ind w:firstLine="480"/>
        <w:rPr>
          <w:color w:val="auto"/>
          <w:highlight w:val="none"/>
        </w:rPr>
      </w:pPr>
      <w:r>
        <w:rPr>
          <w:rFonts w:hint="eastAsia"/>
          <w:color w:val="auto"/>
          <w:highlight w:val="none"/>
        </w:rPr>
        <w:t>目前，沉淀池排泥可采用虹吸、泵虹吸排泥或底部刮泥机排泥方式。虹吸、泵虹吸排泥方式排泥含固率较低，一般只有0.3～0.6％，如果水厂考虑污泥处理设施，则必需进行污泥浓缩，才能达到进入污泥脱水机的浓度要求。污泥处理系统构筑物占地较大，一次性建设成本和运行成本相对增大。</w:t>
      </w:r>
    </w:p>
    <w:p>
      <w:pPr>
        <w:ind w:firstLine="480"/>
        <w:rPr>
          <w:color w:val="auto"/>
          <w:highlight w:val="none"/>
        </w:rPr>
      </w:pPr>
      <w:r>
        <w:rPr>
          <w:rFonts w:hint="eastAsia"/>
          <w:color w:val="auto"/>
          <w:highlight w:val="none"/>
        </w:rPr>
        <w:t>底部刮泥机排泥方式排泥含固率较高，可达3％左右，满足污泥脱水进泥浓度要求，可省去污泥浓缩，直接进入污泥平衡池，待污泥脱水机脱水干化。</w:t>
      </w:r>
    </w:p>
    <w:p>
      <w:pPr>
        <w:ind w:firstLine="480"/>
        <w:rPr>
          <w:color w:val="auto"/>
          <w:highlight w:val="none"/>
        </w:rPr>
      </w:pPr>
      <w:r>
        <w:rPr>
          <w:rFonts w:hint="eastAsia"/>
          <w:color w:val="auto"/>
          <w:highlight w:val="none"/>
        </w:rPr>
        <w:t>②斜管沉淀池</w:t>
      </w:r>
    </w:p>
    <w:p>
      <w:pPr>
        <w:ind w:firstLine="480"/>
        <w:rPr>
          <w:color w:val="auto"/>
          <w:highlight w:val="none"/>
        </w:rPr>
      </w:pPr>
      <w:r>
        <w:rPr>
          <w:rFonts w:hint="eastAsia"/>
          <w:color w:val="auto"/>
          <w:highlight w:val="none"/>
        </w:rPr>
        <w:t>斜管沉淀池是基于浅池理论，在平流沉淀基础上发展起来的沉淀池型，它的主要优点是沉淀效率高，因而水池体积小，占地面积小，处理同样水量时其沉淀部分面积仅为平流沉淀池的1/3。斜管沉淀池的主要缺点是对原水水质变化的适应性较差；斜管需定期更换且造价较高，增加运行费用；排泥机械的布置较困难。由于斜管沉淀池的配水问题，限制了斜管沉淀池大型化的发展。</w:t>
      </w:r>
    </w:p>
    <w:p>
      <w:pPr>
        <w:ind w:firstLine="480"/>
        <w:rPr>
          <w:color w:val="auto"/>
          <w:highlight w:val="none"/>
        </w:rPr>
      </w:pPr>
      <w:r>
        <w:rPr>
          <w:rFonts w:hint="eastAsia"/>
          <w:color w:val="auto"/>
          <w:highlight w:val="none"/>
        </w:rPr>
        <w:t>（3）滤池</w:t>
      </w:r>
    </w:p>
    <w:p>
      <w:pPr>
        <w:ind w:firstLine="480"/>
        <w:rPr>
          <w:color w:val="auto"/>
          <w:highlight w:val="none"/>
        </w:rPr>
      </w:pPr>
      <w:r>
        <w:rPr>
          <w:rFonts w:hint="eastAsia"/>
          <w:color w:val="auto"/>
          <w:highlight w:val="none"/>
        </w:rPr>
        <w:t>目前我国滤池形式较多，如普通快滤池（双阀滤池）、虹吸滤池、移动罩滤池、V型滤池等等，各种滤池由于工作原理和布置形式不同，其性能和适用条件各有优劣。</w:t>
      </w:r>
    </w:p>
    <w:p>
      <w:pPr>
        <w:ind w:firstLine="480"/>
        <w:rPr>
          <w:color w:val="auto"/>
          <w:highlight w:val="none"/>
        </w:rPr>
      </w:pPr>
      <w:r>
        <w:rPr>
          <w:rFonts w:hint="eastAsia"/>
          <w:color w:val="auto"/>
          <w:highlight w:val="none"/>
        </w:rPr>
        <w:t>①普通快滤池</w:t>
      </w:r>
    </w:p>
    <w:p>
      <w:pPr>
        <w:ind w:firstLine="480"/>
        <w:rPr>
          <w:color w:val="auto"/>
          <w:highlight w:val="none"/>
        </w:rPr>
      </w:pPr>
      <w:r>
        <w:rPr>
          <w:rFonts w:hint="eastAsia"/>
          <w:color w:val="auto"/>
          <w:highlight w:val="none"/>
        </w:rPr>
        <w:t>普通快滤池在国内有较多应用，运行稳妥可靠，采用砂滤料，材料易得，价格便宜。冲洗为大阻力大水量反冲洗，耗水量大。滤池清水阀门大多为开关型，不作调节。普通快滤池可适用于大、中、小型水厂，但单池面积一般不宜大于100m</w:t>
      </w:r>
      <w:r>
        <w:rPr>
          <w:rFonts w:hint="eastAsia"/>
          <w:color w:val="auto"/>
          <w:highlight w:val="none"/>
          <w:vertAlign w:val="superscript"/>
        </w:rPr>
        <w:t>2</w:t>
      </w:r>
      <w:r>
        <w:rPr>
          <w:rFonts w:hint="eastAsia"/>
          <w:color w:val="auto"/>
          <w:highlight w:val="none"/>
        </w:rPr>
        <w:t xml:space="preserve"> 。双阀滤池是将普通快滤池的进水和排水阀用虹吸管取代的一种滤池布置形式。其工艺特点与普通快滤池相同。</w:t>
      </w:r>
    </w:p>
    <w:p>
      <w:pPr>
        <w:ind w:firstLine="480"/>
        <w:rPr>
          <w:color w:val="auto"/>
          <w:highlight w:val="none"/>
        </w:rPr>
      </w:pPr>
      <w:r>
        <w:rPr>
          <w:rFonts w:hint="eastAsia"/>
          <w:color w:val="auto"/>
          <w:highlight w:val="none"/>
        </w:rPr>
        <w:t>②虹吸滤池</w:t>
      </w:r>
    </w:p>
    <w:p>
      <w:pPr>
        <w:ind w:firstLine="480"/>
        <w:rPr>
          <w:color w:val="auto"/>
          <w:highlight w:val="none"/>
        </w:rPr>
      </w:pPr>
      <w:r>
        <w:rPr>
          <w:rFonts w:hint="eastAsia"/>
          <w:color w:val="auto"/>
          <w:highlight w:val="none"/>
        </w:rPr>
        <w:t>虹吸滤池虽然池深较大，增加了土建工作量，但因不用冲洗泵和省去大量操作闸阀而节约了造价，过滤方式是变水位下的等速过滤，在刚冲洗后，清洁滤料水头损失低，过滤能力强而过滤水随着滤层水头损失增加，过滤水位也较高，这样方式虽然一定程度上避免了初期大水头高滤速的缺点，但总体上虹吸滤池出水水质不如V 型滤池，虹吸滤池的自身结构注定了中小阻力冲洗、冲洗水头低，冲洗不干净容易积泥球。此外虹吸滤池因过滤周期略短冲洗耗水大。</w:t>
      </w:r>
    </w:p>
    <w:p>
      <w:pPr>
        <w:ind w:firstLine="480"/>
        <w:rPr>
          <w:color w:val="auto"/>
          <w:highlight w:val="none"/>
        </w:rPr>
      </w:pPr>
      <w:r>
        <w:rPr>
          <w:rFonts w:hint="eastAsia"/>
          <w:color w:val="auto"/>
          <w:highlight w:val="none"/>
        </w:rPr>
        <w:t>③移动罩滤池</w:t>
      </w:r>
    </w:p>
    <w:p>
      <w:pPr>
        <w:ind w:firstLine="480"/>
        <w:rPr>
          <w:color w:val="auto"/>
          <w:highlight w:val="none"/>
        </w:rPr>
      </w:pPr>
      <w:r>
        <w:rPr>
          <w:rFonts w:hint="eastAsia"/>
          <w:color w:val="auto"/>
          <w:highlight w:val="none"/>
        </w:rPr>
        <w:t>移动罩滤池滤速高，运行周期短，冲洗耗水大，冲洗不均匀也不彻底。另外移动罩滤池为等水头变速过滤，滤后水浊度为整座滤池平均浊度，无法解决反冲洗后单格清洁滤池滤速较快，滤后水浊度偏高的问题，进一步提高滤后水质困难。移动罩滤池设备少，占地小，投资少，但移动罩本身设备要求很高，容易产生故障。移动罩滤池适用于出水浊度要求不是很高的大、中型水厂，但单格面积不宜过大。</w:t>
      </w:r>
    </w:p>
    <w:p>
      <w:pPr>
        <w:ind w:firstLine="480"/>
        <w:rPr>
          <w:color w:val="auto"/>
          <w:highlight w:val="none"/>
        </w:rPr>
      </w:pPr>
      <w:r>
        <w:rPr>
          <w:rFonts w:hint="eastAsia"/>
          <w:color w:val="auto"/>
          <w:highlight w:val="none"/>
        </w:rPr>
        <w:t>④V型滤池</w:t>
      </w:r>
    </w:p>
    <w:p>
      <w:pPr>
        <w:ind w:firstLine="480"/>
        <w:rPr>
          <w:color w:val="auto"/>
          <w:highlight w:val="none"/>
        </w:rPr>
      </w:pPr>
      <w:r>
        <w:rPr>
          <w:rFonts w:hint="eastAsia"/>
          <w:color w:val="auto"/>
          <w:highlight w:val="none"/>
        </w:rPr>
        <w:t>V型滤池是法国degremont 公司的一种滤池形式，二十世纪八十年代进入国内后被广泛采用，经过消化吸收已在许多细节设计及运行方式上均有改进提高。</w:t>
      </w:r>
    </w:p>
    <w:p>
      <w:pPr>
        <w:ind w:firstLine="480"/>
        <w:rPr>
          <w:color w:val="auto"/>
          <w:highlight w:val="none"/>
        </w:rPr>
      </w:pPr>
      <w:r>
        <w:rPr>
          <w:rFonts w:hint="eastAsia"/>
          <w:color w:val="auto"/>
          <w:highlight w:val="none"/>
        </w:rPr>
        <w:t>V型滤池的主要特点：滤料粒径均匀，厚度大而粒径较粗，具有较大的截污能力，可保证出水水质和延长过滤周期；采用微膨胀的气水反冲洗和表面扫洗，冲洗干净；过滤清水采用调节阀门做到恒水位等速过滤，出水水质更有保障；运行和反冲过程的自动控制更使滤池体现出先进水平。但V 型滤池配套设备多，土建较复杂，投资较高。</w:t>
      </w:r>
    </w:p>
    <w:p>
      <w:pPr>
        <w:ind w:firstLine="480"/>
        <w:rPr>
          <w:color w:val="auto"/>
          <w:highlight w:val="none"/>
        </w:rPr>
      </w:pPr>
      <w:r>
        <w:rPr>
          <w:rFonts w:hint="eastAsia"/>
          <w:color w:val="auto"/>
          <w:highlight w:val="none"/>
        </w:rPr>
        <w:t>（三）净水工艺及净水构筑物选择</w:t>
      </w:r>
    </w:p>
    <w:p>
      <w:pPr>
        <w:ind w:firstLine="480"/>
        <w:rPr>
          <w:color w:val="auto"/>
          <w:highlight w:val="none"/>
        </w:rPr>
      </w:pPr>
      <w:r>
        <w:rPr>
          <w:rFonts w:hint="eastAsia"/>
          <w:color w:val="auto"/>
          <w:highlight w:val="none"/>
        </w:rPr>
        <w:t>1、对两种净水工艺进行比较</w:t>
      </w:r>
    </w:p>
    <w:p>
      <w:pPr>
        <w:spacing w:line="240" w:lineRule="auto"/>
        <w:ind w:firstLine="482"/>
        <w:jc w:val="left"/>
        <w:rPr>
          <w:b/>
          <w:color w:val="auto"/>
          <w:highlight w:val="none"/>
        </w:rPr>
      </w:pPr>
      <w:r>
        <w:rPr>
          <w:rFonts w:hint="eastAsia"/>
          <w:b/>
          <w:color w:val="auto"/>
          <w:highlight w:val="none"/>
        </w:rPr>
        <w:t>表5.4-1                  净水工艺比选表</w:t>
      </w:r>
    </w:p>
    <w:tbl>
      <w:tblPr>
        <w:tblStyle w:val="33"/>
        <w:tblW w:w="5000" w:type="pct"/>
        <w:jc w:val="center"/>
        <w:tblLayout w:type="autofit"/>
        <w:tblCellMar>
          <w:top w:w="0" w:type="dxa"/>
          <w:left w:w="108" w:type="dxa"/>
          <w:bottom w:w="0" w:type="dxa"/>
          <w:right w:w="108" w:type="dxa"/>
        </w:tblCellMar>
      </w:tblPr>
      <w:tblGrid>
        <w:gridCol w:w="2195"/>
        <w:gridCol w:w="3165"/>
        <w:gridCol w:w="3162"/>
      </w:tblGrid>
      <w:tr>
        <w:tblPrEx>
          <w:tblCellMar>
            <w:top w:w="0" w:type="dxa"/>
            <w:left w:w="108" w:type="dxa"/>
            <w:bottom w:w="0" w:type="dxa"/>
            <w:right w:w="108" w:type="dxa"/>
          </w:tblCellMar>
        </w:tblPrEx>
        <w:trPr>
          <w:trHeight w:val="270" w:hRule="atLeast"/>
          <w:jc w:val="center"/>
        </w:trPr>
        <w:tc>
          <w:tcPr>
            <w:tcW w:w="1288" w:type="pct"/>
            <w:tcBorders>
              <w:top w:val="single" w:color="auto" w:sz="4" w:space="0"/>
              <w:left w:val="single" w:color="auto" w:sz="4" w:space="0"/>
              <w:bottom w:val="single" w:color="auto" w:sz="4" w:space="0"/>
              <w:right w:val="single" w:color="auto" w:sz="4" w:space="0"/>
            </w:tcBorders>
            <w:shd w:val="clear" w:color="000000" w:fill="92D050"/>
            <w:noWrap/>
            <w:vAlign w:val="center"/>
          </w:tcPr>
          <w:p>
            <w:pPr>
              <w:widowControl/>
              <w:spacing w:line="240" w:lineRule="auto"/>
              <w:ind w:firstLine="440" w:firstLineChars="0"/>
              <w:jc w:val="center"/>
              <w:rPr>
                <w:rFonts w:ascii="宋体" w:hAnsi="宋体"/>
                <w:color w:val="auto"/>
                <w:kern w:val="0"/>
                <w:sz w:val="22"/>
                <w:highlight w:val="none"/>
              </w:rPr>
            </w:pPr>
            <w:r>
              <w:rPr>
                <w:rFonts w:hint="eastAsia" w:ascii="宋体" w:hAnsi="宋体"/>
                <w:color w:val="auto"/>
                <w:kern w:val="0"/>
                <w:sz w:val="22"/>
                <w:highlight w:val="none"/>
              </w:rPr>
              <w:t>项目</w:t>
            </w:r>
          </w:p>
        </w:tc>
        <w:tc>
          <w:tcPr>
            <w:tcW w:w="1857" w:type="pct"/>
            <w:tcBorders>
              <w:top w:val="single" w:color="auto" w:sz="4" w:space="0"/>
              <w:left w:val="nil"/>
              <w:bottom w:val="single" w:color="auto" w:sz="4" w:space="0"/>
              <w:right w:val="single" w:color="auto" w:sz="4" w:space="0"/>
            </w:tcBorders>
            <w:shd w:val="clear" w:color="000000" w:fill="92D050"/>
            <w:vAlign w:val="center"/>
          </w:tcPr>
          <w:p>
            <w:pPr>
              <w:widowControl/>
              <w:spacing w:line="240" w:lineRule="auto"/>
              <w:ind w:firstLine="0" w:firstLineChars="0"/>
              <w:jc w:val="center"/>
              <w:rPr>
                <w:rFonts w:ascii="宋体" w:hAnsi="宋体"/>
                <w:color w:val="auto"/>
                <w:kern w:val="0"/>
                <w:sz w:val="22"/>
                <w:highlight w:val="none"/>
              </w:rPr>
            </w:pPr>
            <w:r>
              <w:rPr>
                <w:rFonts w:hint="eastAsia" w:ascii="宋体" w:hAnsi="宋体"/>
                <w:color w:val="auto"/>
                <w:kern w:val="0"/>
                <w:sz w:val="22"/>
                <w:highlight w:val="none"/>
              </w:rPr>
              <w:t>一体化净水设备</w:t>
            </w:r>
          </w:p>
        </w:tc>
        <w:tc>
          <w:tcPr>
            <w:tcW w:w="1855" w:type="pct"/>
            <w:tcBorders>
              <w:top w:val="single" w:color="auto" w:sz="4" w:space="0"/>
              <w:left w:val="single" w:color="auto" w:sz="4" w:space="0"/>
              <w:bottom w:val="single" w:color="auto" w:sz="4" w:space="0"/>
              <w:right w:val="single" w:color="auto" w:sz="4" w:space="0"/>
            </w:tcBorders>
            <w:shd w:val="clear" w:color="000000" w:fill="92D050"/>
            <w:noWrap/>
            <w:vAlign w:val="center"/>
          </w:tcPr>
          <w:p>
            <w:pPr>
              <w:widowControl/>
              <w:spacing w:line="240" w:lineRule="auto"/>
              <w:ind w:firstLine="0" w:firstLineChars="0"/>
              <w:jc w:val="center"/>
              <w:rPr>
                <w:rFonts w:ascii="宋体" w:hAnsi="宋体"/>
                <w:color w:val="auto"/>
                <w:kern w:val="0"/>
                <w:sz w:val="22"/>
                <w:highlight w:val="none"/>
              </w:rPr>
            </w:pPr>
            <w:r>
              <w:rPr>
                <w:rFonts w:hint="eastAsia" w:ascii="宋体" w:hAnsi="宋体"/>
                <w:color w:val="auto"/>
                <w:kern w:val="0"/>
                <w:sz w:val="22"/>
                <w:highlight w:val="none"/>
              </w:rPr>
              <w:t>常规水处理</w:t>
            </w:r>
          </w:p>
        </w:tc>
      </w:tr>
      <w:tr>
        <w:tblPrEx>
          <w:tblCellMar>
            <w:top w:w="0" w:type="dxa"/>
            <w:left w:w="108" w:type="dxa"/>
            <w:bottom w:w="0" w:type="dxa"/>
            <w:right w:w="108" w:type="dxa"/>
          </w:tblCellMar>
        </w:tblPrEx>
        <w:trPr>
          <w:trHeight w:val="270" w:hRule="atLeast"/>
          <w:jc w:val="center"/>
        </w:trPr>
        <w:tc>
          <w:tcPr>
            <w:tcW w:w="1288" w:type="pct"/>
            <w:tcBorders>
              <w:top w:val="nil"/>
              <w:left w:val="single" w:color="auto" w:sz="4" w:space="0"/>
              <w:bottom w:val="single" w:color="auto" w:sz="4" w:space="0"/>
              <w:right w:val="single" w:color="auto" w:sz="4" w:space="0"/>
            </w:tcBorders>
            <w:shd w:val="clear" w:color="000000" w:fill="92D050"/>
            <w:noWrap/>
            <w:vAlign w:val="center"/>
          </w:tcPr>
          <w:p>
            <w:pPr>
              <w:widowControl/>
              <w:spacing w:line="240" w:lineRule="auto"/>
              <w:ind w:firstLine="0" w:firstLineChars="0"/>
              <w:jc w:val="center"/>
              <w:rPr>
                <w:rFonts w:ascii="宋体" w:hAnsi="宋体"/>
                <w:color w:val="auto"/>
                <w:kern w:val="0"/>
                <w:sz w:val="22"/>
                <w:highlight w:val="none"/>
              </w:rPr>
            </w:pPr>
            <w:r>
              <w:rPr>
                <w:rFonts w:hint="eastAsia" w:ascii="宋体" w:hAnsi="宋体"/>
                <w:color w:val="auto"/>
                <w:kern w:val="0"/>
                <w:sz w:val="22"/>
                <w:highlight w:val="none"/>
              </w:rPr>
              <w:t>处理流程</w:t>
            </w:r>
          </w:p>
        </w:tc>
        <w:tc>
          <w:tcPr>
            <w:tcW w:w="1857"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olor w:val="auto"/>
                <w:kern w:val="0"/>
                <w:sz w:val="22"/>
                <w:highlight w:val="none"/>
              </w:rPr>
            </w:pPr>
            <w:r>
              <w:rPr>
                <w:rFonts w:hint="eastAsia" w:ascii="宋体" w:hAnsi="宋体"/>
                <w:color w:val="auto"/>
                <w:kern w:val="0"/>
                <w:sz w:val="22"/>
                <w:highlight w:val="none"/>
              </w:rPr>
              <w:t>一体化净水设备-消毒</w:t>
            </w:r>
          </w:p>
        </w:tc>
        <w:tc>
          <w:tcPr>
            <w:tcW w:w="1855"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olor w:val="auto"/>
                <w:kern w:val="0"/>
                <w:sz w:val="22"/>
                <w:highlight w:val="none"/>
              </w:rPr>
            </w:pPr>
            <w:r>
              <w:rPr>
                <w:rFonts w:hint="eastAsia" w:ascii="宋体" w:hAnsi="宋体"/>
                <w:color w:val="auto"/>
                <w:kern w:val="0"/>
                <w:sz w:val="22"/>
                <w:highlight w:val="none"/>
              </w:rPr>
              <w:t>絮凝-沉淀-过滤-消毒</w:t>
            </w:r>
          </w:p>
        </w:tc>
      </w:tr>
      <w:tr>
        <w:tblPrEx>
          <w:tblCellMar>
            <w:top w:w="0" w:type="dxa"/>
            <w:left w:w="108" w:type="dxa"/>
            <w:bottom w:w="0" w:type="dxa"/>
            <w:right w:w="108" w:type="dxa"/>
          </w:tblCellMar>
        </w:tblPrEx>
        <w:trPr>
          <w:trHeight w:val="270" w:hRule="atLeast"/>
          <w:jc w:val="center"/>
        </w:trPr>
        <w:tc>
          <w:tcPr>
            <w:tcW w:w="1288" w:type="pct"/>
            <w:tcBorders>
              <w:top w:val="nil"/>
              <w:left w:val="single" w:color="auto" w:sz="4" w:space="0"/>
              <w:bottom w:val="single" w:color="auto" w:sz="4" w:space="0"/>
              <w:right w:val="single" w:color="auto" w:sz="4" w:space="0"/>
            </w:tcBorders>
            <w:shd w:val="clear" w:color="000000" w:fill="92D050"/>
            <w:noWrap/>
            <w:vAlign w:val="center"/>
          </w:tcPr>
          <w:p>
            <w:pPr>
              <w:widowControl/>
              <w:spacing w:line="240" w:lineRule="auto"/>
              <w:ind w:firstLine="0" w:firstLineChars="0"/>
              <w:jc w:val="center"/>
              <w:rPr>
                <w:rFonts w:ascii="宋体" w:hAnsi="宋体"/>
                <w:color w:val="auto"/>
                <w:kern w:val="0"/>
                <w:sz w:val="22"/>
                <w:highlight w:val="none"/>
              </w:rPr>
            </w:pPr>
            <w:r>
              <w:rPr>
                <w:rFonts w:hint="eastAsia" w:ascii="宋体" w:hAnsi="宋体"/>
                <w:color w:val="auto"/>
                <w:kern w:val="0"/>
                <w:sz w:val="22"/>
                <w:highlight w:val="none"/>
              </w:rPr>
              <w:t>占地</w:t>
            </w:r>
          </w:p>
        </w:tc>
        <w:tc>
          <w:tcPr>
            <w:tcW w:w="1857"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olor w:val="auto"/>
                <w:kern w:val="0"/>
                <w:sz w:val="22"/>
                <w:highlight w:val="none"/>
              </w:rPr>
            </w:pPr>
            <w:r>
              <w:rPr>
                <w:rFonts w:hint="eastAsia" w:ascii="宋体" w:hAnsi="宋体"/>
                <w:color w:val="auto"/>
                <w:kern w:val="0"/>
                <w:sz w:val="22"/>
                <w:highlight w:val="none"/>
              </w:rPr>
              <w:t>较小</w:t>
            </w:r>
          </w:p>
        </w:tc>
        <w:tc>
          <w:tcPr>
            <w:tcW w:w="1855"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olor w:val="auto"/>
                <w:kern w:val="0"/>
                <w:sz w:val="22"/>
                <w:highlight w:val="none"/>
              </w:rPr>
            </w:pPr>
            <w:r>
              <w:rPr>
                <w:rFonts w:hint="eastAsia" w:ascii="宋体" w:hAnsi="宋体"/>
                <w:color w:val="auto"/>
                <w:kern w:val="0"/>
                <w:sz w:val="22"/>
                <w:highlight w:val="none"/>
              </w:rPr>
              <w:t>较大</w:t>
            </w:r>
          </w:p>
        </w:tc>
      </w:tr>
      <w:tr>
        <w:tblPrEx>
          <w:tblCellMar>
            <w:top w:w="0" w:type="dxa"/>
            <w:left w:w="108" w:type="dxa"/>
            <w:bottom w:w="0" w:type="dxa"/>
            <w:right w:w="108" w:type="dxa"/>
          </w:tblCellMar>
        </w:tblPrEx>
        <w:trPr>
          <w:trHeight w:val="270" w:hRule="atLeast"/>
          <w:jc w:val="center"/>
        </w:trPr>
        <w:tc>
          <w:tcPr>
            <w:tcW w:w="1288" w:type="pct"/>
            <w:tcBorders>
              <w:top w:val="nil"/>
              <w:left w:val="single" w:color="auto" w:sz="4" w:space="0"/>
              <w:bottom w:val="single" w:color="auto" w:sz="4" w:space="0"/>
              <w:right w:val="single" w:color="auto" w:sz="4" w:space="0"/>
            </w:tcBorders>
            <w:shd w:val="clear" w:color="000000" w:fill="92D050"/>
            <w:noWrap/>
            <w:vAlign w:val="center"/>
          </w:tcPr>
          <w:p>
            <w:pPr>
              <w:widowControl/>
              <w:spacing w:line="240" w:lineRule="auto"/>
              <w:ind w:firstLine="0" w:firstLineChars="0"/>
              <w:jc w:val="center"/>
              <w:rPr>
                <w:rFonts w:ascii="宋体" w:hAnsi="宋体"/>
                <w:color w:val="auto"/>
                <w:kern w:val="0"/>
                <w:sz w:val="22"/>
                <w:highlight w:val="none"/>
              </w:rPr>
            </w:pPr>
            <w:r>
              <w:rPr>
                <w:rFonts w:hint="eastAsia" w:ascii="宋体" w:hAnsi="宋体"/>
                <w:color w:val="auto"/>
                <w:kern w:val="0"/>
                <w:sz w:val="22"/>
                <w:highlight w:val="none"/>
              </w:rPr>
              <w:t>投资</w:t>
            </w:r>
          </w:p>
        </w:tc>
        <w:tc>
          <w:tcPr>
            <w:tcW w:w="1857"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olor w:val="auto"/>
                <w:kern w:val="0"/>
                <w:sz w:val="22"/>
                <w:highlight w:val="none"/>
              </w:rPr>
            </w:pPr>
            <w:r>
              <w:rPr>
                <w:rFonts w:hint="eastAsia" w:ascii="宋体" w:hAnsi="宋体"/>
                <w:color w:val="auto"/>
                <w:kern w:val="0"/>
                <w:sz w:val="22"/>
                <w:highlight w:val="none"/>
              </w:rPr>
              <w:t>较大</w:t>
            </w:r>
          </w:p>
        </w:tc>
        <w:tc>
          <w:tcPr>
            <w:tcW w:w="1855"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olor w:val="auto"/>
                <w:kern w:val="0"/>
                <w:sz w:val="22"/>
                <w:highlight w:val="none"/>
              </w:rPr>
            </w:pPr>
            <w:r>
              <w:rPr>
                <w:rFonts w:hint="eastAsia" w:ascii="宋体" w:hAnsi="宋体"/>
                <w:color w:val="auto"/>
                <w:kern w:val="0"/>
                <w:sz w:val="22"/>
                <w:highlight w:val="none"/>
              </w:rPr>
              <w:t>小</w:t>
            </w:r>
          </w:p>
        </w:tc>
      </w:tr>
      <w:tr>
        <w:tblPrEx>
          <w:tblCellMar>
            <w:top w:w="0" w:type="dxa"/>
            <w:left w:w="108" w:type="dxa"/>
            <w:bottom w:w="0" w:type="dxa"/>
            <w:right w:w="108" w:type="dxa"/>
          </w:tblCellMar>
        </w:tblPrEx>
        <w:trPr>
          <w:trHeight w:val="270" w:hRule="atLeast"/>
          <w:jc w:val="center"/>
        </w:trPr>
        <w:tc>
          <w:tcPr>
            <w:tcW w:w="1288" w:type="pct"/>
            <w:tcBorders>
              <w:top w:val="nil"/>
              <w:left w:val="single" w:color="auto" w:sz="4" w:space="0"/>
              <w:bottom w:val="single" w:color="auto" w:sz="4" w:space="0"/>
              <w:right w:val="single" w:color="auto" w:sz="4" w:space="0"/>
            </w:tcBorders>
            <w:shd w:val="clear" w:color="000000" w:fill="92D050"/>
            <w:noWrap/>
            <w:vAlign w:val="center"/>
          </w:tcPr>
          <w:p>
            <w:pPr>
              <w:widowControl/>
              <w:spacing w:line="240" w:lineRule="auto"/>
              <w:ind w:firstLine="0" w:firstLineChars="0"/>
              <w:jc w:val="center"/>
              <w:rPr>
                <w:rFonts w:ascii="宋体" w:hAnsi="宋体"/>
                <w:color w:val="auto"/>
                <w:kern w:val="0"/>
                <w:sz w:val="22"/>
                <w:highlight w:val="none"/>
              </w:rPr>
            </w:pPr>
            <w:r>
              <w:rPr>
                <w:rFonts w:hint="eastAsia" w:ascii="宋体" w:hAnsi="宋体"/>
                <w:color w:val="auto"/>
                <w:kern w:val="0"/>
                <w:sz w:val="22"/>
                <w:highlight w:val="none"/>
              </w:rPr>
              <w:t>自动化程度</w:t>
            </w:r>
          </w:p>
        </w:tc>
        <w:tc>
          <w:tcPr>
            <w:tcW w:w="1857"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olor w:val="auto"/>
                <w:kern w:val="0"/>
                <w:sz w:val="22"/>
                <w:highlight w:val="none"/>
              </w:rPr>
            </w:pPr>
            <w:r>
              <w:rPr>
                <w:rFonts w:hint="eastAsia" w:ascii="宋体" w:hAnsi="宋体"/>
                <w:color w:val="auto"/>
                <w:kern w:val="0"/>
                <w:sz w:val="22"/>
                <w:highlight w:val="none"/>
              </w:rPr>
              <w:t>较高</w:t>
            </w:r>
          </w:p>
        </w:tc>
        <w:tc>
          <w:tcPr>
            <w:tcW w:w="1855"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olor w:val="auto"/>
                <w:kern w:val="0"/>
                <w:sz w:val="22"/>
                <w:highlight w:val="none"/>
              </w:rPr>
            </w:pPr>
            <w:r>
              <w:rPr>
                <w:rFonts w:hint="eastAsia" w:ascii="宋体" w:hAnsi="宋体"/>
                <w:color w:val="auto"/>
                <w:kern w:val="0"/>
                <w:sz w:val="22"/>
                <w:highlight w:val="none"/>
              </w:rPr>
              <w:t>较低</w:t>
            </w:r>
          </w:p>
        </w:tc>
      </w:tr>
      <w:tr>
        <w:tblPrEx>
          <w:tblCellMar>
            <w:top w:w="0" w:type="dxa"/>
            <w:left w:w="108" w:type="dxa"/>
            <w:bottom w:w="0" w:type="dxa"/>
            <w:right w:w="108" w:type="dxa"/>
          </w:tblCellMar>
        </w:tblPrEx>
        <w:trPr>
          <w:trHeight w:val="270" w:hRule="atLeast"/>
          <w:jc w:val="center"/>
        </w:trPr>
        <w:tc>
          <w:tcPr>
            <w:tcW w:w="1288" w:type="pct"/>
            <w:tcBorders>
              <w:top w:val="nil"/>
              <w:left w:val="single" w:color="auto" w:sz="4" w:space="0"/>
              <w:bottom w:val="single" w:color="auto" w:sz="4" w:space="0"/>
              <w:right w:val="single" w:color="auto" w:sz="4" w:space="0"/>
            </w:tcBorders>
            <w:shd w:val="clear" w:color="000000" w:fill="92D050"/>
            <w:noWrap/>
            <w:vAlign w:val="center"/>
          </w:tcPr>
          <w:p>
            <w:pPr>
              <w:widowControl/>
              <w:spacing w:line="240" w:lineRule="auto"/>
              <w:ind w:firstLine="0" w:firstLineChars="0"/>
              <w:jc w:val="center"/>
              <w:rPr>
                <w:rFonts w:ascii="宋体" w:hAnsi="宋体"/>
                <w:color w:val="auto"/>
                <w:kern w:val="0"/>
                <w:sz w:val="22"/>
                <w:highlight w:val="none"/>
              </w:rPr>
            </w:pPr>
            <w:r>
              <w:rPr>
                <w:rFonts w:hint="eastAsia" w:ascii="宋体" w:hAnsi="宋体"/>
                <w:color w:val="auto"/>
                <w:kern w:val="0"/>
                <w:sz w:val="22"/>
                <w:highlight w:val="none"/>
              </w:rPr>
              <w:t>药剂消耗</w:t>
            </w:r>
          </w:p>
        </w:tc>
        <w:tc>
          <w:tcPr>
            <w:tcW w:w="1857"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olor w:val="auto"/>
                <w:kern w:val="0"/>
                <w:sz w:val="22"/>
                <w:highlight w:val="none"/>
              </w:rPr>
            </w:pPr>
            <w:r>
              <w:rPr>
                <w:rFonts w:hint="eastAsia" w:ascii="宋体" w:hAnsi="宋体"/>
                <w:color w:val="auto"/>
                <w:kern w:val="0"/>
                <w:sz w:val="22"/>
                <w:highlight w:val="none"/>
              </w:rPr>
              <w:t>少</w:t>
            </w:r>
          </w:p>
        </w:tc>
        <w:tc>
          <w:tcPr>
            <w:tcW w:w="1855"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olor w:val="auto"/>
                <w:kern w:val="0"/>
                <w:sz w:val="22"/>
                <w:highlight w:val="none"/>
              </w:rPr>
            </w:pPr>
            <w:r>
              <w:rPr>
                <w:rFonts w:hint="eastAsia" w:ascii="宋体" w:hAnsi="宋体"/>
                <w:color w:val="auto"/>
                <w:kern w:val="0"/>
                <w:sz w:val="22"/>
                <w:highlight w:val="none"/>
              </w:rPr>
              <w:t>多</w:t>
            </w:r>
          </w:p>
        </w:tc>
      </w:tr>
      <w:tr>
        <w:tblPrEx>
          <w:tblCellMar>
            <w:top w:w="0" w:type="dxa"/>
            <w:left w:w="108" w:type="dxa"/>
            <w:bottom w:w="0" w:type="dxa"/>
            <w:right w:w="108" w:type="dxa"/>
          </w:tblCellMar>
        </w:tblPrEx>
        <w:trPr>
          <w:trHeight w:val="270" w:hRule="atLeast"/>
          <w:jc w:val="center"/>
        </w:trPr>
        <w:tc>
          <w:tcPr>
            <w:tcW w:w="1288" w:type="pct"/>
            <w:tcBorders>
              <w:top w:val="nil"/>
              <w:left w:val="single" w:color="auto" w:sz="4" w:space="0"/>
              <w:bottom w:val="single" w:color="auto" w:sz="4" w:space="0"/>
              <w:right w:val="single" w:color="auto" w:sz="4" w:space="0"/>
            </w:tcBorders>
            <w:shd w:val="clear" w:color="000000" w:fill="92D050"/>
            <w:noWrap/>
            <w:vAlign w:val="center"/>
          </w:tcPr>
          <w:p>
            <w:pPr>
              <w:widowControl/>
              <w:spacing w:line="240" w:lineRule="auto"/>
              <w:ind w:firstLine="0" w:firstLineChars="0"/>
              <w:jc w:val="center"/>
              <w:rPr>
                <w:rFonts w:ascii="宋体" w:hAnsi="宋体"/>
                <w:color w:val="auto"/>
                <w:kern w:val="0"/>
                <w:sz w:val="22"/>
                <w:highlight w:val="none"/>
              </w:rPr>
            </w:pPr>
            <w:r>
              <w:rPr>
                <w:rFonts w:hint="eastAsia" w:ascii="宋体" w:hAnsi="宋体"/>
                <w:color w:val="auto"/>
                <w:kern w:val="0"/>
                <w:sz w:val="22"/>
                <w:highlight w:val="none"/>
              </w:rPr>
              <w:t>维修费用</w:t>
            </w:r>
          </w:p>
        </w:tc>
        <w:tc>
          <w:tcPr>
            <w:tcW w:w="1857"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olor w:val="auto"/>
                <w:kern w:val="0"/>
                <w:sz w:val="22"/>
                <w:highlight w:val="none"/>
              </w:rPr>
            </w:pPr>
            <w:r>
              <w:rPr>
                <w:rFonts w:hint="eastAsia" w:ascii="宋体" w:hAnsi="宋体"/>
                <w:color w:val="auto"/>
                <w:kern w:val="0"/>
                <w:sz w:val="22"/>
                <w:highlight w:val="none"/>
              </w:rPr>
              <w:t>较高</w:t>
            </w:r>
          </w:p>
        </w:tc>
        <w:tc>
          <w:tcPr>
            <w:tcW w:w="1855"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olor w:val="auto"/>
                <w:kern w:val="0"/>
                <w:sz w:val="22"/>
                <w:highlight w:val="none"/>
              </w:rPr>
            </w:pPr>
            <w:r>
              <w:rPr>
                <w:rFonts w:hint="eastAsia" w:ascii="宋体" w:hAnsi="宋体"/>
                <w:color w:val="auto"/>
                <w:kern w:val="0"/>
                <w:sz w:val="22"/>
                <w:highlight w:val="none"/>
              </w:rPr>
              <w:t>低</w:t>
            </w:r>
          </w:p>
        </w:tc>
      </w:tr>
      <w:tr>
        <w:tblPrEx>
          <w:tblCellMar>
            <w:top w:w="0" w:type="dxa"/>
            <w:left w:w="108" w:type="dxa"/>
            <w:bottom w:w="0" w:type="dxa"/>
            <w:right w:w="108" w:type="dxa"/>
          </w:tblCellMar>
        </w:tblPrEx>
        <w:trPr>
          <w:trHeight w:val="270" w:hRule="atLeast"/>
          <w:jc w:val="center"/>
        </w:trPr>
        <w:tc>
          <w:tcPr>
            <w:tcW w:w="1288" w:type="pct"/>
            <w:tcBorders>
              <w:top w:val="nil"/>
              <w:left w:val="single" w:color="auto" w:sz="4" w:space="0"/>
              <w:bottom w:val="single" w:color="auto" w:sz="4" w:space="0"/>
              <w:right w:val="single" w:color="auto" w:sz="4" w:space="0"/>
            </w:tcBorders>
            <w:shd w:val="clear" w:color="000000" w:fill="92D050"/>
            <w:noWrap/>
            <w:vAlign w:val="center"/>
          </w:tcPr>
          <w:p>
            <w:pPr>
              <w:widowControl/>
              <w:spacing w:line="240" w:lineRule="auto"/>
              <w:ind w:firstLine="0" w:firstLineChars="0"/>
              <w:jc w:val="center"/>
              <w:rPr>
                <w:rFonts w:ascii="宋体" w:hAnsi="宋体"/>
                <w:color w:val="auto"/>
                <w:kern w:val="0"/>
                <w:sz w:val="22"/>
                <w:highlight w:val="none"/>
              </w:rPr>
            </w:pPr>
            <w:r>
              <w:rPr>
                <w:rFonts w:hint="eastAsia" w:ascii="宋体" w:hAnsi="宋体"/>
                <w:color w:val="auto"/>
                <w:kern w:val="0"/>
                <w:sz w:val="22"/>
                <w:highlight w:val="none"/>
              </w:rPr>
              <w:t>综合治水成本</w:t>
            </w:r>
          </w:p>
        </w:tc>
        <w:tc>
          <w:tcPr>
            <w:tcW w:w="1857"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olor w:val="auto"/>
                <w:kern w:val="0"/>
                <w:sz w:val="22"/>
                <w:highlight w:val="none"/>
              </w:rPr>
            </w:pPr>
            <w:r>
              <w:rPr>
                <w:rFonts w:hint="eastAsia" w:ascii="宋体" w:hAnsi="宋体"/>
                <w:color w:val="auto"/>
                <w:kern w:val="0"/>
                <w:sz w:val="22"/>
                <w:highlight w:val="none"/>
              </w:rPr>
              <w:t>较高</w:t>
            </w:r>
          </w:p>
        </w:tc>
        <w:tc>
          <w:tcPr>
            <w:tcW w:w="1855"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olor w:val="auto"/>
                <w:kern w:val="0"/>
                <w:sz w:val="22"/>
                <w:highlight w:val="none"/>
              </w:rPr>
            </w:pPr>
            <w:r>
              <w:rPr>
                <w:rFonts w:hint="eastAsia" w:ascii="宋体" w:hAnsi="宋体"/>
                <w:color w:val="auto"/>
                <w:kern w:val="0"/>
                <w:sz w:val="22"/>
                <w:highlight w:val="none"/>
              </w:rPr>
              <w:t>较低</w:t>
            </w:r>
          </w:p>
        </w:tc>
      </w:tr>
      <w:tr>
        <w:tblPrEx>
          <w:tblCellMar>
            <w:top w:w="0" w:type="dxa"/>
            <w:left w:w="108" w:type="dxa"/>
            <w:bottom w:w="0" w:type="dxa"/>
            <w:right w:w="108" w:type="dxa"/>
          </w:tblCellMar>
        </w:tblPrEx>
        <w:trPr>
          <w:trHeight w:val="270" w:hRule="atLeast"/>
          <w:jc w:val="center"/>
        </w:trPr>
        <w:tc>
          <w:tcPr>
            <w:tcW w:w="1288" w:type="pct"/>
            <w:tcBorders>
              <w:top w:val="nil"/>
              <w:left w:val="single" w:color="auto" w:sz="4" w:space="0"/>
              <w:bottom w:val="single" w:color="auto" w:sz="4" w:space="0"/>
              <w:right w:val="single" w:color="auto" w:sz="4" w:space="0"/>
            </w:tcBorders>
            <w:shd w:val="clear" w:color="000000" w:fill="92D050"/>
            <w:noWrap/>
            <w:vAlign w:val="center"/>
          </w:tcPr>
          <w:p>
            <w:pPr>
              <w:widowControl/>
              <w:spacing w:line="240" w:lineRule="auto"/>
              <w:ind w:firstLine="0" w:firstLineChars="0"/>
              <w:jc w:val="center"/>
              <w:rPr>
                <w:rFonts w:ascii="宋体" w:hAnsi="宋体"/>
                <w:color w:val="auto"/>
                <w:kern w:val="0"/>
                <w:sz w:val="22"/>
                <w:highlight w:val="none"/>
              </w:rPr>
            </w:pPr>
            <w:r>
              <w:rPr>
                <w:rFonts w:hint="eastAsia" w:ascii="宋体" w:hAnsi="宋体"/>
                <w:color w:val="auto"/>
                <w:kern w:val="0"/>
                <w:sz w:val="22"/>
                <w:highlight w:val="none"/>
              </w:rPr>
              <w:t>产水率</w:t>
            </w:r>
          </w:p>
        </w:tc>
        <w:tc>
          <w:tcPr>
            <w:tcW w:w="1857"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ascii="宋体" w:hAnsi="宋体"/>
                <w:color w:val="auto"/>
                <w:kern w:val="0"/>
                <w:sz w:val="22"/>
                <w:highlight w:val="none"/>
              </w:rPr>
            </w:pPr>
            <w:r>
              <w:rPr>
                <w:rFonts w:hint="eastAsia" w:ascii="宋体" w:hAnsi="宋体"/>
                <w:color w:val="auto"/>
                <w:kern w:val="0"/>
                <w:sz w:val="22"/>
                <w:highlight w:val="none"/>
              </w:rPr>
              <w:t>较低</w:t>
            </w:r>
          </w:p>
        </w:tc>
        <w:tc>
          <w:tcPr>
            <w:tcW w:w="1855"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olor w:val="auto"/>
                <w:kern w:val="0"/>
                <w:sz w:val="22"/>
                <w:highlight w:val="none"/>
              </w:rPr>
            </w:pPr>
            <w:r>
              <w:rPr>
                <w:rFonts w:hint="eastAsia" w:ascii="宋体" w:hAnsi="宋体"/>
                <w:color w:val="auto"/>
                <w:kern w:val="0"/>
                <w:sz w:val="22"/>
                <w:highlight w:val="none"/>
              </w:rPr>
              <w:t>较高</w:t>
            </w:r>
          </w:p>
        </w:tc>
      </w:tr>
    </w:tbl>
    <w:p>
      <w:pPr>
        <w:ind w:firstLine="480"/>
        <w:rPr>
          <w:color w:val="auto"/>
          <w:highlight w:val="none"/>
        </w:rPr>
      </w:pPr>
      <w:r>
        <w:rPr>
          <w:rFonts w:hint="eastAsia"/>
          <w:color w:val="auto"/>
          <w:highlight w:val="none"/>
        </w:rPr>
        <w:t>2、净水工艺选择</w:t>
      </w:r>
    </w:p>
    <w:p>
      <w:pPr>
        <w:ind w:firstLine="480"/>
        <w:rPr>
          <w:color w:val="auto"/>
          <w:highlight w:val="none"/>
        </w:rPr>
      </w:pPr>
      <w:r>
        <w:rPr>
          <w:rFonts w:hint="eastAsia"/>
          <w:color w:val="auto"/>
          <w:highlight w:val="none"/>
        </w:rPr>
        <w:t>根据典型工程水厂规模及净水工艺优缺点，本典型工程采用</w:t>
      </w:r>
      <w:r>
        <w:rPr>
          <w:rFonts w:hint="eastAsia"/>
          <w:color w:val="auto"/>
          <w:highlight w:val="none"/>
          <w:lang w:val="en-US" w:eastAsia="zh-CN"/>
        </w:rPr>
        <w:t>一体化净水设备</w:t>
      </w:r>
      <w:r>
        <w:rPr>
          <w:rFonts w:hint="eastAsia"/>
          <w:color w:val="auto"/>
          <w:highlight w:val="none"/>
        </w:rPr>
        <w:t>。</w:t>
      </w:r>
    </w:p>
    <w:p>
      <w:pPr>
        <w:ind w:firstLine="480"/>
        <w:rPr>
          <w:color w:val="auto"/>
          <w:highlight w:val="none"/>
        </w:rPr>
      </w:pPr>
      <w:r>
        <w:rPr>
          <w:rFonts w:hint="eastAsia"/>
          <w:color w:val="auto"/>
          <w:highlight w:val="none"/>
        </w:rPr>
        <w:t>根据工程的特点，本典型工程絮凝池采用折板絮凝池，沉淀池采用平流沉淀池，滤池采用普通快滤池。</w:t>
      </w:r>
    </w:p>
    <w:p>
      <w:pPr>
        <w:pStyle w:val="4"/>
        <w:rPr>
          <w:color w:val="auto"/>
          <w:highlight w:val="none"/>
        </w:rPr>
      </w:pPr>
      <w:r>
        <w:rPr>
          <w:rFonts w:hint="eastAsia"/>
          <w:color w:val="auto"/>
          <w:highlight w:val="none"/>
        </w:rPr>
        <w:t>5.4.2布置原则</w:t>
      </w:r>
    </w:p>
    <w:p>
      <w:pPr>
        <w:ind w:firstLine="480"/>
        <w:rPr>
          <w:color w:val="auto"/>
          <w:highlight w:val="none"/>
        </w:rPr>
      </w:pPr>
      <w:r>
        <w:rPr>
          <w:rFonts w:hint="eastAsia"/>
          <w:color w:val="auto"/>
          <w:highlight w:val="none"/>
        </w:rPr>
        <w:t>（</w:t>
      </w:r>
      <w:r>
        <w:rPr>
          <w:color w:val="auto"/>
          <w:highlight w:val="none"/>
        </w:rPr>
        <w:t>1</w:t>
      </w:r>
      <w:r>
        <w:rPr>
          <w:rFonts w:hint="eastAsia"/>
          <w:color w:val="auto"/>
          <w:highlight w:val="none"/>
        </w:rPr>
        <w:t>）水厂总平面布置按规模</w:t>
      </w:r>
      <w:r>
        <w:rPr>
          <w:rFonts w:hint="eastAsia"/>
          <w:color w:val="auto"/>
          <w:highlight w:val="none"/>
          <w:lang w:val="en-US" w:eastAsia="zh-CN"/>
        </w:rPr>
        <w:t>5</w:t>
      </w:r>
      <w:r>
        <w:rPr>
          <w:rFonts w:hint="eastAsia"/>
          <w:color w:val="auto"/>
          <w:highlight w:val="none"/>
        </w:rPr>
        <w:t>00</w:t>
      </w:r>
      <w:r>
        <w:rPr>
          <w:color w:val="auto"/>
          <w:highlight w:val="none"/>
        </w:rPr>
        <w:t>00m</w:t>
      </w:r>
      <w:r>
        <w:rPr>
          <w:color w:val="auto"/>
          <w:highlight w:val="none"/>
          <w:vertAlign w:val="superscript"/>
        </w:rPr>
        <w:t>3</w:t>
      </w:r>
      <w:r>
        <w:rPr>
          <w:color w:val="auto"/>
          <w:highlight w:val="none"/>
        </w:rPr>
        <w:t>/d布置</w:t>
      </w:r>
      <w:r>
        <w:rPr>
          <w:rFonts w:hint="eastAsia"/>
          <w:color w:val="auto"/>
          <w:highlight w:val="none"/>
        </w:rPr>
        <w:t>；</w:t>
      </w:r>
    </w:p>
    <w:p>
      <w:pPr>
        <w:ind w:firstLine="480"/>
        <w:rPr>
          <w:color w:val="auto"/>
          <w:highlight w:val="none"/>
        </w:rPr>
      </w:pPr>
      <w:r>
        <w:rPr>
          <w:color w:val="auto"/>
          <w:highlight w:val="none"/>
        </w:rPr>
        <w:t>（2）按照功能不同，分区布置，生产管理建筑物和生活设施集中布置，与水处理构筑物保持一定距离，并用绿化带隔开</w:t>
      </w:r>
      <w:r>
        <w:rPr>
          <w:rFonts w:hint="eastAsia"/>
          <w:color w:val="auto"/>
          <w:highlight w:val="none"/>
        </w:rPr>
        <w:t>；</w:t>
      </w:r>
    </w:p>
    <w:p>
      <w:pPr>
        <w:ind w:firstLine="480"/>
        <w:rPr>
          <w:color w:val="auto"/>
          <w:highlight w:val="none"/>
        </w:rPr>
      </w:pPr>
      <w:r>
        <w:rPr>
          <w:color w:val="auto"/>
          <w:highlight w:val="none"/>
        </w:rPr>
        <w:t>（3）水处理构筑物尽可能分别集中布置。处理构筑物间布置紧凑、合理，并满足各构筑物的施工、设备安装和埋设各类管道以及养护管理的要求</w:t>
      </w:r>
      <w:r>
        <w:rPr>
          <w:rFonts w:hint="eastAsia"/>
          <w:color w:val="auto"/>
          <w:highlight w:val="none"/>
        </w:rPr>
        <w:t>；</w:t>
      </w:r>
    </w:p>
    <w:p>
      <w:pPr>
        <w:ind w:firstLine="480"/>
        <w:rPr>
          <w:color w:val="auto"/>
          <w:highlight w:val="none"/>
        </w:rPr>
      </w:pPr>
      <w:r>
        <w:rPr>
          <w:color w:val="auto"/>
          <w:highlight w:val="none"/>
        </w:rPr>
        <w:t>（4）</w:t>
      </w:r>
      <w:r>
        <w:rPr>
          <w:rFonts w:hint="eastAsia"/>
          <w:color w:val="auto"/>
          <w:highlight w:val="none"/>
        </w:rPr>
        <w:t>箱式变压器</w:t>
      </w:r>
      <w:r>
        <w:rPr>
          <w:color w:val="auto"/>
          <w:highlight w:val="none"/>
        </w:rPr>
        <w:t>布置靠近用电负荷中心</w:t>
      </w:r>
      <w:r>
        <w:rPr>
          <w:rFonts w:hint="eastAsia"/>
          <w:color w:val="auto"/>
          <w:highlight w:val="none"/>
        </w:rPr>
        <w:t>；</w:t>
      </w:r>
    </w:p>
    <w:p>
      <w:pPr>
        <w:ind w:firstLine="480"/>
        <w:rPr>
          <w:color w:val="auto"/>
          <w:highlight w:val="none"/>
        </w:rPr>
      </w:pPr>
      <w:r>
        <w:rPr>
          <w:color w:val="auto"/>
          <w:highlight w:val="none"/>
        </w:rPr>
        <w:t>（5）水厂绿化面积不小于全厂总面积的2</w:t>
      </w:r>
      <w:r>
        <w:rPr>
          <w:rFonts w:hint="eastAsia"/>
          <w:color w:val="auto"/>
          <w:highlight w:val="none"/>
        </w:rPr>
        <w:t>0</w:t>
      </w:r>
      <w:r>
        <w:rPr>
          <w:color w:val="auto"/>
          <w:highlight w:val="none"/>
        </w:rPr>
        <w:t>%</w:t>
      </w:r>
      <w:r>
        <w:rPr>
          <w:rFonts w:hint="eastAsia"/>
          <w:color w:val="auto"/>
          <w:highlight w:val="none"/>
        </w:rPr>
        <w:t>；</w:t>
      </w:r>
    </w:p>
    <w:p>
      <w:pPr>
        <w:ind w:firstLine="480"/>
        <w:rPr>
          <w:color w:val="auto"/>
          <w:highlight w:val="none"/>
        </w:rPr>
      </w:pPr>
      <w:r>
        <w:rPr>
          <w:color w:val="auto"/>
          <w:highlight w:val="none"/>
        </w:rPr>
        <w:t>（6）厂区设置通往各处理构筑物和建筑物的必要通道，设置事故排放管及超越管，各构筑物均可重力放空</w:t>
      </w:r>
      <w:r>
        <w:rPr>
          <w:rFonts w:hint="eastAsia"/>
          <w:color w:val="auto"/>
          <w:highlight w:val="none"/>
        </w:rPr>
        <w:t>。</w:t>
      </w:r>
    </w:p>
    <w:p>
      <w:pPr>
        <w:pStyle w:val="4"/>
        <w:rPr>
          <w:color w:val="auto"/>
          <w:highlight w:val="none"/>
        </w:rPr>
      </w:pPr>
      <w:r>
        <w:rPr>
          <w:rFonts w:hint="eastAsia"/>
          <w:color w:val="auto"/>
          <w:highlight w:val="none"/>
        </w:rPr>
        <w:t>5.4.3平面布置</w:t>
      </w:r>
    </w:p>
    <w:p>
      <w:pPr>
        <w:ind w:firstLine="480"/>
        <w:rPr>
          <w:color w:val="auto"/>
          <w:highlight w:val="none"/>
        </w:rPr>
      </w:pPr>
      <w:r>
        <w:rPr>
          <w:rFonts w:hint="eastAsia"/>
          <w:color w:val="auto"/>
          <w:highlight w:val="none"/>
        </w:rPr>
        <w:t>水厂占地面积根据水厂规模和水处理工艺决定。水厂总布置按照工艺流程进行，一般将建（构）筑物分区、组合布置，便于运行操作、管理和维修，要求总体布置节约用地，美化环境并为未来发展留有余地。建筑物包括生产和生活两类，其中生产建筑物包括清水池、加氯间、化验室、机修间、仓库、水厂信息中心和配电室等，生活服务类建筑物包括综合管理楼、车库、厨房等。新建水厂绿化面积要求大于20%，主道路宽度为8.0m，次级道路宽度为6.0m，转弯半径大于6.0m。水厂应布置防洪排水设施，水厂四周应布置围墙等安保设施。</w:t>
      </w:r>
    </w:p>
    <w:p>
      <w:pPr>
        <w:pStyle w:val="4"/>
        <w:rPr>
          <w:color w:val="auto"/>
          <w:highlight w:val="none"/>
        </w:rPr>
      </w:pPr>
      <w:r>
        <w:rPr>
          <w:rFonts w:hint="eastAsia"/>
          <w:color w:val="auto"/>
          <w:highlight w:val="none"/>
        </w:rPr>
        <w:t>5.4.4厂区绿化设计</w:t>
      </w:r>
    </w:p>
    <w:p>
      <w:pPr>
        <w:ind w:firstLine="480"/>
        <w:rPr>
          <w:color w:val="auto"/>
          <w:highlight w:val="none"/>
        </w:rPr>
      </w:pPr>
      <w:r>
        <w:rPr>
          <w:rFonts w:hint="eastAsia"/>
          <w:color w:val="auto"/>
          <w:highlight w:val="none"/>
        </w:rPr>
        <w:t>根据水厂的布置原则，</w:t>
      </w:r>
      <w:r>
        <w:rPr>
          <w:color w:val="auto"/>
          <w:highlight w:val="none"/>
        </w:rPr>
        <w:t>水厂绿化面积不小于全厂总面积的2</w:t>
      </w:r>
      <w:r>
        <w:rPr>
          <w:rFonts w:hint="eastAsia"/>
          <w:color w:val="auto"/>
          <w:highlight w:val="none"/>
        </w:rPr>
        <w:t>0</w:t>
      </w:r>
      <w:r>
        <w:rPr>
          <w:color w:val="auto"/>
          <w:highlight w:val="none"/>
        </w:rPr>
        <w:t>%</w:t>
      </w:r>
      <w:r>
        <w:rPr>
          <w:rFonts w:hint="eastAsia"/>
          <w:color w:val="auto"/>
          <w:highlight w:val="none"/>
        </w:rPr>
        <w:t>，本工程厂区绿化依照地下水水源工程的水厂进行绿化设计。</w:t>
      </w:r>
    </w:p>
    <w:p>
      <w:pPr>
        <w:pStyle w:val="4"/>
        <w:rPr>
          <w:color w:val="auto"/>
          <w:highlight w:val="none"/>
        </w:rPr>
      </w:pPr>
      <w:r>
        <w:rPr>
          <w:rFonts w:hint="eastAsia"/>
          <w:color w:val="auto"/>
          <w:highlight w:val="none"/>
        </w:rPr>
        <w:t>5.4.5建筑设计</w:t>
      </w:r>
    </w:p>
    <w:p>
      <w:pPr>
        <w:ind w:firstLine="480"/>
        <w:rPr>
          <w:color w:val="auto"/>
          <w:highlight w:val="none"/>
        </w:rPr>
      </w:pPr>
      <w:r>
        <w:rPr>
          <w:rFonts w:hint="eastAsia"/>
          <w:color w:val="auto"/>
          <w:highlight w:val="none"/>
        </w:rPr>
        <w:t>1、综合管理楼建设</w:t>
      </w:r>
    </w:p>
    <w:p>
      <w:pPr>
        <w:ind w:firstLine="480"/>
        <w:rPr>
          <w:color w:val="auto"/>
          <w:highlight w:val="none"/>
        </w:rPr>
      </w:pPr>
      <w:r>
        <w:rPr>
          <w:rFonts w:hint="eastAsia"/>
          <w:color w:val="auto"/>
          <w:highlight w:val="none"/>
        </w:rPr>
        <w:t>为适应管理工作的需要，西郊水厂需新建1140m</w:t>
      </w:r>
      <w:r>
        <w:rPr>
          <w:rFonts w:hint="eastAsia"/>
          <w:color w:val="auto"/>
          <w:highlight w:val="none"/>
          <w:vertAlign w:val="superscript"/>
        </w:rPr>
        <w:t>2</w:t>
      </w:r>
      <w:r>
        <w:rPr>
          <w:rFonts w:hint="eastAsia"/>
          <w:color w:val="auto"/>
          <w:highlight w:val="none"/>
        </w:rPr>
        <w:t>综合管理楼一座，共两层，框架结构，丙类建筑，工程抗震设防烈度为6度，屋面防水等级为Ⅲ级。综合管理楼内布置水厂信息化中心等。综合管理楼功能区设置及使用面积分配见下表。</w:t>
      </w:r>
    </w:p>
    <w:p>
      <w:pPr>
        <w:ind w:firstLine="480"/>
        <w:rPr>
          <w:color w:val="auto"/>
          <w:highlight w:val="none"/>
        </w:rPr>
      </w:pPr>
      <w:r>
        <w:rPr>
          <w:rFonts w:hint="eastAsia"/>
          <w:color w:val="auto"/>
          <w:highlight w:val="none"/>
        </w:rPr>
        <w:t>2、反应沉淀池</w:t>
      </w:r>
    </w:p>
    <w:p>
      <w:pPr>
        <w:ind w:firstLine="480"/>
        <w:rPr>
          <w:color w:val="auto"/>
          <w:highlight w:val="none"/>
        </w:rPr>
      </w:pPr>
      <w:r>
        <w:rPr>
          <w:rFonts w:hint="eastAsia"/>
          <w:color w:val="auto"/>
          <w:highlight w:val="none"/>
        </w:rPr>
        <w:t>本典型工程反应池为折板式，沉淀池为平流式，反应池与沉淀池合建，为钢筋混凝土结构，</w:t>
      </w:r>
      <w:r>
        <w:rPr>
          <w:rFonts w:hint="eastAsia" w:ascii="宋体" w:hAnsi="宋体"/>
          <w:color w:val="auto"/>
          <w:highlight w:val="none"/>
        </w:rPr>
        <w:t>平面尺寸</w:t>
      </w:r>
      <w:r>
        <w:rPr>
          <w:rFonts w:hint="eastAsia"/>
          <w:color w:val="auto"/>
          <w:highlight w:val="none"/>
        </w:rPr>
        <w:t>64.40m×10.50m</w:t>
      </w:r>
      <w:r>
        <w:rPr>
          <w:rFonts w:hint="eastAsia" w:ascii="宋体" w:hAnsi="宋体"/>
          <w:color w:val="auto"/>
          <w:highlight w:val="none"/>
        </w:rPr>
        <w:t>，高</w:t>
      </w:r>
      <w:r>
        <w:rPr>
          <w:rFonts w:hint="eastAsia"/>
          <w:color w:val="auto"/>
          <w:highlight w:val="none"/>
        </w:rPr>
        <w:t>5.60m。外部建车间，</w:t>
      </w:r>
      <w:r>
        <w:rPr>
          <w:rFonts w:hint="eastAsia" w:ascii="宋体" w:hAnsi="宋体"/>
          <w:color w:val="auto"/>
          <w:highlight w:val="none"/>
        </w:rPr>
        <w:t>平面尺寸</w:t>
      </w:r>
      <w:r>
        <w:rPr>
          <w:rFonts w:hint="eastAsia"/>
          <w:color w:val="auto"/>
          <w:highlight w:val="none"/>
        </w:rPr>
        <w:t>70.00m×12.00m</w:t>
      </w:r>
      <w:r>
        <w:rPr>
          <w:rFonts w:hint="eastAsia" w:ascii="宋体" w:hAnsi="宋体"/>
          <w:color w:val="auto"/>
          <w:highlight w:val="none"/>
        </w:rPr>
        <w:t>，高</w:t>
      </w:r>
      <w:r>
        <w:rPr>
          <w:rFonts w:hint="eastAsia"/>
          <w:color w:val="auto"/>
          <w:highlight w:val="none"/>
        </w:rPr>
        <w:t>8.50m。</w:t>
      </w:r>
    </w:p>
    <w:p>
      <w:pPr>
        <w:ind w:firstLine="480"/>
        <w:rPr>
          <w:color w:val="auto"/>
          <w:highlight w:val="none"/>
        </w:rPr>
      </w:pPr>
      <w:r>
        <w:rPr>
          <w:rFonts w:hint="eastAsia"/>
          <w:color w:val="auto"/>
          <w:highlight w:val="none"/>
        </w:rPr>
        <w:t>3、滤池</w:t>
      </w:r>
    </w:p>
    <w:p>
      <w:pPr>
        <w:ind w:firstLine="480"/>
        <w:rPr>
          <w:color w:val="auto"/>
          <w:highlight w:val="none"/>
        </w:rPr>
      </w:pPr>
      <w:r>
        <w:rPr>
          <w:rFonts w:hint="eastAsia"/>
          <w:color w:val="auto"/>
          <w:highlight w:val="none"/>
        </w:rPr>
        <w:t>滤池与加药间、加氯室合建，南北向排列，加药间和加氯室在南侧。滤池采用普通快滤池，经过沉淀的水进入滤池过滤。滤池为钢筋混凝土结构，2座，单座平面尺寸22.6×8.45m，池高3.1m，壁厚0.25m，滤池分为池体及管廊二部分。滤池外侧设排泥渠，专排反冲洗过程中排出的杂物。外部建车间，</w:t>
      </w:r>
      <w:r>
        <w:rPr>
          <w:rFonts w:hint="eastAsia" w:ascii="宋体" w:hAnsi="宋体"/>
          <w:color w:val="auto"/>
          <w:highlight w:val="none"/>
        </w:rPr>
        <w:t>平面尺寸</w:t>
      </w:r>
      <w:r>
        <w:rPr>
          <w:rFonts w:hint="eastAsia"/>
          <w:color w:val="auto"/>
          <w:highlight w:val="none"/>
        </w:rPr>
        <w:t>22.60m×8.20m</w:t>
      </w:r>
      <w:r>
        <w:rPr>
          <w:rFonts w:hint="eastAsia" w:ascii="宋体" w:hAnsi="宋体"/>
          <w:color w:val="auto"/>
          <w:highlight w:val="none"/>
        </w:rPr>
        <w:t>，高</w:t>
      </w:r>
      <w:r>
        <w:rPr>
          <w:rFonts w:hint="eastAsia"/>
          <w:color w:val="auto"/>
          <w:highlight w:val="none"/>
        </w:rPr>
        <w:t>6.20m，滤池顶设有轻钢瓦屋面。</w:t>
      </w:r>
    </w:p>
    <w:p>
      <w:pPr>
        <w:ind w:firstLine="480"/>
        <w:rPr>
          <w:color w:val="auto"/>
          <w:highlight w:val="none"/>
        </w:rPr>
      </w:pPr>
      <w:r>
        <w:rPr>
          <w:rFonts w:hint="eastAsia"/>
          <w:color w:val="auto"/>
          <w:highlight w:val="none"/>
        </w:rPr>
        <w:t>4、清水池</w:t>
      </w:r>
    </w:p>
    <w:p>
      <w:pPr>
        <w:ind w:firstLine="480"/>
        <w:rPr>
          <w:color w:val="auto"/>
          <w:highlight w:val="none"/>
        </w:rPr>
      </w:pPr>
      <w:r>
        <w:rPr>
          <w:rFonts w:hint="eastAsia"/>
          <w:color w:val="auto"/>
          <w:highlight w:val="none"/>
        </w:rPr>
        <w:t>清水池主要用于调蓄和净水加氯后的接触消毒。Ⅰ～Ⅲ型水厂清水池的容积一般按照水厂规模的15%~25%建设，并满足水剂出厂前接触时间大于30min要求。本设计清水池采用矩形钢筋砼结构，根据水厂规模确定本工程使用3个1500m</w:t>
      </w:r>
      <w:r>
        <w:rPr>
          <w:rFonts w:hint="eastAsia"/>
          <w:color w:val="auto"/>
          <w:highlight w:val="none"/>
          <w:vertAlign w:val="superscript"/>
        </w:rPr>
        <w:t>3</w:t>
      </w:r>
      <w:r>
        <w:rPr>
          <w:rFonts w:hint="eastAsia"/>
          <w:color w:val="auto"/>
          <w:highlight w:val="none"/>
        </w:rPr>
        <w:t>矩形清水池。</w:t>
      </w:r>
    </w:p>
    <w:p>
      <w:pPr>
        <w:ind w:firstLine="480"/>
        <w:rPr>
          <w:color w:val="auto"/>
          <w:highlight w:val="none"/>
        </w:rPr>
      </w:pPr>
      <w:r>
        <w:rPr>
          <w:rFonts w:hint="eastAsia"/>
          <w:color w:val="auto"/>
          <w:highlight w:val="none"/>
        </w:rPr>
        <w:t>清水池</w:t>
      </w:r>
      <w:r>
        <w:rPr>
          <w:color w:val="auto"/>
          <w:highlight w:val="none"/>
        </w:rPr>
        <w:t>顶上设透气孔、进人孔和水位仪传感器。顶部覆土保温</w:t>
      </w:r>
      <w:r>
        <w:rPr>
          <w:rFonts w:hint="eastAsia"/>
          <w:color w:val="auto"/>
          <w:highlight w:val="none"/>
        </w:rPr>
        <w:t>0.5～</w:t>
      </w:r>
      <w:r>
        <w:rPr>
          <w:color w:val="auto"/>
          <w:highlight w:val="none"/>
        </w:rPr>
        <w:t>0.7m，上部草皮绿化。</w:t>
      </w:r>
      <w:r>
        <w:rPr>
          <w:rFonts w:hint="eastAsia"/>
          <w:color w:val="auto"/>
          <w:highlight w:val="none"/>
        </w:rPr>
        <w:t>清水池采用现浇钢筋混凝土结构。顶板结构型式为无梁盖板，内部为柱式支撑。在池内设砖砌导流墙。池底底板厚0.25</w:t>
      </w:r>
      <w:r>
        <w:rPr>
          <w:color w:val="auto"/>
          <w:highlight w:val="none"/>
        </w:rPr>
        <w:t>m</w:t>
      </w:r>
      <w:r>
        <w:rPr>
          <w:rFonts w:hint="eastAsia"/>
          <w:color w:val="auto"/>
          <w:highlight w:val="none"/>
        </w:rPr>
        <w:t>，为钢筋混凝土结构，底板材料为</w:t>
      </w:r>
      <w:r>
        <w:rPr>
          <w:color w:val="auto"/>
          <w:highlight w:val="none"/>
        </w:rPr>
        <w:t>C2</w:t>
      </w:r>
      <w:r>
        <w:rPr>
          <w:rFonts w:hint="eastAsia"/>
          <w:color w:val="auto"/>
          <w:highlight w:val="none"/>
        </w:rPr>
        <w:t>5，抗渗强度等级为S</w:t>
      </w:r>
      <w:r>
        <w:rPr>
          <w:color w:val="auto"/>
          <w:highlight w:val="none"/>
        </w:rPr>
        <w:t>6</w:t>
      </w:r>
      <w:r>
        <w:rPr>
          <w:rFonts w:hint="eastAsia"/>
          <w:color w:val="auto"/>
          <w:highlight w:val="none"/>
        </w:rPr>
        <w:t>，抗冻等级为</w:t>
      </w:r>
      <w:r>
        <w:rPr>
          <w:color w:val="auto"/>
          <w:highlight w:val="none"/>
        </w:rPr>
        <w:t xml:space="preserve"> F</w:t>
      </w:r>
      <w:r>
        <w:rPr>
          <w:rFonts w:hint="eastAsia"/>
          <w:color w:val="auto"/>
          <w:highlight w:val="none"/>
          <w:vertAlign w:val="subscript"/>
        </w:rPr>
        <w:t>15</w:t>
      </w:r>
      <w:r>
        <w:rPr>
          <w:color w:val="auto"/>
          <w:highlight w:val="none"/>
          <w:vertAlign w:val="subscript"/>
        </w:rPr>
        <w:t>0</w:t>
      </w:r>
      <w:r>
        <w:rPr>
          <w:rFonts w:hint="eastAsia"/>
          <w:color w:val="auto"/>
          <w:highlight w:val="none"/>
        </w:rPr>
        <w:t>，在底板以下0.2m的</w:t>
      </w:r>
      <w:r>
        <w:rPr>
          <w:color w:val="auto"/>
          <w:highlight w:val="none"/>
        </w:rPr>
        <w:t>C</w:t>
      </w:r>
      <w:r>
        <w:rPr>
          <w:rFonts w:hint="eastAsia"/>
          <w:color w:val="auto"/>
          <w:highlight w:val="none"/>
        </w:rPr>
        <w:t>15砼为垫层，基础为厚0.15m的灰土垫层。</w:t>
      </w:r>
    </w:p>
    <w:p>
      <w:pPr>
        <w:ind w:firstLine="480"/>
        <w:rPr>
          <w:color w:val="auto"/>
          <w:highlight w:val="none"/>
        </w:rPr>
      </w:pPr>
      <w:r>
        <w:rPr>
          <w:rFonts w:hint="eastAsia"/>
          <w:color w:val="auto"/>
          <w:highlight w:val="none"/>
        </w:rPr>
        <w:t>为方便清水池消毒和保证水厂供水，在清水池外设置1座C30钢筋混凝土吸水井。</w:t>
      </w:r>
    </w:p>
    <w:p>
      <w:pPr>
        <w:ind w:firstLine="480"/>
        <w:rPr>
          <w:color w:val="auto"/>
          <w:highlight w:val="none"/>
        </w:rPr>
      </w:pPr>
      <w:r>
        <w:rPr>
          <w:rFonts w:hint="eastAsia"/>
          <w:color w:val="auto"/>
          <w:highlight w:val="none"/>
        </w:rPr>
        <w:t>5、废水回收池</w:t>
      </w:r>
    </w:p>
    <w:p>
      <w:pPr>
        <w:ind w:firstLine="480"/>
        <w:rPr>
          <w:color w:val="auto"/>
          <w:kern w:val="0"/>
          <w:highlight w:val="none"/>
          <w:lang w:val="zh-CN"/>
        </w:rPr>
      </w:pPr>
      <w:r>
        <w:rPr>
          <w:rFonts w:hint="eastAsia"/>
          <w:color w:val="auto"/>
          <w:kern w:val="0"/>
          <w:highlight w:val="none"/>
          <w:lang w:val="zh-CN"/>
        </w:rPr>
        <w:t>废水回收池为钢筋混凝土结构，分成两部分，一侧作污泥沉淀用，一侧作沉淀后回收用，进口处有钢筋混凝土管通向排泥渠。</w:t>
      </w:r>
    </w:p>
    <w:p>
      <w:pPr>
        <w:ind w:firstLine="480"/>
        <w:rPr>
          <w:color w:val="auto"/>
          <w:highlight w:val="none"/>
        </w:rPr>
      </w:pPr>
      <w:r>
        <w:rPr>
          <w:rFonts w:hint="eastAsia"/>
          <w:color w:val="auto"/>
          <w:highlight w:val="none"/>
        </w:rPr>
        <w:t>6、消毒设备选型</w:t>
      </w:r>
    </w:p>
    <w:p>
      <w:pPr>
        <w:ind w:firstLine="480"/>
        <w:rPr>
          <w:color w:val="auto"/>
          <w:highlight w:val="none"/>
        </w:rPr>
      </w:pPr>
      <w:r>
        <w:rPr>
          <w:rFonts w:hint="eastAsia"/>
          <w:color w:val="auto"/>
          <w:highlight w:val="none"/>
        </w:rPr>
        <w:t>不同设备的工艺和维护管理不尽相同，现就目前国内常用消毒工艺比较如下：</w:t>
      </w:r>
    </w:p>
    <w:p>
      <w:pPr>
        <w:ind w:firstLine="480"/>
        <w:rPr>
          <w:color w:val="auto"/>
          <w:highlight w:val="none"/>
        </w:rPr>
      </w:pPr>
      <w:r>
        <w:rPr>
          <w:rFonts w:hint="eastAsia"/>
          <w:color w:val="auto"/>
          <w:highlight w:val="none"/>
        </w:rPr>
        <w:t>（1）、次氯酸钠</w:t>
      </w:r>
    </w:p>
    <w:p>
      <w:pPr>
        <w:ind w:firstLine="480"/>
        <w:rPr>
          <w:color w:val="auto"/>
          <w:highlight w:val="none"/>
        </w:rPr>
      </w:pPr>
      <w:r>
        <w:rPr>
          <w:rFonts w:hint="eastAsia"/>
          <w:color w:val="auto"/>
          <w:highlight w:val="none"/>
        </w:rPr>
        <w:t> 次氯酸钠的分子式是NaClO，属于强碱弱酸盐，能完全溶解于水，水溶液清澈透明，次氯酸钠的生成过程如下式所示：</w:t>
      </w:r>
    </w:p>
    <w:p>
      <w:pPr>
        <w:ind w:firstLine="480"/>
        <w:rPr>
          <w:color w:val="auto"/>
          <w:highlight w:val="none"/>
        </w:rPr>
      </w:pPr>
      <w:r>
        <w:rPr>
          <w:rFonts w:hint="eastAsia"/>
          <w:color w:val="auto"/>
          <w:highlight w:val="none"/>
        </w:rPr>
        <w:t> NaCl + H</w:t>
      </w:r>
      <w:r>
        <w:rPr>
          <w:rFonts w:hint="eastAsia"/>
          <w:color w:val="auto"/>
          <w:highlight w:val="none"/>
          <w:vertAlign w:val="subscript"/>
        </w:rPr>
        <w:t>2</w:t>
      </w:r>
      <w:r>
        <w:rPr>
          <w:rFonts w:hint="eastAsia"/>
          <w:color w:val="auto"/>
          <w:highlight w:val="none"/>
        </w:rPr>
        <w:t>O → NaClO+ H</w:t>
      </w:r>
      <w:r>
        <w:rPr>
          <w:rFonts w:hint="eastAsia"/>
          <w:color w:val="auto"/>
          <w:highlight w:val="none"/>
          <w:vertAlign w:val="subscript"/>
        </w:rPr>
        <w:t>2</w:t>
      </w:r>
      <w:r>
        <w:rPr>
          <w:rFonts w:hint="eastAsia"/>
          <w:color w:val="auto"/>
          <w:highlight w:val="none"/>
        </w:rPr>
        <w:t>↑ </w:t>
      </w:r>
    </w:p>
    <w:p>
      <w:pPr>
        <w:ind w:firstLine="480"/>
        <w:rPr>
          <w:color w:val="auto"/>
          <w:highlight w:val="none"/>
        </w:rPr>
      </w:pPr>
      <w:r>
        <w:rPr>
          <w:color w:val="auto"/>
          <w:highlight w:val="none"/>
        </w:rPr>
        <w:t>就消毒而言，次氯酸钠液还是具有明显优势的。作为一种真正高效、广谱、安全的強力灭菌、杀病毒药剂，它同水的亲和性很好，能与水任意比互溶，它不存在液氯、二氧化氯等药剂的安全隐患，且其消毒效果被公认为和氯气相当加之其投加准确，操作安全，使用方便，易于储存，对环境无毒害，不存在跑气泄漏。</w:t>
      </w:r>
    </w:p>
    <w:p>
      <w:pPr>
        <w:ind w:firstLine="480"/>
        <w:rPr>
          <w:color w:val="auto"/>
          <w:highlight w:val="none"/>
        </w:rPr>
      </w:pPr>
      <w:r>
        <w:rPr>
          <w:rFonts w:hint="eastAsia"/>
          <w:color w:val="auto"/>
          <w:highlight w:val="none"/>
        </w:rPr>
        <w:t>次氯酸钠消毒效果受pH值的影响较大，当水中pH值大于8时，次氯酸钠的稳定性虽然提高了，但活性却降低了，甚至会失去活性，同时，消毒副产物（三卤甲烷）量会相应增加。</w:t>
      </w:r>
    </w:p>
    <w:p>
      <w:pPr>
        <w:ind w:firstLine="480"/>
        <w:rPr>
          <w:color w:val="auto"/>
          <w:highlight w:val="none"/>
        </w:rPr>
      </w:pPr>
      <w:r>
        <w:rPr>
          <w:rFonts w:hint="eastAsia"/>
          <w:color w:val="auto"/>
          <w:highlight w:val="none"/>
        </w:rPr>
        <w:t>（2）、二氧化氯</w:t>
      </w:r>
    </w:p>
    <w:p>
      <w:pPr>
        <w:ind w:firstLine="480"/>
        <w:rPr>
          <w:color w:val="auto"/>
          <w:highlight w:val="none"/>
        </w:rPr>
      </w:pPr>
      <w:r>
        <w:rPr>
          <w:rFonts w:hint="eastAsia"/>
          <w:color w:val="auto"/>
          <w:highlight w:val="none"/>
        </w:rPr>
        <w:t>二氧化氯的分子式是ClO</w:t>
      </w:r>
      <w:r>
        <w:rPr>
          <w:rFonts w:hint="eastAsia"/>
          <w:color w:val="auto"/>
          <w:highlight w:val="none"/>
          <w:vertAlign w:val="subscript"/>
        </w:rPr>
        <w:t>2</w:t>
      </w:r>
      <w:r>
        <w:rPr>
          <w:rFonts w:hint="eastAsia"/>
          <w:color w:val="auto"/>
          <w:highlight w:val="none"/>
        </w:rPr>
        <w:t>，在高于11</w:t>
      </w:r>
      <w:r>
        <w:rPr>
          <w:rFonts w:hint="eastAsia"/>
          <w:color w:val="auto"/>
          <w:highlight w:val="none"/>
          <w:vertAlign w:val="superscript"/>
        </w:rPr>
        <w:t>o</w:t>
      </w:r>
      <w:r>
        <w:rPr>
          <w:rFonts w:hint="eastAsia"/>
          <w:color w:val="auto"/>
          <w:highlight w:val="none"/>
        </w:rPr>
        <w:t>C时，二氧化氯沸腾，成为一种黄绿色气体。它是一种极活泼的化合物，稍经受热，就会迅速而爆炸性的分解为氯气和氧气。</w:t>
      </w:r>
    </w:p>
    <w:p>
      <w:pPr>
        <w:ind w:firstLine="480"/>
        <w:rPr>
          <w:color w:val="auto"/>
          <w:highlight w:val="none"/>
        </w:rPr>
      </w:pPr>
      <w:r>
        <w:rPr>
          <w:color w:val="auto"/>
          <w:highlight w:val="none"/>
        </w:rPr>
        <w:t> 二氧化氯极其不稳定，不能</w:t>
      </w:r>
      <w:r>
        <w:rPr>
          <w:rFonts w:hint="eastAsia"/>
          <w:color w:val="auto"/>
          <w:highlight w:val="none"/>
        </w:rPr>
        <w:t>像</w:t>
      </w:r>
      <w:r>
        <w:rPr>
          <w:color w:val="auto"/>
          <w:highlight w:val="none"/>
        </w:rPr>
        <w:t>次氯酸钠那样可以运输，运输中很容易发生爆炸事故，所以只有依靠现场制备。一般都是通过氯酸钠</w:t>
      </w:r>
      <w:r>
        <w:rPr>
          <w:rFonts w:hint="eastAsia"/>
          <w:color w:val="auto"/>
          <w:highlight w:val="none"/>
        </w:rPr>
        <w:t>和</w:t>
      </w:r>
      <w:r>
        <w:rPr>
          <w:color w:val="auto"/>
          <w:highlight w:val="none"/>
        </w:rPr>
        <w:t>酸的反应制备得到。</w:t>
      </w:r>
      <w:r>
        <w:rPr>
          <w:rFonts w:hint="eastAsia"/>
          <w:color w:val="auto"/>
          <w:highlight w:val="none"/>
        </w:rPr>
        <w:t>其生成过程如下式所示：</w:t>
      </w:r>
    </w:p>
    <w:p>
      <w:pPr>
        <w:ind w:firstLine="480"/>
        <w:rPr>
          <w:color w:val="auto"/>
          <w:highlight w:val="none"/>
        </w:rPr>
      </w:pPr>
      <w:r>
        <w:rPr>
          <w:rFonts w:hint="eastAsia"/>
          <w:color w:val="auto"/>
          <w:highlight w:val="none"/>
        </w:rPr>
        <w:t>NaClO</w:t>
      </w:r>
      <w:r>
        <w:rPr>
          <w:rFonts w:hint="eastAsia"/>
          <w:color w:val="auto"/>
          <w:highlight w:val="none"/>
          <w:vertAlign w:val="subscript"/>
        </w:rPr>
        <w:t>3</w:t>
      </w:r>
      <w:r>
        <w:rPr>
          <w:rFonts w:hint="eastAsia"/>
          <w:color w:val="auto"/>
          <w:highlight w:val="none"/>
        </w:rPr>
        <w:t> + HCl（稀） → NaCl + Cl</w:t>
      </w:r>
      <w:r>
        <w:rPr>
          <w:rFonts w:hint="eastAsia"/>
          <w:color w:val="auto"/>
          <w:highlight w:val="none"/>
          <w:vertAlign w:val="subscript"/>
        </w:rPr>
        <w:t>2</w:t>
      </w:r>
      <w:r>
        <w:rPr>
          <w:rFonts w:hint="eastAsia"/>
          <w:color w:val="auto"/>
          <w:highlight w:val="none"/>
        </w:rPr>
        <w:t>↑+ 2ClO</w:t>
      </w:r>
      <w:r>
        <w:rPr>
          <w:rFonts w:hint="eastAsia"/>
          <w:color w:val="auto"/>
          <w:highlight w:val="none"/>
          <w:vertAlign w:val="subscript"/>
        </w:rPr>
        <w:t>2</w:t>
      </w:r>
      <w:r>
        <w:rPr>
          <w:rFonts w:hint="eastAsia"/>
          <w:color w:val="auto"/>
          <w:highlight w:val="none"/>
        </w:rPr>
        <w:t>↑+ 2H</w:t>
      </w:r>
      <w:r>
        <w:rPr>
          <w:rFonts w:hint="eastAsia"/>
          <w:color w:val="auto"/>
          <w:highlight w:val="none"/>
          <w:vertAlign w:val="subscript"/>
        </w:rPr>
        <w:t>2</w:t>
      </w:r>
      <w:r>
        <w:rPr>
          <w:rFonts w:hint="eastAsia"/>
          <w:color w:val="auto"/>
          <w:highlight w:val="none"/>
        </w:rPr>
        <w:t>O</w:t>
      </w:r>
    </w:p>
    <w:p>
      <w:pPr>
        <w:ind w:firstLine="480"/>
        <w:rPr>
          <w:color w:val="auto"/>
          <w:highlight w:val="none"/>
        </w:rPr>
      </w:pPr>
      <w:r>
        <w:rPr>
          <w:rFonts w:hint="eastAsia"/>
          <w:color w:val="auto"/>
          <w:highlight w:val="none"/>
        </w:rPr>
        <w:t>由于制取二氧化氯需要使用氯酸钠或者氯酸钾，所以运行成本很高，大约为次氯酸钠运行成本的5倍以上。此外，由于盐酸容易挥发，并具有强烈腐蚀性，因此，在管理上相对比较麻烦，需要较多的安全容器来储存保管。</w:t>
      </w:r>
    </w:p>
    <w:p>
      <w:pPr>
        <w:ind w:firstLine="480"/>
        <w:rPr>
          <w:color w:val="auto"/>
          <w:highlight w:val="none"/>
        </w:rPr>
      </w:pPr>
      <w:r>
        <w:rPr>
          <w:rFonts w:hint="eastAsia"/>
          <w:color w:val="auto"/>
          <w:highlight w:val="none"/>
        </w:rPr>
        <w:t>ClO</w:t>
      </w:r>
      <w:r>
        <w:rPr>
          <w:rFonts w:hint="eastAsia"/>
          <w:color w:val="auto"/>
          <w:highlight w:val="none"/>
          <w:vertAlign w:val="subscript"/>
        </w:rPr>
        <w:t>2</w:t>
      </w:r>
      <w:r>
        <w:rPr>
          <w:rFonts w:hint="eastAsia"/>
          <w:color w:val="auto"/>
          <w:highlight w:val="none"/>
        </w:rPr>
        <w:t>及其歧化产物ClO</w:t>
      </w:r>
      <w:r>
        <w:rPr>
          <w:rFonts w:hint="eastAsia"/>
          <w:color w:val="auto"/>
          <w:highlight w:val="none"/>
          <w:vertAlign w:val="subscript"/>
        </w:rPr>
        <w:t>2-</w:t>
      </w:r>
      <w:r>
        <w:rPr>
          <w:rFonts w:hint="eastAsia"/>
          <w:color w:val="auto"/>
          <w:highlight w:val="none"/>
        </w:rPr>
        <w:t>和ClO</w:t>
      </w:r>
      <w:r>
        <w:rPr>
          <w:rFonts w:hint="eastAsia"/>
          <w:color w:val="auto"/>
          <w:highlight w:val="none"/>
          <w:vertAlign w:val="subscript"/>
        </w:rPr>
        <w:t>3-</w:t>
      </w:r>
      <w:r>
        <w:rPr>
          <w:rFonts w:hint="eastAsia"/>
          <w:color w:val="auto"/>
          <w:highlight w:val="none"/>
        </w:rPr>
        <w:t>可引起变性血红蛋白血症和溶血性贫血等中毒反应，影响婴幼儿的神经系统。可引起生殖毒性和诱发心血各种疾病。</w:t>
      </w:r>
    </w:p>
    <w:p>
      <w:pPr>
        <w:ind w:firstLine="480"/>
        <w:rPr>
          <w:color w:val="auto"/>
          <w:highlight w:val="none"/>
        </w:rPr>
      </w:pPr>
      <w:r>
        <w:rPr>
          <w:rFonts w:hint="eastAsia"/>
          <w:color w:val="auto"/>
          <w:highlight w:val="none"/>
        </w:rPr>
        <w:t>（3）、氯气</w:t>
      </w:r>
    </w:p>
    <w:p>
      <w:pPr>
        <w:ind w:firstLine="480"/>
        <w:rPr>
          <w:color w:val="auto"/>
          <w:highlight w:val="none"/>
        </w:rPr>
      </w:pPr>
      <w:r>
        <w:rPr>
          <w:rFonts w:hint="eastAsia"/>
          <w:color w:val="auto"/>
          <w:highlight w:val="none"/>
        </w:rPr>
        <w:t>氯气的分子式为Cl</w:t>
      </w:r>
      <w:r>
        <w:rPr>
          <w:rFonts w:hint="eastAsia"/>
          <w:color w:val="auto"/>
          <w:highlight w:val="none"/>
          <w:vertAlign w:val="subscript"/>
        </w:rPr>
        <w:t>2</w:t>
      </w:r>
      <w:r>
        <w:rPr>
          <w:rFonts w:hint="eastAsia"/>
          <w:color w:val="auto"/>
          <w:highlight w:val="none"/>
        </w:rPr>
        <w:t>，属于Ⅱ级（高度危害）物质，运输安全很难保障，运输中存在很大安全隐患，泄露爆炸，后果严重。</w:t>
      </w:r>
    </w:p>
    <w:p>
      <w:pPr>
        <w:ind w:firstLine="480"/>
        <w:rPr>
          <w:color w:val="auto"/>
          <w:highlight w:val="none"/>
        </w:rPr>
      </w:pPr>
      <w:r>
        <w:rPr>
          <w:rFonts w:hint="eastAsia"/>
          <w:color w:val="auto"/>
          <w:highlight w:val="none"/>
        </w:rPr>
        <w:t>直接接触氯气生产、使用、储存、运输等作业人员，必须经过专业培训，取得特种作业合格证才可上岗操作。操作岗位必须配备空气呼吸器、橡胶手套、防毒衣等。</w:t>
      </w:r>
    </w:p>
    <w:p>
      <w:pPr>
        <w:ind w:firstLine="480"/>
        <w:rPr>
          <w:color w:val="auto"/>
          <w:highlight w:val="none"/>
        </w:rPr>
      </w:pPr>
      <w:r>
        <w:rPr>
          <w:rFonts w:hint="eastAsia"/>
          <w:color w:val="auto"/>
          <w:highlight w:val="none"/>
        </w:rPr>
        <w:t>液氯用于消毒过程中，会与水中的有机物生成大量的氯化副产物，如三卤甲烷、卤乙酸等，这些副产物在水中不发生降解，增加水中致癌物质的量，对环境造成破坏。</w:t>
      </w:r>
    </w:p>
    <w:p>
      <w:pPr>
        <w:ind w:firstLine="480"/>
        <w:rPr>
          <w:color w:val="auto"/>
          <w:highlight w:val="none"/>
        </w:rPr>
      </w:pPr>
      <w:r>
        <w:rPr>
          <w:rFonts w:hint="eastAsia"/>
          <w:color w:val="auto"/>
          <w:highlight w:val="none"/>
        </w:rPr>
        <w:t>液氯消毒抗菌谱窄，对原虫无效，对病毒和真菌效果不明显。综合消毒成本较低。</w:t>
      </w:r>
    </w:p>
    <w:p>
      <w:pPr>
        <w:ind w:firstLine="480"/>
        <w:rPr>
          <w:color w:val="auto"/>
          <w:highlight w:val="none"/>
        </w:rPr>
      </w:pPr>
      <w:r>
        <w:rPr>
          <w:rFonts w:hint="eastAsia"/>
          <w:color w:val="auto"/>
          <w:highlight w:val="none"/>
        </w:rPr>
        <w:t>按照先进、可靠、投资省的原则，并结合我省部分饮水工程水质净化的实际运行经验，消毒选用全自动一体化次氯酸钠发生器进行消毒处理。</w:t>
      </w:r>
    </w:p>
    <w:p>
      <w:pPr>
        <w:ind w:firstLine="480"/>
        <w:rPr>
          <w:color w:val="auto"/>
          <w:highlight w:val="none"/>
        </w:rPr>
      </w:pPr>
      <w:r>
        <w:rPr>
          <w:rFonts w:hint="eastAsia"/>
          <w:color w:val="auto"/>
          <w:highlight w:val="none"/>
        </w:rPr>
        <w:t>全自动一体化次氯酸钠发生器选型公式如下：</w:t>
      </w:r>
    </w:p>
    <w:p>
      <w:pPr>
        <w:ind w:firstLine="480"/>
        <w:rPr>
          <w:color w:val="auto"/>
          <w:highlight w:val="none"/>
        </w:rPr>
      </w:pPr>
      <w:r>
        <w:rPr>
          <w:rFonts w:hint="eastAsia"/>
          <w:color w:val="auto"/>
          <w:highlight w:val="none"/>
        </w:rPr>
        <w:t>P=W×Q</w:t>
      </w:r>
    </w:p>
    <w:p>
      <w:pPr>
        <w:ind w:firstLine="480"/>
        <w:rPr>
          <w:color w:val="auto"/>
          <w:highlight w:val="none"/>
        </w:rPr>
      </w:pPr>
      <w:r>
        <w:rPr>
          <w:rFonts w:hint="eastAsia"/>
          <w:color w:val="auto"/>
          <w:highlight w:val="none"/>
        </w:rPr>
        <w:t>式中：P</w:t>
      </w:r>
      <w:r>
        <w:rPr>
          <w:color w:val="auto"/>
          <w:highlight w:val="none"/>
        </w:rPr>
        <w:softHyphen/>
      </w:r>
      <w:r>
        <w:rPr>
          <w:rFonts w:hint="eastAsia"/>
          <w:color w:val="auto"/>
          <w:highlight w:val="none"/>
        </w:rPr>
        <w:softHyphen/>
      </w:r>
      <w:r>
        <w:rPr>
          <w:rFonts w:hint="eastAsia"/>
          <w:color w:val="auto"/>
          <w:highlight w:val="none"/>
        </w:rPr>
        <w:t>——设备产氯量（g/h）；</w:t>
      </w:r>
    </w:p>
    <w:p>
      <w:pPr>
        <w:ind w:firstLine="480"/>
        <w:rPr>
          <w:color w:val="auto"/>
          <w:highlight w:val="none"/>
        </w:rPr>
      </w:pPr>
      <w:r>
        <w:rPr>
          <w:rFonts w:hint="eastAsia"/>
          <w:color w:val="auto"/>
          <w:highlight w:val="none"/>
        </w:rPr>
        <w:t>W——加药量（g/m</w:t>
      </w:r>
      <w:r>
        <w:rPr>
          <w:rFonts w:hint="eastAsia"/>
          <w:color w:val="auto"/>
          <w:highlight w:val="none"/>
          <w:vertAlign w:val="superscript"/>
        </w:rPr>
        <w:t>3</w:t>
      </w:r>
      <w:r>
        <w:rPr>
          <w:rFonts w:hint="eastAsia"/>
          <w:color w:val="auto"/>
          <w:highlight w:val="none"/>
        </w:rPr>
        <w:t>），取1.0；</w:t>
      </w:r>
    </w:p>
    <w:p>
      <w:pPr>
        <w:ind w:firstLine="480"/>
        <w:rPr>
          <w:color w:val="auto"/>
          <w:highlight w:val="none"/>
        </w:rPr>
      </w:pPr>
      <w:r>
        <w:rPr>
          <w:rFonts w:hint="eastAsia"/>
          <w:color w:val="auto"/>
          <w:highlight w:val="none"/>
        </w:rPr>
        <w:t>Q——最高时处理水量（m</w:t>
      </w:r>
      <w:r>
        <w:rPr>
          <w:rFonts w:hint="eastAsia"/>
          <w:color w:val="auto"/>
          <w:highlight w:val="none"/>
          <w:vertAlign w:val="superscript"/>
        </w:rPr>
        <w:t>3</w:t>
      </w:r>
      <w:r>
        <w:rPr>
          <w:rFonts w:hint="eastAsia"/>
          <w:color w:val="auto"/>
          <w:highlight w:val="none"/>
        </w:rPr>
        <w:t>/h）。</w:t>
      </w:r>
    </w:p>
    <w:p>
      <w:pPr>
        <w:ind w:firstLine="480"/>
        <w:rPr>
          <w:color w:val="auto"/>
          <w:highlight w:val="none"/>
        </w:rPr>
      </w:pPr>
      <w:r>
        <w:rPr>
          <w:rFonts w:hint="eastAsia"/>
          <w:color w:val="auto"/>
          <w:highlight w:val="none"/>
        </w:rPr>
        <w:t>西郊水厂的设计水厂规模为30000m</w:t>
      </w:r>
      <w:r>
        <w:rPr>
          <w:rFonts w:hint="eastAsia"/>
          <w:color w:val="auto"/>
          <w:highlight w:val="none"/>
          <w:vertAlign w:val="superscript"/>
        </w:rPr>
        <w:t>3</w:t>
      </w:r>
      <w:r>
        <w:rPr>
          <w:rFonts w:hint="eastAsia"/>
          <w:color w:val="auto"/>
          <w:highlight w:val="none"/>
        </w:rPr>
        <w:t>/d，最高时处理水量为2500m</w:t>
      </w:r>
      <w:r>
        <w:rPr>
          <w:rFonts w:hint="eastAsia"/>
          <w:color w:val="auto"/>
          <w:highlight w:val="none"/>
          <w:vertAlign w:val="superscript"/>
        </w:rPr>
        <w:t>3</w:t>
      </w:r>
      <w:r>
        <w:rPr>
          <w:rFonts w:hint="eastAsia"/>
          <w:color w:val="auto"/>
          <w:highlight w:val="none"/>
        </w:rPr>
        <w:t>/h，根据上述公式计算得，P=2500g/h，选用RN-800型次氯酸钠发生器作为消毒设备。</w:t>
      </w:r>
    </w:p>
    <w:p>
      <w:pPr>
        <w:ind w:firstLine="480"/>
        <w:rPr>
          <w:color w:val="auto"/>
          <w:highlight w:val="none"/>
        </w:rPr>
      </w:pPr>
      <w:r>
        <w:rPr>
          <w:rFonts w:hint="eastAsia"/>
          <w:color w:val="auto"/>
          <w:highlight w:val="none"/>
        </w:rPr>
        <w:t>本工程选取4台RN-800型次氯酸钠发生器作为消毒设备。</w:t>
      </w:r>
    </w:p>
    <w:p>
      <w:pPr>
        <w:ind w:firstLine="480"/>
        <w:rPr>
          <w:color w:val="auto"/>
          <w:highlight w:val="none"/>
        </w:rPr>
      </w:pPr>
      <w:r>
        <w:rPr>
          <w:rFonts w:hint="eastAsia"/>
          <w:color w:val="auto"/>
          <w:highlight w:val="none"/>
        </w:rPr>
        <w:t>药剂选用次氯酸钠，消毒剂投放量根据原水水质和管网规模计算确定，要求消毒剂与水接触时间应不低于30min出厂，出厂水的游离余氯不低于0.3mg/L且不超过4.0mg/L，管网末梢水的游离余氯应不低于0.05mg/L，消毒副产物三氯甲烷应不超过0.06mg/L。加氯采用自动化控制消毒设备，在线监测液位和投加量、自动故障报警。加氯间配原料间，满足15～30 d 用量存储要求。</w:t>
      </w:r>
    </w:p>
    <w:p>
      <w:pPr>
        <w:ind w:firstLine="480"/>
        <w:rPr>
          <w:color w:val="auto"/>
          <w:highlight w:val="none"/>
        </w:rPr>
      </w:pPr>
      <w:r>
        <w:rPr>
          <w:rFonts w:hint="eastAsia"/>
          <w:color w:val="auto"/>
          <w:highlight w:val="none"/>
        </w:rPr>
        <w:t>7、泵房</w:t>
      </w:r>
    </w:p>
    <w:p>
      <w:pPr>
        <w:ind w:firstLine="480"/>
        <w:rPr>
          <w:color w:val="auto"/>
          <w:highlight w:val="none"/>
        </w:rPr>
      </w:pPr>
      <w:r>
        <w:rPr>
          <w:rFonts w:hint="eastAsia"/>
          <w:color w:val="auto"/>
          <w:highlight w:val="none"/>
        </w:rPr>
        <w:t>本工程设计泵房建筑面积340m</w:t>
      </w:r>
      <w:r>
        <w:rPr>
          <w:rFonts w:hint="eastAsia"/>
          <w:color w:val="auto"/>
          <w:highlight w:val="none"/>
          <w:vertAlign w:val="superscript"/>
        </w:rPr>
        <w:t>2</w:t>
      </w:r>
      <w:r>
        <w:rPr>
          <w:rFonts w:hint="eastAsia"/>
          <w:color w:val="auto"/>
          <w:highlight w:val="none"/>
        </w:rPr>
        <w:t>，分为控制室、值班室、泵房三部分，采用砖混结构，基础为C30钢筋混凝土条形基础，用于安置水泵、闸阀和控制柜等。砖混的砌筑等级为B级，框架等级为三级，安全等级为二级，抗震设防类别为丙类，设计使用年限为50年。</w:t>
      </w:r>
    </w:p>
    <w:p>
      <w:pPr>
        <w:ind w:firstLine="480"/>
        <w:rPr>
          <w:color w:val="auto"/>
          <w:highlight w:val="none"/>
        </w:rPr>
      </w:pPr>
      <w:r>
        <w:rPr>
          <w:rFonts w:hint="eastAsia"/>
          <w:color w:val="auto"/>
          <w:highlight w:val="none"/>
        </w:rPr>
        <w:t>8、仓库</w:t>
      </w:r>
    </w:p>
    <w:p>
      <w:pPr>
        <w:ind w:firstLine="480"/>
        <w:rPr>
          <w:color w:val="auto"/>
          <w:highlight w:val="none"/>
        </w:rPr>
      </w:pPr>
      <w:r>
        <w:rPr>
          <w:rFonts w:hint="eastAsia"/>
          <w:color w:val="auto"/>
          <w:highlight w:val="none"/>
        </w:rPr>
        <w:t>仓库建筑面积60.0m</w:t>
      </w:r>
      <w:r>
        <w:rPr>
          <w:rFonts w:hint="eastAsia"/>
          <w:color w:val="auto"/>
          <w:highlight w:val="none"/>
          <w:vertAlign w:val="superscript"/>
        </w:rPr>
        <w:t>2</w:t>
      </w:r>
      <w:r>
        <w:rPr>
          <w:rFonts w:hint="eastAsia"/>
          <w:color w:val="auto"/>
          <w:highlight w:val="none"/>
        </w:rPr>
        <w:t>，仓库为砖混结构，基础为C30钢筋混凝土条形基础。砖混的砌筑等级为B级，框架等级为三级，安全等级为二级，抗震设防类别为丙类，设计使用年限为50年。</w:t>
      </w:r>
    </w:p>
    <w:p>
      <w:pPr>
        <w:ind w:firstLine="480"/>
        <w:rPr>
          <w:color w:val="auto"/>
          <w:highlight w:val="none"/>
        </w:rPr>
      </w:pPr>
      <w:r>
        <w:rPr>
          <w:rFonts w:hint="eastAsia"/>
          <w:color w:val="auto"/>
          <w:highlight w:val="none"/>
        </w:rPr>
        <w:t>9、传达室</w:t>
      </w:r>
    </w:p>
    <w:p>
      <w:pPr>
        <w:ind w:firstLine="480"/>
        <w:rPr>
          <w:color w:val="auto"/>
          <w:highlight w:val="none"/>
        </w:rPr>
      </w:pPr>
      <w:r>
        <w:rPr>
          <w:rFonts w:hint="eastAsia"/>
          <w:color w:val="auto"/>
          <w:highlight w:val="none"/>
        </w:rPr>
        <w:t>传达室建筑面积28.6m</w:t>
      </w:r>
      <w:r>
        <w:rPr>
          <w:rFonts w:hint="eastAsia"/>
          <w:color w:val="auto"/>
          <w:highlight w:val="none"/>
          <w:vertAlign w:val="superscript"/>
        </w:rPr>
        <w:t>2</w:t>
      </w:r>
      <w:r>
        <w:rPr>
          <w:rFonts w:hint="eastAsia"/>
          <w:color w:val="auto"/>
          <w:highlight w:val="none"/>
        </w:rPr>
        <w:t>，为砖混结构，2间房，檐口高度3.15m，屋顶为钢筋混凝土屋面板挂蓝色机平瓦，外墙面下部为文化石饰面，上部贴外墙面砖。</w:t>
      </w:r>
    </w:p>
    <w:p>
      <w:pPr>
        <w:ind w:firstLine="480"/>
        <w:rPr>
          <w:color w:val="auto"/>
          <w:highlight w:val="none"/>
        </w:rPr>
      </w:pPr>
      <w:r>
        <w:rPr>
          <w:rFonts w:hint="eastAsia"/>
          <w:color w:val="auto"/>
          <w:highlight w:val="none"/>
        </w:rPr>
        <w:t>10、大门、围墙及厂区道路</w:t>
      </w:r>
    </w:p>
    <w:p>
      <w:pPr>
        <w:ind w:firstLine="480"/>
        <w:rPr>
          <w:color w:val="auto"/>
          <w:highlight w:val="none"/>
        </w:rPr>
      </w:pPr>
      <w:r>
        <w:rPr>
          <w:rFonts w:hint="eastAsia"/>
          <w:color w:val="auto"/>
          <w:highlight w:val="none"/>
        </w:rPr>
        <w:t>大门采用电动伸缩门，宽8.00m，单门暗装，不锈钢体，伸缩门门洞长3.00m，宽1.34m，高2.20m，外墙面为红色花岗岩（镜面）。</w:t>
      </w:r>
    </w:p>
    <w:p>
      <w:pPr>
        <w:ind w:firstLine="480"/>
        <w:rPr>
          <w:color w:val="auto"/>
          <w:highlight w:val="none"/>
        </w:rPr>
      </w:pPr>
      <w:r>
        <w:rPr>
          <w:rFonts w:hint="eastAsia"/>
          <w:color w:val="auto"/>
          <w:highlight w:val="none"/>
        </w:rPr>
        <w:t>围墙高2.50m，上部1.80.m采用铁艺栅栏围墙，下部0.70m采用M7.5浆砌砖结构，墙宽0.36m，基础尺寸为0.60×0.56m；每隔3.26m设一墙垛，为M7.5浆砌砖结构，墙垛尺寸为0.49×0.49×2.50m，墙垛基础深0.80m，平面尺寸为0.69×0.69m。</w:t>
      </w:r>
    </w:p>
    <w:p>
      <w:pPr>
        <w:ind w:firstLine="480"/>
        <w:rPr>
          <w:color w:val="auto"/>
          <w:highlight w:val="none"/>
        </w:rPr>
      </w:pPr>
      <w:r>
        <w:rPr>
          <w:rFonts w:hint="eastAsia"/>
          <w:color w:val="auto"/>
          <w:highlight w:val="none"/>
        </w:rPr>
        <w:t>厂区道路贯穿全厂，主要道路宽8.0m，其它道路宽6m，剩余空间全部绿化。硬化道路结构为原土夯实，上铺设30cm厚地瓜石，然后铺设18cm厚C25混凝土。</w:t>
      </w:r>
    </w:p>
    <w:p>
      <w:pPr>
        <w:ind w:firstLine="480"/>
        <w:rPr>
          <w:color w:val="auto"/>
          <w:highlight w:val="none"/>
        </w:rPr>
      </w:pPr>
      <w:r>
        <w:rPr>
          <w:rFonts w:hint="eastAsia"/>
          <w:color w:val="auto"/>
          <w:highlight w:val="none"/>
        </w:rPr>
        <w:t>11、厂区供排水系统</w:t>
      </w:r>
    </w:p>
    <w:p>
      <w:pPr>
        <w:ind w:firstLine="480"/>
        <w:rPr>
          <w:color w:val="auto"/>
          <w:highlight w:val="none"/>
        </w:rPr>
      </w:pPr>
      <w:r>
        <w:rPr>
          <w:rFonts w:hint="eastAsia"/>
          <w:color w:val="auto"/>
          <w:highlight w:val="none"/>
        </w:rPr>
        <w:t>厂区用水由清水池小型加压泵加压供给，厂区内管道采取直埋，室外管路全部采用</w:t>
      </w:r>
      <w:r>
        <w:rPr>
          <w:color w:val="auto"/>
          <w:highlight w:val="none"/>
        </w:rPr>
        <w:t>PE</w:t>
      </w:r>
      <w:r>
        <w:rPr>
          <w:rFonts w:hint="eastAsia"/>
          <w:color w:val="auto"/>
          <w:highlight w:val="none"/>
        </w:rPr>
        <w:t>管，室内均采用镀锌钢管；厂区排水分四部分：一是消毒间排水，二是清水池排水和溢水，三是生产化验以及生活污水，四是雨水及地面排水，均采用排水管最后集中排出厂区。</w:t>
      </w:r>
    </w:p>
    <w:p>
      <w:pPr>
        <w:ind w:firstLine="480"/>
        <w:rPr>
          <w:color w:val="auto"/>
          <w:highlight w:val="none"/>
        </w:rPr>
      </w:pPr>
      <w:r>
        <w:rPr>
          <w:rFonts w:hint="eastAsia"/>
          <w:color w:val="auto"/>
          <w:highlight w:val="none"/>
        </w:rPr>
        <w:t>12、厂区消防</w:t>
      </w:r>
    </w:p>
    <w:p>
      <w:pPr>
        <w:ind w:firstLine="480"/>
        <w:rPr>
          <w:color w:val="auto"/>
          <w:highlight w:val="none"/>
        </w:rPr>
      </w:pPr>
      <w:r>
        <w:rPr>
          <w:rFonts w:hint="eastAsia"/>
          <w:color w:val="auto"/>
          <w:highlight w:val="none"/>
        </w:rPr>
        <w:t>水厂内的净水构筑物是钢筋混凝土水池，多数建筑物内无易燃易爆物品，仅在加氯间和化验实有易燃化学药剂。厂区消防系统设计如下：</w:t>
      </w:r>
    </w:p>
    <w:p>
      <w:pPr>
        <w:ind w:firstLine="480"/>
        <w:rPr>
          <w:color w:val="auto"/>
          <w:highlight w:val="none"/>
        </w:rPr>
      </w:pPr>
      <w:r>
        <w:rPr>
          <w:rFonts w:hint="eastAsia" w:ascii="宋体" w:hAnsi="宋体"/>
          <w:color w:val="auto"/>
          <w:highlight w:val="none"/>
        </w:rPr>
        <w:t>①</w:t>
      </w:r>
      <w:r>
        <w:rPr>
          <w:rFonts w:hint="eastAsia"/>
          <w:color w:val="auto"/>
          <w:highlight w:val="none"/>
        </w:rPr>
        <w:t>、水厂所有建筑物按二级耐火等级设计，其墙、柱、梁、板、楼梯等均采用非燃料作材料。在总体布置上各建筑物按《建筑设计防火规范》要求，留有足够的防火间距。</w:t>
      </w:r>
    </w:p>
    <w:p>
      <w:pPr>
        <w:ind w:firstLine="480"/>
        <w:rPr>
          <w:color w:val="auto"/>
          <w:highlight w:val="none"/>
        </w:rPr>
      </w:pPr>
      <w:r>
        <w:rPr>
          <w:rFonts w:hint="eastAsia" w:ascii="宋体" w:hAnsi="宋体"/>
          <w:color w:val="auto"/>
          <w:highlight w:val="none"/>
        </w:rPr>
        <w:t>②</w:t>
      </w:r>
      <w:r>
        <w:rPr>
          <w:rFonts w:hint="eastAsia"/>
          <w:color w:val="auto"/>
          <w:highlight w:val="none"/>
        </w:rPr>
        <w:t>、室外消防栓：根据消防规范要求及强条规定设消火栓，厂内消防管径最小</w:t>
      </w:r>
      <w:r>
        <w:rPr>
          <w:color w:val="auto"/>
          <w:highlight w:val="none"/>
        </w:rPr>
        <w:t>DN100</w:t>
      </w:r>
      <w:r>
        <w:rPr>
          <w:rFonts w:hint="eastAsia"/>
          <w:color w:val="auto"/>
          <w:highlight w:val="none"/>
        </w:rPr>
        <w:t>。设计厂内给水、消防共管。消防时，停供生活用水。</w:t>
      </w:r>
    </w:p>
    <w:p>
      <w:pPr>
        <w:ind w:firstLine="480"/>
        <w:rPr>
          <w:color w:val="auto"/>
          <w:highlight w:val="none"/>
        </w:rPr>
      </w:pPr>
      <w:r>
        <w:rPr>
          <w:rFonts w:hint="eastAsia" w:ascii="宋体" w:hAnsi="宋体"/>
          <w:color w:val="auto"/>
          <w:highlight w:val="none"/>
        </w:rPr>
        <w:t>③</w:t>
      </w:r>
      <w:r>
        <w:rPr>
          <w:rFonts w:hint="eastAsia"/>
          <w:color w:val="auto"/>
          <w:highlight w:val="none"/>
        </w:rPr>
        <w:t>、消防道：水厂厂内的道路设计为环行车道。车道宽</w:t>
      </w:r>
      <w:r>
        <w:rPr>
          <w:color w:val="auto"/>
          <w:highlight w:val="none"/>
        </w:rPr>
        <w:t>5m</w:t>
      </w:r>
      <w:r>
        <w:rPr>
          <w:rFonts w:hint="eastAsia"/>
          <w:color w:val="auto"/>
          <w:highlight w:val="none"/>
        </w:rPr>
        <w:t>，可通消防车。</w:t>
      </w:r>
    </w:p>
    <w:p>
      <w:pPr>
        <w:ind w:firstLine="480"/>
        <w:rPr>
          <w:color w:val="auto"/>
          <w:highlight w:val="none"/>
        </w:rPr>
      </w:pPr>
      <w:r>
        <w:rPr>
          <w:rFonts w:hint="eastAsia" w:ascii="宋体" w:hAnsi="宋体"/>
          <w:color w:val="auto"/>
          <w:highlight w:val="none"/>
        </w:rPr>
        <w:t>④</w:t>
      </w:r>
      <w:r>
        <w:rPr>
          <w:rFonts w:hint="eastAsia"/>
          <w:color w:val="auto"/>
          <w:highlight w:val="none"/>
        </w:rPr>
        <w:t>、消防水量：各建筑物一侧布消火栓一个，服务半径</w:t>
      </w:r>
      <w:r>
        <w:rPr>
          <w:color w:val="auto"/>
          <w:highlight w:val="none"/>
        </w:rPr>
        <w:t>50m.</w:t>
      </w:r>
      <w:r>
        <w:rPr>
          <w:rFonts w:hint="eastAsia"/>
          <w:color w:val="auto"/>
          <w:highlight w:val="none"/>
        </w:rPr>
        <w:t>设一个火灾点，消防水量为</w:t>
      </w:r>
      <w:r>
        <w:rPr>
          <w:color w:val="auto"/>
          <w:highlight w:val="none"/>
        </w:rPr>
        <w:t>35L/S</w:t>
      </w:r>
      <w:r>
        <w:rPr>
          <w:rFonts w:hint="eastAsia"/>
          <w:color w:val="auto"/>
          <w:highlight w:val="none"/>
        </w:rPr>
        <w:t>。</w:t>
      </w:r>
    </w:p>
    <w:p>
      <w:pPr>
        <w:ind w:firstLine="480"/>
        <w:rPr>
          <w:color w:val="auto"/>
          <w:highlight w:val="none"/>
        </w:rPr>
      </w:pPr>
      <w:r>
        <w:rPr>
          <w:rFonts w:hint="eastAsia" w:ascii="宋体" w:hAnsi="宋体"/>
          <w:color w:val="auto"/>
          <w:highlight w:val="none"/>
        </w:rPr>
        <w:t>⑤</w:t>
      </w:r>
      <w:r>
        <w:rPr>
          <w:rFonts w:hint="eastAsia"/>
          <w:color w:val="auto"/>
          <w:highlight w:val="none"/>
        </w:rPr>
        <w:t>、建筑物室内消防措施：在建筑物内，增设手提式泡沫灭火器，放置在走道或壁挂楼梯间，易见好取，便于使用。消防电源应考虑急照明用电，应急照明电源除由低压配电系统供电外，还可通过自动切换装置，由配电间内的自流电源瓶供电，自流电源瓶应提供不少于</w:t>
      </w:r>
      <w:r>
        <w:rPr>
          <w:color w:val="auto"/>
          <w:highlight w:val="none"/>
        </w:rPr>
        <w:t>30</w:t>
      </w:r>
      <w:r>
        <w:rPr>
          <w:rFonts w:hint="eastAsia"/>
          <w:color w:val="auto"/>
          <w:highlight w:val="none"/>
        </w:rPr>
        <w:t>分钟的应急照明时间。还应设自带自流蓄电池事故自动应急灯。</w:t>
      </w:r>
    </w:p>
    <w:p>
      <w:pPr>
        <w:ind w:firstLine="480"/>
        <w:rPr>
          <w:color w:val="auto"/>
          <w:highlight w:val="none"/>
        </w:rPr>
      </w:pPr>
      <w:r>
        <w:rPr>
          <w:rFonts w:hint="eastAsia"/>
          <w:color w:val="auto"/>
          <w:highlight w:val="none"/>
        </w:rPr>
        <w:t>13、厂区防雷</w:t>
      </w:r>
    </w:p>
    <w:p>
      <w:pPr>
        <w:ind w:firstLine="480"/>
        <w:rPr>
          <w:color w:val="auto"/>
          <w:highlight w:val="none"/>
        </w:rPr>
      </w:pPr>
      <w:r>
        <w:rPr>
          <w:rFonts w:hint="eastAsia"/>
          <w:color w:val="auto"/>
          <w:highlight w:val="none"/>
        </w:rPr>
        <w:t>水厂属三类防雷建（构）筑物，建筑物设避雷带防直接雷击，高压变、配电设备装有阀型避雷器。</w:t>
      </w:r>
    </w:p>
    <w:p>
      <w:pPr>
        <w:pStyle w:val="4"/>
        <w:rPr>
          <w:color w:val="auto"/>
          <w:highlight w:val="none"/>
        </w:rPr>
      </w:pPr>
      <w:r>
        <w:rPr>
          <w:rFonts w:hint="eastAsia"/>
          <w:color w:val="auto"/>
          <w:highlight w:val="none"/>
        </w:rPr>
        <w:t>5.4.6电气设计</w:t>
      </w:r>
    </w:p>
    <w:p>
      <w:pPr>
        <w:ind w:firstLine="480"/>
        <w:rPr>
          <w:color w:val="auto"/>
          <w:highlight w:val="none"/>
        </w:rPr>
      </w:pPr>
      <w:r>
        <w:rPr>
          <w:rFonts w:hint="eastAsia"/>
          <w:color w:val="auto"/>
          <w:highlight w:val="none"/>
        </w:rPr>
        <w:t>1、设计范围和分界点</w:t>
      </w:r>
    </w:p>
    <w:p>
      <w:pPr>
        <w:ind w:firstLine="480"/>
        <w:rPr>
          <w:bCs/>
          <w:color w:val="auto"/>
          <w:highlight w:val="none"/>
        </w:rPr>
      </w:pPr>
      <w:r>
        <w:rPr>
          <w:rFonts w:hint="eastAsia"/>
          <w:bCs/>
          <w:color w:val="auto"/>
          <w:highlight w:val="none"/>
        </w:rPr>
        <w:t>（</w:t>
      </w:r>
      <w:r>
        <w:rPr>
          <w:bCs/>
          <w:color w:val="auto"/>
          <w:highlight w:val="none"/>
        </w:rPr>
        <w:t>1</w:t>
      </w:r>
      <w:r>
        <w:rPr>
          <w:rFonts w:hint="eastAsia"/>
          <w:bCs/>
          <w:color w:val="auto"/>
          <w:highlight w:val="none"/>
        </w:rPr>
        <w:t>）、工程范围内所有用电设备及建构筑物的供配电。水厂构筑物包括清水池、加氯间、水质化验室、综合管理楼、仓库、传达室等。以上构筑物均为新建。</w:t>
      </w:r>
    </w:p>
    <w:p>
      <w:pPr>
        <w:ind w:firstLine="480"/>
        <w:rPr>
          <w:color w:val="auto"/>
          <w:highlight w:val="none"/>
        </w:rPr>
      </w:pPr>
      <w:r>
        <w:rPr>
          <w:rFonts w:hint="eastAsia"/>
          <w:color w:val="auto"/>
          <w:highlight w:val="none"/>
        </w:rPr>
        <w:t>（</w:t>
      </w:r>
      <w:r>
        <w:rPr>
          <w:color w:val="auto"/>
          <w:highlight w:val="none"/>
        </w:rPr>
        <w:t>2</w:t>
      </w:r>
      <w:r>
        <w:rPr>
          <w:rFonts w:hint="eastAsia"/>
          <w:color w:val="auto"/>
          <w:highlight w:val="none"/>
        </w:rPr>
        <w:t>）、以</w:t>
      </w:r>
      <w:r>
        <w:rPr>
          <w:color w:val="auto"/>
          <w:highlight w:val="none"/>
        </w:rPr>
        <w:t>10kV</w:t>
      </w:r>
      <w:r>
        <w:rPr>
          <w:rFonts w:hint="eastAsia"/>
          <w:color w:val="auto"/>
          <w:highlight w:val="none"/>
        </w:rPr>
        <w:t>进线电缆头为设计分界点，高压进线柜内电源电缆头以内部分为本工程设计范围，进线不在本设计范围内。</w:t>
      </w:r>
    </w:p>
    <w:p>
      <w:pPr>
        <w:ind w:firstLine="480"/>
        <w:rPr>
          <w:color w:val="auto"/>
          <w:highlight w:val="none"/>
        </w:rPr>
      </w:pPr>
      <w:r>
        <w:rPr>
          <w:rFonts w:hint="eastAsia"/>
          <w:color w:val="auto"/>
          <w:highlight w:val="none"/>
        </w:rPr>
        <w:t>2、设计内容</w:t>
      </w:r>
    </w:p>
    <w:p>
      <w:pPr>
        <w:ind w:firstLine="480"/>
        <w:rPr>
          <w:bCs/>
          <w:color w:val="auto"/>
          <w:highlight w:val="none"/>
        </w:rPr>
      </w:pPr>
      <w:r>
        <w:rPr>
          <w:rFonts w:hint="eastAsia"/>
          <w:bCs/>
          <w:color w:val="auto"/>
          <w:highlight w:val="none"/>
        </w:rPr>
        <w:t>（</w:t>
      </w:r>
      <w:r>
        <w:rPr>
          <w:bCs/>
          <w:color w:val="auto"/>
          <w:highlight w:val="none"/>
        </w:rPr>
        <w:t>1</w:t>
      </w:r>
      <w:r>
        <w:rPr>
          <w:rFonts w:hint="eastAsia"/>
          <w:bCs/>
          <w:color w:val="auto"/>
          <w:highlight w:val="none"/>
        </w:rPr>
        <w:t>）、</w:t>
      </w:r>
      <w:r>
        <w:rPr>
          <w:bCs/>
          <w:color w:val="auto"/>
          <w:highlight w:val="none"/>
        </w:rPr>
        <w:t>10/0.4kV</w:t>
      </w:r>
      <w:r>
        <w:rPr>
          <w:rFonts w:hint="eastAsia"/>
          <w:bCs/>
          <w:color w:val="auto"/>
          <w:highlight w:val="none"/>
        </w:rPr>
        <w:t>配电系统设计。</w:t>
      </w:r>
    </w:p>
    <w:p>
      <w:pPr>
        <w:ind w:firstLine="480"/>
        <w:rPr>
          <w:bCs/>
          <w:color w:val="auto"/>
          <w:highlight w:val="none"/>
        </w:rPr>
      </w:pPr>
      <w:r>
        <w:rPr>
          <w:rFonts w:hint="eastAsia"/>
          <w:bCs/>
          <w:color w:val="auto"/>
          <w:highlight w:val="none"/>
        </w:rPr>
        <w:t>（</w:t>
      </w:r>
      <w:r>
        <w:rPr>
          <w:bCs/>
          <w:color w:val="auto"/>
          <w:highlight w:val="none"/>
        </w:rPr>
        <w:t>2</w:t>
      </w:r>
      <w:r>
        <w:rPr>
          <w:rFonts w:hint="eastAsia"/>
          <w:bCs/>
          <w:color w:val="auto"/>
          <w:highlight w:val="none"/>
        </w:rPr>
        <w:t>）、各用电设备的配电、控制及保护。</w:t>
      </w:r>
    </w:p>
    <w:p>
      <w:pPr>
        <w:ind w:firstLine="480"/>
        <w:rPr>
          <w:bCs/>
          <w:color w:val="auto"/>
          <w:highlight w:val="none"/>
        </w:rPr>
      </w:pPr>
      <w:r>
        <w:rPr>
          <w:rFonts w:hint="eastAsia"/>
          <w:bCs/>
          <w:color w:val="auto"/>
          <w:highlight w:val="none"/>
        </w:rPr>
        <w:t>（</w:t>
      </w:r>
      <w:r>
        <w:rPr>
          <w:bCs/>
          <w:color w:val="auto"/>
          <w:highlight w:val="none"/>
        </w:rPr>
        <w:t>3</w:t>
      </w:r>
      <w:r>
        <w:rPr>
          <w:rFonts w:hint="eastAsia"/>
          <w:bCs/>
          <w:color w:val="auto"/>
          <w:highlight w:val="none"/>
        </w:rPr>
        <w:t>）、电缆敷设设计。</w:t>
      </w:r>
    </w:p>
    <w:p>
      <w:pPr>
        <w:ind w:firstLine="480"/>
        <w:rPr>
          <w:bCs/>
          <w:color w:val="auto"/>
          <w:highlight w:val="none"/>
        </w:rPr>
      </w:pPr>
      <w:r>
        <w:rPr>
          <w:rFonts w:hint="eastAsia"/>
          <w:bCs/>
          <w:color w:val="auto"/>
          <w:highlight w:val="none"/>
        </w:rPr>
        <w:t>（4）、建构筑物照明设计。</w:t>
      </w:r>
    </w:p>
    <w:p>
      <w:pPr>
        <w:ind w:firstLine="480"/>
        <w:rPr>
          <w:color w:val="auto"/>
          <w:highlight w:val="none"/>
        </w:rPr>
      </w:pPr>
      <w:r>
        <w:rPr>
          <w:rFonts w:hint="eastAsia"/>
          <w:color w:val="auto"/>
          <w:highlight w:val="none"/>
        </w:rPr>
        <w:t>3、负荷计算</w:t>
      </w:r>
    </w:p>
    <w:p>
      <w:pPr>
        <w:ind w:firstLine="480"/>
        <w:rPr>
          <w:color w:val="auto"/>
          <w:highlight w:val="none"/>
        </w:rPr>
      </w:pPr>
      <w:r>
        <w:rPr>
          <w:rFonts w:hint="eastAsia"/>
          <w:color w:val="auto"/>
          <w:highlight w:val="none"/>
        </w:rPr>
        <w:t>本工程总装机容量1151.90kW（包括照明、非生产用电），计算负荷为951.28kW，变压器负荷率为0.8，变压器计算容量为1189.10kVA，选用箱式变压器型号为S11-1250/10。</w:t>
      </w:r>
    </w:p>
    <w:p>
      <w:pPr>
        <w:ind w:firstLine="480"/>
        <w:rPr>
          <w:color w:val="auto"/>
          <w:highlight w:val="none"/>
        </w:rPr>
      </w:pPr>
      <w:r>
        <w:rPr>
          <w:rFonts w:hint="eastAsia"/>
          <w:color w:val="auto"/>
          <w:highlight w:val="none"/>
        </w:rPr>
        <w:t>4、变配电系统</w:t>
      </w:r>
    </w:p>
    <w:p>
      <w:pPr>
        <w:ind w:firstLine="480"/>
        <w:rPr>
          <w:color w:val="auto"/>
          <w:highlight w:val="none"/>
        </w:rPr>
      </w:pPr>
      <w:r>
        <w:rPr>
          <w:color w:val="auto"/>
          <w:highlight w:val="none"/>
        </w:rPr>
        <w:t>按照《民用建筑电器设计规范》JGJ/T16-92，本供水工程用电工程确定为</w:t>
      </w:r>
      <w:r>
        <w:rPr>
          <w:rFonts w:hint="eastAsia"/>
          <w:color w:val="auto"/>
          <w:highlight w:val="none"/>
        </w:rPr>
        <w:t>二</w:t>
      </w:r>
      <w:r>
        <w:rPr>
          <w:color w:val="auto"/>
          <w:highlight w:val="none"/>
        </w:rPr>
        <w:t>级建筑物，电力负荷确定为</w:t>
      </w:r>
      <w:r>
        <w:rPr>
          <w:rFonts w:hint="eastAsia"/>
          <w:color w:val="auto"/>
          <w:highlight w:val="none"/>
        </w:rPr>
        <w:t>二</w:t>
      </w:r>
      <w:r>
        <w:rPr>
          <w:color w:val="auto"/>
          <w:highlight w:val="none"/>
        </w:rPr>
        <w:t>级负荷。水厂供电</w:t>
      </w:r>
      <w:r>
        <w:rPr>
          <w:rFonts w:hint="eastAsia"/>
          <w:color w:val="auto"/>
          <w:highlight w:val="none"/>
        </w:rPr>
        <w:t>就近从</w:t>
      </w:r>
      <w:r>
        <w:rPr>
          <w:color w:val="auto"/>
          <w:highlight w:val="none"/>
        </w:rPr>
        <w:t>10kv农用线路T接引入。</w:t>
      </w:r>
    </w:p>
    <w:p>
      <w:pPr>
        <w:ind w:firstLine="480"/>
        <w:rPr>
          <w:color w:val="auto"/>
          <w:highlight w:val="none"/>
        </w:rPr>
      </w:pPr>
      <w:r>
        <w:rPr>
          <w:rFonts w:hint="eastAsia"/>
          <w:color w:val="auto"/>
          <w:highlight w:val="none"/>
        </w:rPr>
        <w:t>5、电缆选型及敷设</w:t>
      </w:r>
    </w:p>
    <w:p>
      <w:pPr>
        <w:ind w:firstLine="480"/>
        <w:rPr>
          <w:color w:val="auto"/>
          <w:highlight w:val="none"/>
        </w:rPr>
      </w:pPr>
      <w:r>
        <w:rPr>
          <w:rFonts w:hint="eastAsia"/>
          <w:color w:val="auto"/>
          <w:highlight w:val="none"/>
        </w:rPr>
        <w:t>电缆按技术先进，经济合理，安全适用，便于施工和维护的原则进行设计。其中</w:t>
      </w:r>
      <w:r>
        <w:rPr>
          <w:color w:val="auto"/>
          <w:highlight w:val="none"/>
        </w:rPr>
        <w:t>10kV</w:t>
      </w:r>
      <w:r>
        <w:rPr>
          <w:rFonts w:hint="eastAsia"/>
          <w:color w:val="auto"/>
          <w:highlight w:val="none"/>
        </w:rPr>
        <w:t>电缆根据设备额定电流、电压偏差在</w:t>
      </w:r>
      <w:r>
        <w:rPr>
          <w:color w:val="auto"/>
          <w:highlight w:val="none"/>
        </w:rPr>
        <w:t>10%</w:t>
      </w:r>
      <w:r>
        <w:rPr>
          <w:rFonts w:hint="eastAsia"/>
          <w:color w:val="auto"/>
          <w:highlight w:val="none"/>
        </w:rPr>
        <w:t>内确定电缆截面，并进行热稳定性校验；低压动力电缆根据设备容量额定电流，并按电机运行时电压降在</w:t>
      </w:r>
      <w:r>
        <w:rPr>
          <w:color w:val="auto"/>
          <w:highlight w:val="none"/>
        </w:rPr>
        <w:t>5%</w:t>
      </w:r>
      <w:r>
        <w:rPr>
          <w:rFonts w:hint="eastAsia"/>
          <w:color w:val="auto"/>
          <w:highlight w:val="none"/>
        </w:rPr>
        <w:t>内选择电缆截面，</w:t>
      </w:r>
      <w:r>
        <w:rPr>
          <w:color w:val="auto"/>
          <w:highlight w:val="none"/>
        </w:rPr>
        <w:t>10kV</w:t>
      </w:r>
      <w:r>
        <w:rPr>
          <w:rFonts w:hint="eastAsia"/>
          <w:color w:val="auto"/>
          <w:highlight w:val="none"/>
        </w:rPr>
        <w:t>选用铜芯交联聚乙烯绝缘电缆，</w:t>
      </w:r>
      <w:r>
        <w:rPr>
          <w:color w:val="auto"/>
          <w:highlight w:val="none"/>
        </w:rPr>
        <w:t>0.4kV</w:t>
      </w:r>
      <w:r>
        <w:rPr>
          <w:rFonts w:hint="eastAsia"/>
          <w:color w:val="auto"/>
          <w:highlight w:val="none"/>
        </w:rPr>
        <w:t>选用铜芯交联聚乙烯绝缘电缆。</w:t>
      </w:r>
    </w:p>
    <w:p>
      <w:pPr>
        <w:ind w:firstLine="480"/>
        <w:rPr>
          <w:color w:val="auto"/>
          <w:highlight w:val="none"/>
        </w:rPr>
      </w:pPr>
      <w:r>
        <w:rPr>
          <w:rFonts w:hint="eastAsia"/>
          <w:color w:val="auto"/>
          <w:highlight w:val="none"/>
        </w:rPr>
        <w:t>室外电缆敷设根据现场情况采用电缆沟敷设、穿热镀锌钢管敷设及直埋敷设的方式，室内在电缆沟内沿角钢支架敷设或沿桥架敷设。</w:t>
      </w:r>
    </w:p>
    <w:p>
      <w:pPr>
        <w:ind w:firstLine="480"/>
        <w:rPr>
          <w:color w:val="auto"/>
          <w:highlight w:val="none"/>
        </w:rPr>
      </w:pPr>
      <w:r>
        <w:rPr>
          <w:rFonts w:hint="eastAsia"/>
          <w:color w:val="auto"/>
          <w:highlight w:val="none"/>
        </w:rPr>
        <w:t>6、接地和防雷</w:t>
      </w:r>
    </w:p>
    <w:p>
      <w:pPr>
        <w:ind w:firstLine="480"/>
        <w:rPr>
          <w:color w:val="auto"/>
          <w:highlight w:val="none"/>
        </w:rPr>
      </w:pPr>
      <w:r>
        <w:rPr>
          <w:rFonts w:hint="eastAsia"/>
          <w:color w:val="auto"/>
          <w:highlight w:val="none"/>
        </w:rPr>
        <w:t>水厂属三类防雷建（构）筑物，建筑物设避雷带防直接雷击，高压变、配电设备装有阀型避雷器。</w:t>
      </w:r>
    </w:p>
    <w:p>
      <w:pPr>
        <w:ind w:firstLine="480"/>
        <w:rPr>
          <w:bCs/>
          <w:color w:val="auto"/>
          <w:highlight w:val="none"/>
        </w:rPr>
      </w:pPr>
      <w:r>
        <w:rPr>
          <w:rFonts w:hint="eastAsia"/>
          <w:bCs/>
          <w:color w:val="auto"/>
          <w:highlight w:val="none"/>
        </w:rPr>
        <w:t>（</w:t>
      </w:r>
      <w:r>
        <w:rPr>
          <w:bCs/>
          <w:color w:val="auto"/>
          <w:highlight w:val="none"/>
        </w:rPr>
        <w:t>1</w:t>
      </w:r>
      <w:r>
        <w:rPr>
          <w:rFonts w:hint="eastAsia"/>
          <w:bCs/>
          <w:color w:val="auto"/>
          <w:highlight w:val="none"/>
        </w:rPr>
        <w:t>）接地</w:t>
      </w:r>
    </w:p>
    <w:p>
      <w:pPr>
        <w:ind w:firstLine="480"/>
        <w:rPr>
          <w:bCs/>
          <w:color w:val="auto"/>
          <w:highlight w:val="none"/>
        </w:rPr>
      </w:pPr>
      <w:r>
        <w:rPr>
          <w:rFonts w:hint="eastAsia"/>
          <w:bCs/>
          <w:color w:val="auto"/>
          <w:highlight w:val="none"/>
        </w:rPr>
        <w:t>本工程</w:t>
      </w:r>
      <w:r>
        <w:rPr>
          <w:bCs/>
          <w:color w:val="auto"/>
          <w:highlight w:val="none"/>
        </w:rPr>
        <w:t>380/220V</w:t>
      </w:r>
      <w:r>
        <w:rPr>
          <w:rFonts w:hint="eastAsia"/>
          <w:bCs/>
          <w:color w:val="auto"/>
          <w:highlight w:val="none"/>
        </w:rPr>
        <w:t>采用</w:t>
      </w:r>
      <w:r>
        <w:rPr>
          <w:bCs/>
          <w:color w:val="auto"/>
          <w:highlight w:val="none"/>
        </w:rPr>
        <w:t>TN-S</w:t>
      </w:r>
      <w:r>
        <w:rPr>
          <w:rFonts w:hint="eastAsia"/>
          <w:bCs/>
          <w:color w:val="auto"/>
          <w:highlight w:val="none"/>
        </w:rPr>
        <w:t>制接地保护方式。采用共同接地装置，等电位连接，接地电阻</w:t>
      </w:r>
      <w:r>
        <w:rPr>
          <w:bCs/>
          <w:color w:val="auto"/>
          <w:highlight w:val="none"/>
        </w:rPr>
        <w:t>≤1Ω</w:t>
      </w:r>
      <w:r>
        <w:rPr>
          <w:rFonts w:hint="eastAsia"/>
          <w:bCs/>
          <w:color w:val="auto"/>
          <w:highlight w:val="none"/>
        </w:rPr>
        <w:t>。</w:t>
      </w:r>
    </w:p>
    <w:p>
      <w:pPr>
        <w:ind w:firstLine="480"/>
        <w:rPr>
          <w:bCs/>
          <w:color w:val="auto"/>
          <w:highlight w:val="none"/>
        </w:rPr>
      </w:pPr>
      <w:r>
        <w:rPr>
          <w:rFonts w:hint="eastAsia"/>
          <w:bCs/>
          <w:color w:val="auto"/>
          <w:highlight w:val="none"/>
        </w:rPr>
        <w:t>（</w:t>
      </w:r>
      <w:r>
        <w:rPr>
          <w:bCs/>
          <w:color w:val="auto"/>
          <w:highlight w:val="none"/>
        </w:rPr>
        <w:t>2</w:t>
      </w:r>
      <w:r>
        <w:rPr>
          <w:rFonts w:hint="eastAsia"/>
          <w:bCs/>
          <w:color w:val="auto"/>
          <w:highlight w:val="none"/>
        </w:rPr>
        <w:t>）防雷保护考虑防直击雷和防雷电波侵入二种措施。</w:t>
      </w:r>
    </w:p>
    <w:p>
      <w:pPr>
        <w:ind w:firstLine="480"/>
        <w:rPr>
          <w:bCs/>
          <w:color w:val="auto"/>
          <w:highlight w:val="none"/>
        </w:rPr>
      </w:pPr>
      <w:r>
        <w:rPr>
          <w:bCs/>
          <w:color w:val="auto"/>
          <w:highlight w:val="none"/>
        </w:rPr>
        <w:t>1</w:t>
      </w:r>
      <w:r>
        <w:rPr>
          <w:rFonts w:hint="eastAsia"/>
          <w:bCs/>
          <w:color w:val="auto"/>
          <w:highlight w:val="none"/>
        </w:rPr>
        <w:t>）防直击雷保护</w:t>
      </w:r>
    </w:p>
    <w:p>
      <w:pPr>
        <w:ind w:firstLine="480"/>
        <w:rPr>
          <w:bCs/>
          <w:color w:val="auto"/>
          <w:highlight w:val="none"/>
        </w:rPr>
      </w:pPr>
      <w:r>
        <w:rPr>
          <w:rFonts w:hint="eastAsia"/>
          <w:bCs/>
          <w:color w:val="auto"/>
          <w:highlight w:val="none"/>
        </w:rPr>
        <w:t>凡构筑物的年预计雷击次数≧</w:t>
      </w:r>
      <w:r>
        <w:rPr>
          <w:bCs/>
          <w:color w:val="auto"/>
          <w:highlight w:val="none"/>
        </w:rPr>
        <w:t>0.05</w:t>
      </w:r>
      <w:r>
        <w:rPr>
          <w:rFonts w:hint="eastAsia"/>
          <w:bCs/>
          <w:color w:val="auto"/>
          <w:highlight w:val="none"/>
        </w:rPr>
        <w:t>及重要建筑物均设置避雷装置。</w:t>
      </w:r>
    </w:p>
    <w:p>
      <w:pPr>
        <w:ind w:firstLine="480"/>
        <w:rPr>
          <w:bCs/>
          <w:color w:val="auto"/>
          <w:highlight w:val="none"/>
        </w:rPr>
      </w:pPr>
      <w:r>
        <w:rPr>
          <w:bCs/>
          <w:color w:val="auto"/>
          <w:highlight w:val="none"/>
        </w:rPr>
        <w:t>2</w:t>
      </w:r>
      <w:r>
        <w:rPr>
          <w:rFonts w:hint="eastAsia"/>
          <w:bCs/>
          <w:color w:val="auto"/>
          <w:highlight w:val="none"/>
        </w:rPr>
        <w:t>）防感应雷保护</w:t>
      </w:r>
    </w:p>
    <w:p>
      <w:pPr>
        <w:ind w:firstLine="480"/>
        <w:rPr>
          <w:bCs/>
          <w:color w:val="auto"/>
          <w:highlight w:val="none"/>
        </w:rPr>
      </w:pPr>
      <w:r>
        <w:rPr>
          <w:bCs/>
          <w:color w:val="auto"/>
          <w:highlight w:val="none"/>
        </w:rPr>
        <w:t>10kV</w:t>
      </w:r>
      <w:r>
        <w:rPr>
          <w:rFonts w:hint="eastAsia"/>
          <w:bCs/>
          <w:color w:val="auto"/>
          <w:highlight w:val="none"/>
        </w:rPr>
        <w:t>进线装设避雷器防止过电压，</w:t>
      </w:r>
      <w:r>
        <w:rPr>
          <w:bCs/>
          <w:color w:val="auto"/>
          <w:highlight w:val="none"/>
        </w:rPr>
        <w:t>0.4kV</w:t>
      </w:r>
      <w:r>
        <w:rPr>
          <w:rFonts w:hint="eastAsia"/>
          <w:bCs/>
          <w:color w:val="auto"/>
          <w:highlight w:val="none"/>
        </w:rPr>
        <w:t>配电系统分级设置电涌保护器，抑制过电压，保护人员及弱电设备的安全。</w:t>
      </w:r>
    </w:p>
    <w:p>
      <w:pPr>
        <w:ind w:firstLine="480"/>
        <w:rPr>
          <w:bCs/>
          <w:color w:val="auto"/>
          <w:highlight w:val="none"/>
        </w:rPr>
      </w:pPr>
      <w:r>
        <w:rPr>
          <w:rFonts w:hint="eastAsia"/>
          <w:bCs/>
          <w:color w:val="auto"/>
          <w:highlight w:val="none"/>
        </w:rPr>
        <w:t>7、电气传动及控制系统设计</w:t>
      </w:r>
    </w:p>
    <w:p>
      <w:pPr>
        <w:ind w:firstLine="480"/>
        <w:rPr>
          <w:color w:val="auto"/>
          <w:highlight w:val="none"/>
        </w:rPr>
      </w:pPr>
      <w:r>
        <w:rPr>
          <w:rFonts w:hint="eastAsia"/>
          <w:color w:val="auto"/>
          <w:highlight w:val="none"/>
        </w:rPr>
        <w:t>水泵采用现场机旁控制和PLC远程控制。在机旁设置现场按钮箱，在按钮箱面板设有控制方式选择开关（就地、自动），自动时由PLC自动控制，手动时可在现场按钮箱上实施手动控制，手动控制仅在系统和设备调试时使用，正常运行时均由PLC自动控制。</w:t>
      </w:r>
    </w:p>
    <w:p>
      <w:pPr>
        <w:ind w:firstLine="480"/>
        <w:rPr>
          <w:color w:val="auto"/>
          <w:highlight w:val="none"/>
        </w:rPr>
      </w:pPr>
      <w:r>
        <w:rPr>
          <w:rFonts w:hint="eastAsia"/>
          <w:color w:val="auto"/>
          <w:highlight w:val="none"/>
        </w:rPr>
        <w:t>加氯间的设备采用现场控制柜控制，控制柜由工艺设备厂家配套提供。在控制柜上设“就地—自动”控制选择开关，自动时由PLC控制，手动时可在控制箱上实施手动控制，手动控制仅在系统和设备调试时使用，正常运行时均由PLC自动控制。</w:t>
      </w:r>
    </w:p>
    <w:p>
      <w:pPr>
        <w:ind w:firstLine="480"/>
        <w:rPr>
          <w:color w:val="auto"/>
          <w:highlight w:val="none"/>
        </w:rPr>
      </w:pPr>
      <w:r>
        <w:rPr>
          <w:rFonts w:hint="eastAsia"/>
          <w:color w:val="auto"/>
          <w:highlight w:val="none"/>
        </w:rPr>
        <w:t>8、照明</w:t>
      </w:r>
    </w:p>
    <w:p>
      <w:pPr>
        <w:ind w:firstLine="480"/>
        <w:rPr>
          <w:bCs/>
          <w:color w:val="auto"/>
          <w:highlight w:val="none"/>
        </w:rPr>
      </w:pPr>
      <w:r>
        <w:rPr>
          <w:rFonts w:hint="eastAsia"/>
          <w:bCs/>
          <w:color w:val="auto"/>
          <w:highlight w:val="none"/>
        </w:rPr>
        <w:t>建筑物内设置一般功能性照明，另在综合楼、控制室等设置事故应急照明。照度标准满足规范要求。显色指数和眩光控制满足人员工作、设备巡检和维护要求。其中控制室、变电站事故照明时间不低于</w:t>
      </w:r>
      <w:r>
        <w:rPr>
          <w:bCs/>
          <w:color w:val="auto"/>
          <w:highlight w:val="none"/>
        </w:rPr>
        <w:t>1h</w:t>
      </w:r>
      <w:r>
        <w:rPr>
          <w:rFonts w:hint="eastAsia"/>
          <w:bCs/>
          <w:color w:val="auto"/>
          <w:highlight w:val="none"/>
        </w:rPr>
        <w:t>，综合楼的应急照明时间不低于</w:t>
      </w:r>
      <w:r>
        <w:rPr>
          <w:bCs/>
          <w:color w:val="auto"/>
          <w:highlight w:val="none"/>
        </w:rPr>
        <w:t>0.5h</w:t>
      </w:r>
      <w:r>
        <w:rPr>
          <w:rFonts w:hint="eastAsia"/>
          <w:bCs/>
          <w:color w:val="auto"/>
          <w:highlight w:val="none"/>
        </w:rPr>
        <w:t>。应急照明采用自带蓄电池作后备电源的灯具。</w:t>
      </w:r>
    </w:p>
    <w:p>
      <w:pPr>
        <w:ind w:firstLine="480"/>
        <w:rPr>
          <w:bCs/>
          <w:color w:val="auto"/>
          <w:highlight w:val="none"/>
        </w:rPr>
      </w:pPr>
      <w:r>
        <w:rPr>
          <w:rFonts w:hint="eastAsia"/>
          <w:bCs/>
          <w:color w:val="auto"/>
          <w:highlight w:val="none"/>
        </w:rPr>
        <w:t>室外道路照明采用庭院灯，光源为节能灯。</w:t>
      </w:r>
    </w:p>
    <w:p>
      <w:pPr>
        <w:ind w:firstLine="480"/>
        <w:rPr>
          <w:bCs/>
          <w:color w:val="auto"/>
          <w:highlight w:val="none"/>
        </w:rPr>
      </w:pPr>
      <w:r>
        <w:rPr>
          <w:rFonts w:hint="eastAsia"/>
          <w:bCs/>
          <w:color w:val="auto"/>
          <w:highlight w:val="none"/>
        </w:rPr>
        <w:t>由照明配电箱为各单元照明供电。</w:t>
      </w:r>
    </w:p>
    <w:p>
      <w:pPr>
        <w:ind w:firstLine="480"/>
        <w:rPr>
          <w:bCs/>
          <w:color w:val="auto"/>
          <w:highlight w:val="none"/>
        </w:rPr>
      </w:pPr>
      <w:r>
        <w:rPr>
          <w:rFonts w:hint="eastAsia"/>
          <w:bCs/>
          <w:color w:val="auto"/>
          <w:highlight w:val="none"/>
        </w:rPr>
        <w:t>照明灯具均选用高效、节能型、显色指数符合要求的光源，实现绿色照明。</w:t>
      </w:r>
    </w:p>
    <w:p>
      <w:pPr>
        <w:pStyle w:val="4"/>
        <w:rPr>
          <w:color w:val="auto"/>
          <w:highlight w:val="none"/>
        </w:rPr>
      </w:pPr>
      <w:r>
        <w:rPr>
          <w:rFonts w:hint="eastAsia"/>
          <w:color w:val="auto"/>
          <w:highlight w:val="none"/>
        </w:rPr>
        <w:t>5.4.7水厂信息化中心</w:t>
      </w:r>
    </w:p>
    <w:p>
      <w:pPr>
        <w:ind w:firstLine="480"/>
        <w:rPr>
          <w:color w:val="auto"/>
          <w:highlight w:val="none"/>
        </w:rPr>
      </w:pPr>
      <w:r>
        <w:rPr>
          <w:rFonts w:hint="eastAsia"/>
          <w:color w:val="auto"/>
          <w:highlight w:val="none"/>
        </w:rPr>
        <w:t>水厂信息化中心控制室设在管理楼中，主要有监控设备、微机、投影仪等，在控制室内实现对一二级水泵、消毒设备、压力、流量的远程控制，对清水池水位、供水点的压力、供水量、水质实时远程监测。</w:t>
      </w:r>
    </w:p>
    <w:p>
      <w:pPr>
        <w:ind w:firstLine="480"/>
        <w:rPr>
          <w:rFonts w:ascii="宋体" w:hAnsi="宋体"/>
          <w:color w:val="auto"/>
          <w:highlight w:val="none"/>
        </w:rPr>
      </w:pPr>
      <w:r>
        <w:rPr>
          <w:rFonts w:hint="eastAsia"/>
          <w:color w:val="auto"/>
          <w:highlight w:val="none"/>
        </w:rPr>
        <w:t>1、</w:t>
      </w:r>
      <w:r>
        <w:rPr>
          <w:rFonts w:hint="eastAsia" w:ascii="宋体" w:hAnsi="宋体"/>
          <w:color w:val="auto"/>
          <w:highlight w:val="none"/>
        </w:rPr>
        <w:t>水厂监控系统结构</w:t>
      </w:r>
    </w:p>
    <w:p>
      <w:pPr>
        <w:ind w:firstLine="480"/>
        <w:rPr>
          <w:rFonts w:ascii="宋体" w:hAnsi="宋体"/>
          <w:color w:val="auto"/>
          <w:highlight w:val="none"/>
        </w:rPr>
      </w:pPr>
      <w:r>
        <w:rPr>
          <w:rFonts w:hint="eastAsia" w:ascii="宋体" w:hAnsi="宋体"/>
          <w:color w:val="auto"/>
          <w:highlight w:val="none"/>
        </w:rPr>
        <w:t>水厂测控系统结构及设备如下图所示：</w:t>
      </w:r>
    </w:p>
    <w:p>
      <w:pPr>
        <w:ind w:firstLine="0" w:firstLineChars="0"/>
        <w:jc w:val="center"/>
        <w:rPr>
          <w:color w:val="auto"/>
          <w:highlight w:val="none"/>
        </w:rPr>
      </w:pPr>
      <w:r>
        <w:rPr>
          <w:rFonts w:ascii="宋体" w:hAnsi="宋体"/>
          <w:color w:val="auto"/>
          <w:highlight w:val="none"/>
        </w:rPr>
        <w:drawing>
          <wp:inline distT="0" distB="0" distL="0" distR="0">
            <wp:extent cx="3460750" cy="248158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465279" cy="2485327"/>
                    </a:xfrm>
                    <a:prstGeom prst="rect">
                      <a:avLst/>
                    </a:prstGeom>
                    <a:noFill/>
                    <a:ln>
                      <a:noFill/>
                    </a:ln>
                  </pic:spPr>
                </pic:pic>
              </a:graphicData>
            </a:graphic>
          </wp:inline>
        </w:drawing>
      </w:r>
    </w:p>
    <w:p>
      <w:pPr>
        <w:ind w:firstLine="482"/>
        <w:jc w:val="center"/>
        <w:rPr>
          <w:color w:val="auto"/>
          <w:highlight w:val="none"/>
        </w:rPr>
      </w:pPr>
      <w:r>
        <w:rPr>
          <w:rFonts w:hint="eastAsia"/>
          <w:b/>
          <w:color w:val="auto"/>
          <w:highlight w:val="none"/>
        </w:rPr>
        <w:t xml:space="preserve">图5.4-1  </w:t>
      </w:r>
      <w:r>
        <w:rPr>
          <w:rFonts w:hint="eastAsia" w:ascii="宋体" w:hAnsi="宋体"/>
          <w:b/>
          <w:color w:val="auto"/>
          <w:highlight w:val="none"/>
        </w:rPr>
        <w:t>水厂测控系统结构图</w:t>
      </w:r>
    </w:p>
    <w:p>
      <w:pPr>
        <w:ind w:firstLine="480"/>
        <w:rPr>
          <w:color w:val="auto"/>
          <w:highlight w:val="none"/>
        </w:rPr>
      </w:pPr>
      <w:r>
        <w:rPr>
          <w:rFonts w:hint="eastAsia"/>
          <w:color w:val="auto"/>
          <w:highlight w:val="none"/>
        </w:rPr>
        <w:t>（1）水厂相关设备</w:t>
      </w:r>
    </w:p>
    <w:p>
      <w:pPr>
        <w:ind w:firstLine="480"/>
        <w:rPr>
          <w:color w:val="auto"/>
          <w:highlight w:val="none"/>
        </w:rPr>
      </w:pPr>
      <w:r>
        <w:rPr>
          <w:rFonts w:hint="eastAsia"/>
          <w:color w:val="auto"/>
          <w:highlight w:val="none"/>
        </w:rPr>
        <w:t>主要相关设备包括：PLC、变频器、电量变送模块、液位计、压力计、流量计、余氯分析仪等。</w:t>
      </w:r>
    </w:p>
    <w:p>
      <w:pPr>
        <w:ind w:firstLine="480"/>
        <w:rPr>
          <w:color w:val="auto"/>
          <w:highlight w:val="none"/>
        </w:rPr>
      </w:pPr>
      <w:r>
        <w:rPr>
          <w:rFonts w:hint="eastAsia"/>
          <w:color w:val="auto"/>
          <w:highlight w:val="none"/>
        </w:rPr>
        <w:t>（2）通讯方式</w:t>
      </w:r>
    </w:p>
    <w:p>
      <w:pPr>
        <w:ind w:firstLine="480"/>
        <w:rPr>
          <w:color w:val="auto"/>
          <w:highlight w:val="none"/>
        </w:rPr>
      </w:pPr>
      <w:r>
        <w:rPr>
          <w:rFonts w:hint="eastAsia"/>
          <w:color w:val="auto"/>
          <w:highlight w:val="none"/>
        </w:rPr>
        <w:t>计算机与PLC测控站采用工业以太网通讯方式。</w:t>
      </w:r>
    </w:p>
    <w:p>
      <w:pPr>
        <w:ind w:firstLine="480"/>
        <w:rPr>
          <w:color w:val="auto"/>
          <w:highlight w:val="none"/>
        </w:rPr>
      </w:pPr>
      <w:r>
        <w:rPr>
          <w:rFonts w:hint="eastAsia"/>
          <w:color w:val="auto"/>
          <w:highlight w:val="none"/>
        </w:rPr>
        <w:t>PLC测控站与现场仪表采用标准工业通讯总线或4~20mA标准信号进行数据采集。</w:t>
      </w:r>
    </w:p>
    <w:p>
      <w:pPr>
        <w:ind w:firstLine="480"/>
        <w:rPr>
          <w:color w:val="auto"/>
          <w:highlight w:val="none"/>
        </w:rPr>
      </w:pPr>
      <w:r>
        <w:rPr>
          <w:rFonts w:hint="eastAsia"/>
          <w:color w:val="auto"/>
          <w:highlight w:val="none"/>
        </w:rPr>
        <w:t>2、水厂监测内容</w:t>
      </w:r>
    </w:p>
    <w:p>
      <w:pPr>
        <w:ind w:firstLine="480"/>
        <w:rPr>
          <w:color w:val="auto"/>
          <w:highlight w:val="none"/>
        </w:rPr>
      </w:pPr>
      <w:r>
        <w:rPr>
          <w:rFonts w:hint="eastAsia"/>
          <w:color w:val="auto"/>
          <w:highlight w:val="none"/>
        </w:rPr>
        <w:t>（1）水厂遥测数据：</w:t>
      </w:r>
    </w:p>
    <w:p>
      <w:pPr>
        <w:ind w:firstLine="480"/>
        <w:rPr>
          <w:rFonts w:ascii="宋体" w:hAnsi="宋体"/>
          <w:color w:val="auto"/>
          <w:highlight w:val="none"/>
        </w:rPr>
      </w:pPr>
      <w:r>
        <w:rPr>
          <w:rFonts w:ascii="宋体" w:hAnsi="宋体"/>
          <w:color w:val="auto"/>
          <w:highlight w:val="none"/>
        </w:rPr>
        <w:fldChar w:fldCharType="begin"/>
      </w:r>
      <w:r>
        <w:rPr>
          <w:rFonts w:ascii="宋体" w:hAnsi="宋体"/>
          <w:color w:val="auto"/>
          <w:highlight w:val="none"/>
        </w:rPr>
        <w:instrText xml:space="preserve"> </w:instrText>
      </w:r>
      <w:r>
        <w:rPr>
          <w:rFonts w:hint="eastAsia" w:ascii="宋体" w:hAnsi="宋体"/>
          <w:color w:val="auto"/>
          <w:highlight w:val="none"/>
        </w:rPr>
        <w:instrText xml:space="preserve">= 1 \* GB3</w:instrText>
      </w:r>
      <w:r>
        <w:rPr>
          <w:rFonts w:ascii="宋体" w:hAnsi="宋体"/>
          <w:color w:val="auto"/>
          <w:highlight w:val="none"/>
        </w:rPr>
        <w:instrText xml:space="preserve"> </w:instrText>
      </w:r>
      <w:r>
        <w:rPr>
          <w:rFonts w:ascii="宋体" w:hAnsi="宋体"/>
          <w:color w:val="auto"/>
          <w:highlight w:val="none"/>
        </w:rPr>
        <w:fldChar w:fldCharType="separate"/>
      </w:r>
      <w:r>
        <w:rPr>
          <w:rFonts w:hint="eastAsia" w:ascii="宋体" w:hAnsi="宋体"/>
          <w:color w:val="auto"/>
          <w:highlight w:val="none"/>
        </w:rPr>
        <w:t>①</w:t>
      </w:r>
      <w:r>
        <w:rPr>
          <w:rFonts w:ascii="宋体" w:hAnsi="宋体"/>
          <w:color w:val="auto"/>
          <w:highlight w:val="none"/>
        </w:rPr>
        <w:fldChar w:fldCharType="end"/>
      </w:r>
      <w:r>
        <w:rPr>
          <w:rFonts w:ascii="宋体" w:hAnsi="宋体"/>
          <w:color w:val="auto"/>
          <w:highlight w:val="none"/>
        </w:rPr>
        <w:t>加压水泵电机的</w:t>
      </w:r>
      <w:r>
        <w:rPr>
          <w:rFonts w:hint="eastAsia" w:ascii="宋体" w:hAnsi="宋体"/>
          <w:color w:val="auto"/>
          <w:highlight w:val="none"/>
        </w:rPr>
        <w:t>三相电压、三相电流、总电量</w:t>
      </w:r>
      <w:r>
        <w:rPr>
          <w:rFonts w:ascii="宋体" w:hAnsi="宋体"/>
          <w:color w:val="auto"/>
          <w:highlight w:val="none"/>
        </w:rPr>
        <w:t>。</w:t>
      </w:r>
    </w:p>
    <w:p>
      <w:pPr>
        <w:ind w:firstLine="480"/>
        <w:rPr>
          <w:rFonts w:ascii="宋体" w:hAnsi="宋体"/>
          <w:color w:val="auto"/>
          <w:highlight w:val="none"/>
        </w:rPr>
      </w:pPr>
      <w:r>
        <w:rPr>
          <w:rFonts w:ascii="宋体" w:hAnsi="宋体"/>
          <w:color w:val="auto"/>
          <w:highlight w:val="none"/>
        </w:rPr>
        <w:fldChar w:fldCharType="begin"/>
      </w:r>
      <w:r>
        <w:rPr>
          <w:rFonts w:ascii="宋体" w:hAnsi="宋体"/>
          <w:color w:val="auto"/>
          <w:highlight w:val="none"/>
        </w:rPr>
        <w:instrText xml:space="preserve"> </w:instrText>
      </w:r>
      <w:r>
        <w:rPr>
          <w:rFonts w:hint="eastAsia" w:ascii="宋体" w:hAnsi="宋体"/>
          <w:color w:val="auto"/>
          <w:highlight w:val="none"/>
        </w:rPr>
        <w:instrText xml:space="preserve">= 2 \* GB3</w:instrText>
      </w:r>
      <w:r>
        <w:rPr>
          <w:rFonts w:ascii="宋体" w:hAnsi="宋体"/>
          <w:color w:val="auto"/>
          <w:highlight w:val="none"/>
        </w:rPr>
        <w:instrText xml:space="preserve"> </w:instrText>
      </w:r>
      <w:r>
        <w:rPr>
          <w:rFonts w:ascii="宋体" w:hAnsi="宋体"/>
          <w:color w:val="auto"/>
          <w:highlight w:val="none"/>
        </w:rPr>
        <w:fldChar w:fldCharType="separate"/>
      </w:r>
      <w:r>
        <w:rPr>
          <w:rFonts w:hint="eastAsia" w:ascii="宋体" w:hAnsi="宋体"/>
          <w:color w:val="auto"/>
          <w:highlight w:val="none"/>
        </w:rPr>
        <w:t>②</w:t>
      </w:r>
      <w:r>
        <w:rPr>
          <w:rFonts w:ascii="宋体" w:hAnsi="宋体"/>
          <w:color w:val="auto"/>
          <w:highlight w:val="none"/>
        </w:rPr>
        <w:fldChar w:fldCharType="end"/>
      </w:r>
      <w:r>
        <w:rPr>
          <w:rFonts w:ascii="宋体" w:hAnsi="宋体"/>
          <w:color w:val="auto"/>
          <w:highlight w:val="none"/>
        </w:rPr>
        <w:t>出水管道的出</w:t>
      </w:r>
      <w:r>
        <w:rPr>
          <w:rFonts w:hint="eastAsia" w:ascii="宋体" w:hAnsi="宋体"/>
          <w:color w:val="auto"/>
          <w:highlight w:val="none"/>
        </w:rPr>
        <w:t>口</w:t>
      </w:r>
      <w:r>
        <w:rPr>
          <w:rFonts w:ascii="宋体" w:hAnsi="宋体"/>
          <w:color w:val="auto"/>
          <w:highlight w:val="none"/>
        </w:rPr>
        <w:t>压力、</w:t>
      </w:r>
      <w:r>
        <w:rPr>
          <w:rFonts w:hint="eastAsia" w:ascii="宋体" w:hAnsi="宋体"/>
          <w:color w:val="auto"/>
          <w:highlight w:val="none"/>
        </w:rPr>
        <w:t>瞬时</w:t>
      </w:r>
      <w:r>
        <w:rPr>
          <w:rFonts w:ascii="宋体" w:hAnsi="宋体"/>
          <w:color w:val="auto"/>
          <w:highlight w:val="none"/>
        </w:rPr>
        <w:t>流量</w:t>
      </w:r>
      <w:r>
        <w:rPr>
          <w:rFonts w:hint="eastAsia" w:ascii="宋体" w:hAnsi="宋体"/>
          <w:color w:val="auto"/>
          <w:highlight w:val="none"/>
        </w:rPr>
        <w:t>、累积流量</w:t>
      </w:r>
      <w:r>
        <w:rPr>
          <w:rFonts w:ascii="宋体" w:hAnsi="宋体"/>
          <w:color w:val="auto"/>
          <w:highlight w:val="none"/>
        </w:rPr>
        <w:t>。</w:t>
      </w:r>
    </w:p>
    <w:p>
      <w:pPr>
        <w:ind w:firstLine="480"/>
        <w:rPr>
          <w:rFonts w:ascii="宋体" w:hAnsi="宋体"/>
          <w:color w:val="auto"/>
          <w:highlight w:val="none"/>
        </w:rPr>
      </w:pPr>
      <w:r>
        <w:rPr>
          <w:rFonts w:ascii="宋体" w:hAnsi="宋体"/>
          <w:color w:val="auto"/>
          <w:highlight w:val="none"/>
        </w:rPr>
        <w:fldChar w:fldCharType="begin"/>
      </w:r>
      <w:r>
        <w:rPr>
          <w:rFonts w:ascii="宋体" w:hAnsi="宋体"/>
          <w:color w:val="auto"/>
          <w:highlight w:val="none"/>
        </w:rPr>
        <w:instrText xml:space="preserve"> </w:instrText>
      </w:r>
      <w:r>
        <w:rPr>
          <w:rFonts w:hint="eastAsia" w:ascii="宋体" w:hAnsi="宋体"/>
          <w:color w:val="auto"/>
          <w:highlight w:val="none"/>
        </w:rPr>
        <w:instrText xml:space="preserve">= 3 \* GB3</w:instrText>
      </w:r>
      <w:r>
        <w:rPr>
          <w:rFonts w:ascii="宋体" w:hAnsi="宋体"/>
          <w:color w:val="auto"/>
          <w:highlight w:val="none"/>
        </w:rPr>
        <w:instrText xml:space="preserve"> </w:instrText>
      </w:r>
      <w:r>
        <w:rPr>
          <w:rFonts w:ascii="宋体" w:hAnsi="宋体"/>
          <w:color w:val="auto"/>
          <w:highlight w:val="none"/>
        </w:rPr>
        <w:fldChar w:fldCharType="separate"/>
      </w:r>
      <w:r>
        <w:rPr>
          <w:rFonts w:hint="eastAsia" w:ascii="宋体" w:hAnsi="宋体"/>
          <w:color w:val="auto"/>
          <w:highlight w:val="none"/>
        </w:rPr>
        <w:t>③</w:t>
      </w:r>
      <w:r>
        <w:rPr>
          <w:rFonts w:ascii="宋体" w:hAnsi="宋体"/>
          <w:color w:val="auto"/>
          <w:highlight w:val="none"/>
        </w:rPr>
        <w:fldChar w:fldCharType="end"/>
      </w:r>
      <w:r>
        <w:rPr>
          <w:rFonts w:hint="eastAsia" w:ascii="宋体" w:hAnsi="宋体"/>
          <w:color w:val="auto"/>
          <w:highlight w:val="none"/>
        </w:rPr>
        <w:t>变频器运行频率。</w:t>
      </w:r>
    </w:p>
    <w:p>
      <w:pPr>
        <w:ind w:firstLine="480"/>
        <w:rPr>
          <w:rFonts w:ascii="宋体" w:hAnsi="宋体"/>
          <w:color w:val="auto"/>
          <w:highlight w:val="none"/>
        </w:rPr>
      </w:pPr>
      <w:r>
        <w:rPr>
          <w:rFonts w:ascii="宋体" w:hAnsi="宋体"/>
          <w:color w:val="auto"/>
          <w:highlight w:val="none"/>
        </w:rPr>
        <w:fldChar w:fldCharType="begin"/>
      </w:r>
      <w:r>
        <w:rPr>
          <w:rFonts w:ascii="宋体" w:hAnsi="宋体"/>
          <w:color w:val="auto"/>
          <w:highlight w:val="none"/>
        </w:rPr>
        <w:instrText xml:space="preserve"> </w:instrText>
      </w:r>
      <w:r>
        <w:rPr>
          <w:rFonts w:hint="eastAsia" w:ascii="宋体" w:hAnsi="宋体"/>
          <w:color w:val="auto"/>
          <w:highlight w:val="none"/>
        </w:rPr>
        <w:instrText xml:space="preserve">= 4 \* GB3</w:instrText>
      </w:r>
      <w:r>
        <w:rPr>
          <w:rFonts w:ascii="宋体" w:hAnsi="宋体"/>
          <w:color w:val="auto"/>
          <w:highlight w:val="none"/>
        </w:rPr>
        <w:instrText xml:space="preserve"> </w:instrText>
      </w:r>
      <w:r>
        <w:rPr>
          <w:rFonts w:ascii="宋体" w:hAnsi="宋体"/>
          <w:color w:val="auto"/>
          <w:highlight w:val="none"/>
        </w:rPr>
        <w:fldChar w:fldCharType="separate"/>
      </w:r>
      <w:r>
        <w:rPr>
          <w:rFonts w:hint="eastAsia" w:ascii="宋体" w:hAnsi="宋体"/>
          <w:color w:val="auto"/>
          <w:highlight w:val="none"/>
        </w:rPr>
        <w:t>④</w:t>
      </w:r>
      <w:r>
        <w:rPr>
          <w:rFonts w:ascii="宋体" w:hAnsi="宋体"/>
          <w:color w:val="auto"/>
          <w:highlight w:val="none"/>
        </w:rPr>
        <w:fldChar w:fldCharType="end"/>
      </w:r>
      <w:r>
        <w:rPr>
          <w:rFonts w:ascii="宋体" w:hAnsi="宋体"/>
          <w:color w:val="auto"/>
          <w:highlight w:val="none"/>
        </w:rPr>
        <w:t>清水池的水位。</w:t>
      </w:r>
    </w:p>
    <w:p>
      <w:pPr>
        <w:ind w:firstLine="480"/>
        <w:rPr>
          <w:rFonts w:ascii="宋体" w:hAnsi="宋体"/>
          <w:color w:val="auto"/>
          <w:highlight w:val="none"/>
        </w:rPr>
      </w:pPr>
      <w:r>
        <w:rPr>
          <w:rFonts w:ascii="宋体" w:hAnsi="宋体"/>
          <w:color w:val="auto"/>
          <w:highlight w:val="none"/>
        </w:rPr>
        <w:fldChar w:fldCharType="begin"/>
      </w:r>
      <w:r>
        <w:rPr>
          <w:rFonts w:ascii="宋体" w:hAnsi="宋体"/>
          <w:color w:val="auto"/>
          <w:highlight w:val="none"/>
        </w:rPr>
        <w:instrText xml:space="preserve"> </w:instrText>
      </w:r>
      <w:r>
        <w:rPr>
          <w:rFonts w:hint="eastAsia" w:ascii="宋体" w:hAnsi="宋体"/>
          <w:color w:val="auto"/>
          <w:highlight w:val="none"/>
        </w:rPr>
        <w:instrText xml:space="preserve">= 5 \* GB3</w:instrText>
      </w:r>
      <w:r>
        <w:rPr>
          <w:rFonts w:ascii="宋体" w:hAnsi="宋体"/>
          <w:color w:val="auto"/>
          <w:highlight w:val="none"/>
        </w:rPr>
        <w:instrText xml:space="preserve"> </w:instrText>
      </w:r>
      <w:r>
        <w:rPr>
          <w:rFonts w:ascii="宋体" w:hAnsi="宋体"/>
          <w:color w:val="auto"/>
          <w:highlight w:val="none"/>
        </w:rPr>
        <w:fldChar w:fldCharType="separate"/>
      </w:r>
      <w:r>
        <w:rPr>
          <w:rFonts w:hint="eastAsia" w:ascii="宋体" w:hAnsi="宋体"/>
          <w:color w:val="auto"/>
          <w:highlight w:val="none"/>
        </w:rPr>
        <w:t>⑤</w:t>
      </w:r>
      <w:r>
        <w:rPr>
          <w:rFonts w:ascii="宋体" w:hAnsi="宋体"/>
          <w:color w:val="auto"/>
          <w:highlight w:val="none"/>
        </w:rPr>
        <w:fldChar w:fldCharType="end"/>
      </w:r>
      <w:r>
        <w:rPr>
          <w:rFonts w:ascii="宋体" w:hAnsi="宋体"/>
          <w:color w:val="auto"/>
          <w:highlight w:val="none"/>
        </w:rPr>
        <w:t>出厂浊度、</w:t>
      </w:r>
      <w:r>
        <w:rPr>
          <w:rFonts w:hint="eastAsia" w:ascii="宋体" w:hAnsi="宋体"/>
          <w:color w:val="auto"/>
          <w:highlight w:val="none"/>
        </w:rPr>
        <w:t>p</w:t>
      </w:r>
      <w:r>
        <w:rPr>
          <w:rFonts w:ascii="宋体" w:hAnsi="宋体"/>
          <w:color w:val="auto"/>
          <w:highlight w:val="none"/>
        </w:rPr>
        <w:t>H值、余氯量等。</w:t>
      </w:r>
    </w:p>
    <w:p>
      <w:pPr>
        <w:ind w:firstLine="480"/>
        <w:rPr>
          <w:rFonts w:ascii="宋体" w:hAnsi="宋体"/>
          <w:color w:val="auto"/>
          <w:highlight w:val="none"/>
        </w:rPr>
      </w:pPr>
      <w:r>
        <w:rPr>
          <w:rFonts w:ascii="宋体" w:hAnsi="宋体"/>
          <w:color w:val="auto"/>
          <w:highlight w:val="none"/>
        </w:rPr>
        <w:fldChar w:fldCharType="begin"/>
      </w:r>
      <w:r>
        <w:rPr>
          <w:rFonts w:ascii="宋体" w:hAnsi="宋体"/>
          <w:color w:val="auto"/>
          <w:highlight w:val="none"/>
        </w:rPr>
        <w:instrText xml:space="preserve"> </w:instrText>
      </w:r>
      <w:r>
        <w:rPr>
          <w:rFonts w:hint="eastAsia" w:ascii="宋体" w:hAnsi="宋体"/>
          <w:color w:val="auto"/>
          <w:highlight w:val="none"/>
        </w:rPr>
        <w:instrText xml:space="preserve">= 6 \* GB3</w:instrText>
      </w:r>
      <w:r>
        <w:rPr>
          <w:rFonts w:ascii="宋体" w:hAnsi="宋体"/>
          <w:color w:val="auto"/>
          <w:highlight w:val="none"/>
        </w:rPr>
        <w:instrText xml:space="preserve"> </w:instrText>
      </w:r>
      <w:r>
        <w:rPr>
          <w:rFonts w:ascii="宋体" w:hAnsi="宋体"/>
          <w:color w:val="auto"/>
          <w:highlight w:val="none"/>
        </w:rPr>
        <w:fldChar w:fldCharType="separate"/>
      </w:r>
      <w:r>
        <w:rPr>
          <w:rFonts w:hint="eastAsia" w:ascii="宋体" w:hAnsi="宋体"/>
          <w:color w:val="auto"/>
          <w:highlight w:val="none"/>
        </w:rPr>
        <w:t>⑥</w:t>
      </w:r>
      <w:r>
        <w:rPr>
          <w:rFonts w:ascii="宋体" w:hAnsi="宋体"/>
          <w:color w:val="auto"/>
          <w:highlight w:val="none"/>
        </w:rPr>
        <w:fldChar w:fldCharType="end"/>
      </w:r>
      <w:r>
        <w:rPr>
          <w:rFonts w:hint="eastAsia" w:ascii="宋体" w:hAnsi="宋体"/>
          <w:color w:val="auto"/>
          <w:highlight w:val="none"/>
        </w:rPr>
        <w:t>加压水泵运行时间。</w:t>
      </w:r>
    </w:p>
    <w:p>
      <w:pPr>
        <w:ind w:firstLine="480"/>
        <w:rPr>
          <w:color w:val="auto"/>
          <w:highlight w:val="none"/>
        </w:rPr>
      </w:pPr>
      <w:r>
        <w:rPr>
          <w:rFonts w:hint="eastAsia"/>
          <w:color w:val="auto"/>
          <w:highlight w:val="none"/>
        </w:rPr>
        <w:t>（2）水厂遥信数据：</w:t>
      </w:r>
    </w:p>
    <w:p>
      <w:pPr>
        <w:ind w:firstLine="480"/>
        <w:rPr>
          <w:color w:val="auto"/>
          <w:highlight w:val="none"/>
        </w:rPr>
      </w:pPr>
      <w:r>
        <w:rPr>
          <w:color w:val="auto"/>
          <w:highlight w:val="none"/>
        </w:rPr>
        <w:fldChar w:fldCharType="begin"/>
      </w:r>
      <w:r>
        <w:rPr>
          <w:color w:val="auto"/>
          <w:highlight w:val="none"/>
        </w:rPr>
        <w:instrText xml:space="preserve"> = 1 \* GB3 </w:instrText>
      </w:r>
      <w:r>
        <w:rPr>
          <w:color w:val="auto"/>
          <w:highlight w:val="none"/>
        </w:rPr>
        <w:fldChar w:fldCharType="separate"/>
      </w:r>
      <w:r>
        <w:rPr>
          <w:rFonts w:hint="eastAsia"/>
          <w:color w:val="auto"/>
          <w:highlight w:val="none"/>
        </w:rPr>
        <w:t>①</w:t>
      </w:r>
      <w:r>
        <w:rPr>
          <w:color w:val="auto"/>
          <w:highlight w:val="none"/>
        </w:rPr>
        <w:fldChar w:fldCharType="end"/>
      </w:r>
      <w:r>
        <w:rPr>
          <w:rFonts w:hint="eastAsia"/>
          <w:color w:val="auto"/>
          <w:highlight w:val="none"/>
        </w:rPr>
        <w:t>二级加压泵的当地/远控，手动/自动、运行/停止、正常/故障。</w:t>
      </w:r>
    </w:p>
    <w:p>
      <w:pPr>
        <w:ind w:firstLine="480"/>
        <w:rPr>
          <w:color w:val="auto"/>
          <w:highlight w:val="none"/>
        </w:rPr>
      </w:pPr>
      <w:r>
        <w:rPr>
          <w:color w:val="auto"/>
          <w:highlight w:val="none"/>
        </w:rPr>
        <w:fldChar w:fldCharType="begin"/>
      </w:r>
      <w:r>
        <w:rPr>
          <w:color w:val="auto"/>
          <w:highlight w:val="none"/>
        </w:rPr>
        <w:instrText xml:space="preserve"> = 2 \* GB3 </w:instrText>
      </w:r>
      <w:r>
        <w:rPr>
          <w:color w:val="auto"/>
          <w:highlight w:val="none"/>
        </w:rPr>
        <w:fldChar w:fldCharType="separate"/>
      </w:r>
      <w:r>
        <w:rPr>
          <w:rFonts w:hint="eastAsia"/>
          <w:color w:val="auto"/>
          <w:highlight w:val="none"/>
        </w:rPr>
        <w:t>②</w:t>
      </w:r>
      <w:r>
        <w:rPr>
          <w:color w:val="auto"/>
          <w:highlight w:val="none"/>
        </w:rPr>
        <w:fldChar w:fldCharType="end"/>
      </w:r>
      <w:r>
        <w:rPr>
          <w:rFonts w:hint="eastAsia"/>
          <w:color w:val="auto"/>
          <w:highlight w:val="none"/>
        </w:rPr>
        <w:t>变频器的正常/故障。</w:t>
      </w:r>
    </w:p>
    <w:p>
      <w:pPr>
        <w:ind w:firstLine="480"/>
        <w:rPr>
          <w:color w:val="auto"/>
          <w:highlight w:val="none"/>
        </w:rPr>
      </w:pPr>
      <w:r>
        <w:rPr>
          <w:rFonts w:hint="eastAsia"/>
          <w:color w:val="auto"/>
          <w:highlight w:val="none"/>
        </w:rPr>
        <w:t>（3）水厂遥视内容：</w:t>
      </w:r>
    </w:p>
    <w:p>
      <w:pPr>
        <w:ind w:firstLine="480"/>
        <w:rPr>
          <w:color w:val="auto"/>
          <w:highlight w:val="none"/>
        </w:rPr>
      </w:pPr>
      <w:r>
        <w:rPr>
          <w:rFonts w:hint="eastAsia"/>
          <w:color w:val="auto"/>
          <w:highlight w:val="none"/>
        </w:rPr>
        <w:t>水厂大门、清水池、配电间、加氯房、仓库、办公楼等重点位置的图像监控。</w:t>
      </w:r>
    </w:p>
    <w:p>
      <w:pPr>
        <w:ind w:firstLine="480"/>
        <w:rPr>
          <w:color w:val="auto"/>
          <w:highlight w:val="none"/>
        </w:rPr>
      </w:pPr>
      <w:r>
        <w:rPr>
          <w:rFonts w:hint="eastAsia"/>
          <w:color w:val="auto"/>
          <w:highlight w:val="none"/>
        </w:rPr>
        <w:t>4、水厂控制内容</w:t>
      </w:r>
    </w:p>
    <w:p>
      <w:pPr>
        <w:ind w:firstLine="480"/>
        <w:rPr>
          <w:color w:val="auto"/>
          <w:highlight w:val="none"/>
        </w:rPr>
      </w:pPr>
      <w:r>
        <w:rPr>
          <w:rFonts w:hint="eastAsia"/>
          <w:color w:val="auto"/>
          <w:highlight w:val="none"/>
        </w:rPr>
        <w:t>（1）加压</w:t>
      </w:r>
      <w:r>
        <w:rPr>
          <w:color w:val="auto"/>
          <w:highlight w:val="none"/>
        </w:rPr>
        <w:t>泵</w:t>
      </w:r>
      <w:r>
        <w:rPr>
          <w:rFonts w:hint="eastAsia"/>
          <w:color w:val="auto"/>
          <w:highlight w:val="none"/>
        </w:rPr>
        <w:t>遥控内容：</w:t>
      </w:r>
    </w:p>
    <w:p>
      <w:pPr>
        <w:ind w:firstLine="480"/>
        <w:rPr>
          <w:color w:val="auto"/>
          <w:highlight w:val="none"/>
        </w:rPr>
      </w:pPr>
      <w:r>
        <w:rPr>
          <w:color w:val="auto"/>
          <w:highlight w:val="none"/>
        </w:rPr>
        <w:fldChar w:fldCharType="begin"/>
      </w:r>
      <w:r>
        <w:rPr>
          <w:color w:val="auto"/>
          <w:highlight w:val="none"/>
        </w:rPr>
        <w:instrText xml:space="preserve"> = 1 \* GB3 </w:instrText>
      </w:r>
      <w:r>
        <w:rPr>
          <w:color w:val="auto"/>
          <w:highlight w:val="none"/>
        </w:rPr>
        <w:fldChar w:fldCharType="separate"/>
      </w:r>
      <w:r>
        <w:rPr>
          <w:rFonts w:hint="eastAsia"/>
          <w:color w:val="auto"/>
          <w:highlight w:val="none"/>
        </w:rPr>
        <w:t>①</w:t>
      </w:r>
      <w:r>
        <w:rPr>
          <w:color w:val="auto"/>
          <w:highlight w:val="none"/>
        </w:rPr>
        <w:fldChar w:fldCharType="end"/>
      </w:r>
      <w:r>
        <w:rPr>
          <w:rFonts w:hint="eastAsia"/>
          <w:color w:val="auto"/>
          <w:highlight w:val="none"/>
        </w:rPr>
        <w:t>加压</w:t>
      </w:r>
      <w:r>
        <w:rPr>
          <w:color w:val="auto"/>
          <w:highlight w:val="none"/>
        </w:rPr>
        <w:t>泵电机的</w:t>
      </w:r>
      <w:r>
        <w:rPr>
          <w:rFonts w:hint="eastAsia"/>
          <w:color w:val="auto"/>
          <w:highlight w:val="none"/>
        </w:rPr>
        <w:t>当地/远程起停控制</w:t>
      </w:r>
      <w:r>
        <w:rPr>
          <w:color w:val="auto"/>
          <w:highlight w:val="none"/>
        </w:rPr>
        <w:t>。</w:t>
      </w:r>
    </w:p>
    <w:p>
      <w:pPr>
        <w:ind w:firstLine="480"/>
        <w:rPr>
          <w:color w:val="auto"/>
          <w:highlight w:val="none"/>
        </w:rPr>
      </w:pPr>
      <w:r>
        <w:rPr>
          <w:color w:val="auto"/>
          <w:highlight w:val="none"/>
        </w:rPr>
        <w:fldChar w:fldCharType="begin"/>
      </w:r>
      <w:r>
        <w:rPr>
          <w:color w:val="auto"/>
          <w:highlight w:val="none"/>
        </w:rPr>
        <w:instrText xml:space="preserve"> = 2 \* GB3 </w:instrText>
      </w:r>
      <w:r>
        <w:rPr>
          <w:color w:val="auto"/>
          <w:highlight w:val="none"/>
        </w:rPr>
        <w:fldChar w:fldCharType="separate"/>
      </w:r>
      <w:r>
        <w:rPr>
          <w:rFonts w:hint="eastAsia"/>
          <w:color w:val="auto"/>
          <w:highlight w:val="none"/>
        </w:rPr>
        <w:t>②</w:t>
      </w:r>
      <w:r>
        <w:rPr>
          <w:color w:val="auto"/>
          <w:highlight w:val="none"/>
        </w:rPr>
        <w:fldChar w:fldCharType="end"/>
      </w:r>
      <w:r>
        <w:rPr>
          <w:rFonts w:hint="eastAsia"/>
          <w:color w:val="auto"/>
          <w:highlight w:val="none"/>
        </w:rPr>
        <w:t>变频器恒压供水控制。</w:t>
      </w:r>
    </w:p>
    <w:p>
      <w:pPr>
        <w:ind w:firstLine="480"/>
        <w:rPr>
          <w:color w:val="auto"/>
          <w:highlight w:val="none"/>
        </w:rPr>
      </w:pPr>
      <w:r>
        <w:rPr>
          <w:rFonts w:hint="eastAsia"/>
          <w:color w:val="auto"/>
          <w:highlight w:val="none"/>
        </w:rPr>
        <w:t>（2）加压</w:t>
      </w:r>
      <w:r>
        <w:rPr>
          <w:color w:val="auto"/>
          <w:highlight w:val="none"/>
        </w:rPr>
        <w:t>泵</w:t>
      </w:r>
      <w:r>
        <w:rPr>
          <w:rFonts w:hint="eastAsia"/>
          <w:color w:val="auto"/>
          <w:highlight w:val="none"/>
        </w:rPr>
        <w:t>遥调内容：</w:t>
      </w:r>
    </w:p>
    <w:p>
      <w:pPr>
        <w:ind w:firstLine="480"/>
        <w:rPr>
          <w:color w:val="auto"/>
          <w:highlight w:val="none"/>
        </w:rPr>
      </w:pPr>
      <w:r>
        <w:rPr>
          <w:rFonts w:hint="eastAsia"/>
          <w:color w:val="auto"/>
          <w:highlight w:val="none"/>
        </w:rPr>
        <w:t>根据用户要求通过计算机远程调整供水压力，水池水位上、下限等参数。</w:t>
      </w:r>
    </w:p>
    <w:p>
      <w:pPr>
        <w:ind w:firstLine="480"/>
        <w:rPr>
          <w:color w:val="auto"/>
          <w:highlight w:val="none"/>
        </w:rPr>
      </w:pPr>
      <w:r>
        <w:rPr>
          <w:rFonts w:hint="eastAsia"/>
          <w:color w:val="auto"/>
          <w:highlight w:val="none"/>
        </w:rPr>
        <w:t>（3）水厂</w:t>
      </w:r>
      <w:r>
        <w:rPr>
          <w:color w:val="auto"/>
          <w:highlight w:val="none"/>
        </w:rPr>
        <w:t>自动</w:t>
      </w:r>
      <w:r>
        <w:rPr>
          <w:rFonts w:hint="eastAsia"/>
          <w:color w:val="auto"/>
          <w:highlight w:val="none"/>
        </w:rPr>
        <w:t>控制内容。</w:t>
      </w:r>
    </w:p>
    <w:p>
      <w:pPr>
        <w:ind w:firstLine="480"/>
        <w:rPr>
          <w:color w:val="auto"/>
          <w:highlight w:val="none"/>
        </w:rPr>
      </w:pPr>
      <w:r>
        <w:rPr>
          <w:color w:val="auto"/>
          <w:highlight w:val="none"/>
        </w:rPr>
        <w:fldChar w:fldCharType="begin"/>
      </w:r>
      <w:r>
        <w:rPr>
          <w:color w:val="auto"/>
          <w:highlight w:val="none"/>
        </w:rPr>
        <w:instrText xml:space="preserve"> = 1 \* GB3 </w:instrText>
      </w:r>
      <w:r>
        <w:rPr>
          <w:color w:val="auto"/>
          <w:highlight w:val="none"/>
        </w:rPr>
        <w:fldChar w:fldCharType="separate"/>
      </w:r>
      <w:r>
        <w:rPr>
          <w:rFonts w:hint="eastAsia"/>
          <w:color w:val="auto"/>
          <w:highlight w:val="none"/>
        </w:rPr>
        <w:t>①</w:t>
      </w:r>
      <w:r>
        <w:rPr>
          <w:color w:val="auto"/>
          <w:highlight w:val="none"/>
        </w:rPr>
        <w:fldChar w:fldCharType="end"/>
      </w:r>
      <w:r>
        <w:rPr>
          <w:rFonts w:hint="eastAsia"/>
          <w:color w:val="auto"/>
          <w:highlight w:val="none"/>
        </w:rPr>
        <w:t>恒压供水功能：系统采用变频调速，保持供水压力恒定，避免供水压力过高爆管或压力不足影响供水的现象。</w:t>
      </w:r>
    </w:p>
    <w:p>
      <w:pPr>
        <w:ind w:firstLine="480"/>
        <w:rPr>
          <w:color w:val="auto"/>
          <w:highlight w:val="none"/>
        </w:rPr>
      </w:pPr>
      <w:r>
        <w:rPr>
          <w:color w:val="auto"/>
          <w:highlight w:val="none"/>
        </w:rPr>
        <w:fldChar w:fldCharType="begin"/>
      </w:r>
      <w:r>
        <w:rPr>
          <w:color w:val="auto"/>
          <w:highlight w:val="none"/>
        </w:rPr>
        <w:instrText xml:space="preserve"> = 2 \* GB3 </w:instrText>
      </w:r>
      <w:r>
        <w:rPr>
          <w:color w:val="auto"/>
          <w:highlight w:val="none"/>
        </w:rPr>
        <w:fldChar w:fldCharType="separate"/>
      </w:r>
      <w:r>
        <w:rPr>
          <w:rFonts w:hint="eastAsia"/>
          <w:color w:val="auto"/>
          <w:highlight w:val="none"/>
        </w:rPr>
        <w:t>②</w:t>
      </w:r>
      <w:r>
        <w:rPr>
          <w:color w:val="auto"/>
          <w:highlight w:val="none"/>
        </w:rPr>
        <w:fldChar w:fldCharType="end"/>
      </w:r>
      <w:r>
        <w:rPr>
          <w:rFonts w:hint="eastAsia"/>
          <w:color w:val="auto"/>
          <w:highlight w:val="none"/>
        </w:rPr>
        <w:t>自动投切水泵：根据供水量需要自动加泵或停泵，满足最大和最小供水量时的需求。</w:t>
      </w:r>
    </w:p>
    <w:p>
      <w:pPr>
        <w:ind w:firstLine="480"/>
        <w:rPr>
          <w:color w:val="auto"/>
          <w:highlight w:val="none"/>
        </w:rPr>
      </w:pPr>
      <w:r>
        <w:rPr>
          <w:color w:val="auto"/>
          <w:highlight w:val="none"/>
        </w:rPr>
        <w:fldChar w:fldCharType="begin"/>
      </w:r>
      <w:r>
        <w:rPr>
          <w:color w:val="auto"/>
          <w:highlight w:val="none"/>
        </w:rPr>
        <w:instrText xml:space="preserve"> = 3 \* GB3 </w:instrText>
      </w:r>
      <w:r>
        <w:rPr>
          <w:color w:val="auto"/>
          <w:highlight w:val="none"/>
        </w:rPr>
        <w:fldChar w:fldCharType="separate"/>
      </w:r>
      <w:r>
        <w:rPr>
          <w:rFonts w:hint="eastAsia"/>
          <w:color w:val="auto"/>
          <w:highlight w:val="none"/>
        </w:rPr>
        <w:t>③</w:t>
      </w:r>
      <w:r>
        <w:rPr>
          <w:color w:val="auto"/>
          <w:highlight w:val="none"/>
        </w:rPr>
        <w:fldChar w:fldCharType="end"/>
      </w:r>
      <w:r>
        <w:rPr>
          <w:rFonts w:hint="eastAsia"/>
          <w:color w:val="auto"/>
          <w:highlight w:val="none"/>
        </w:rPr>
        <w:t>定时运行功能：可根据用户需求设定10个供水时间段，自动启停设备或调整管网的供水压力。</w:t>
      </w:r>
    </w:p>
    <w:p>
      <w:pPr>
        <w:ind w:firstLine="480"/>
        <w:rPr>
          <w:color w:val="auto"/>
          <w:highlight w:val="none"/>
        </w:rPr>
      </w:pPr>
      <w:r>
        <w:rPr>
          <w:color w:val="auto"/>
          <w:highlight w:val="none"/>
        </w:rPr>
        <w:fldChar w:fldCharType="begin"/>
      </w:r>
      <w:r>
        <w:rPr>
          <w:color w:val="auto"/>
          <w:highlight w:val="none"/>
        </w:rPr>
        <w:instrText xml:space="preserve"> = 4 \* GB3 </w:instrText>
      </w:r>
      <w:r>
        <w:rPr>
          <w:color w:val="auto"/>
          <w:highlight w:val="none"/>
        </w:rPr>
        <w:fldChar w:fldCharType="separate"/>
      </w:r>
      <w:r>
        <w:rPr>
          <w:rFonts w:hint="eastAsia"/>
          <w:color w:val="auto"/>
          <w:highlight w:val="none"/>
        </w:rPr>
        <w:t>④</w:t>
      </w:r>
      <w:r>
        <w:rPr>
          <w:color w:val="auto"/>
          <w:highlight w:val="none"/>
        </w:rPr>
        <w:fldChar w:fldCharType="end"/>
      </w:r>
      <w:r>
        <w:rPr>
          <w:rFonts w:hint="eastAsia"/>
          <w:color w:val="auto"/>
          <w:highlight w:val="none"/>
        </w:rPr>
        <w:t>辅助泵功能：系统设计辅助泵，在用水低峰时，自动启用小泵运行，达到节能降耗的目标。</w:t>
      </w:r>
    </w:p>
    <w:p>
      <w:pPr>
        <w:ind w:firstLine="480"/>
        <w:rPr>
          <w:color w:val="auto"/>
          <w:highlight w:val="none"/>
        </w:rPr>
      </w:pPr>
      <w:r>
        <w:rPr>
          <w:color w:val="auto"/>
          <w:highlight w:val="none"/>
        </w:rPr>
        <w:fldChar w:fldCharType="begin"/>
      </w:r>
      <w:r>
        <w:rPr>
          <w:color w:val="auto"/>
          <w:highlight w:val="none"/>
        </w:rPr>
        <w:instrText xml:space="preserve"> = 5 \* GB3 </w:instrText>
      </w:r>
      <w:r>
        <w:rPr>
          <w:color w:val="auto"/>
          <w:highlight w:val="none"/>
        </w:rPr>
        <w:fldChar w:fldCharType="separate"/>
      </w:r>
      <w:r>
        <w:rPr>
          <w:rFonts w:hint="eastAsia"/>
          <w:color w:val="auto"/>
          <w:highlight w:val="none"/>
        </w:rPr>
        <w:t>⑤</w:t>
      </w:r>
      <w:r>
        <w:rPr>
          <w:color w:val="auto"/>
          <w:highlight w:val="none"/>
        </w:rPr>
        <w:fldChar w:fldCharType="end"/>
      </w:r>
      <w:r>
        <w:rPr>
          <w:rFonts w:hint="eastAsia"/>
          <w:color w:val="auto"/>
          <w:highlight w:val="none"/>
        </w:rPr>
        <w:t>水位连锁功能：设计安装浮球开关，输出水位报警信号或直接停止水泵运行，确保运行安全。</w:t>
      </w:r>
    </w:p>
    <w:p>
      <w:pPr>
        <w:ind w:firstLine="480"/>
        <w:rPr>
          <w:color w:val="auto"/>
          <w:highlight w:val="none"/>
        </w:rPr>
      </w:pPr>
      <w:r>
        <w:rPr>
          <w:color w:val="auto"/>
          <w:highlight w:val="none"/>
        </w:rPr>
        <w:fldChar w:fldCharType="begin"/>
      </w:r>
      <w:r>
        <w:rPr>
          <w:color w:val="auto"/>
          <w:highlight w:val="none"/>
        </w:rPr>
        <w:instrText xml:space="preserve"> = 6 \* GB3 </w:instrText>
      </w:r>
      <w:r>
        <w:rPr>
          <w:color w:val="auto"/>
          <w:highlight w:val="none"/>
        </w:rPr>
        <w:fldChar w:fldCharType="separate"/>
      </w:r>
      <w:r>
        <w:rPr>
          <w:rFonts w:hint="eastAsia"/>
          <w:color w:val="auto"/>
          <w:highlight w:val="none"/>
        </w:rPr>
        <w:t>⑥</w:t>
      </w:r>
      <w:r>
        <w:rPr>
          <w:color w:val="auto"/>
          <w:highlight w:val="none"/>
        </w:rPr>
        <w:fldChar w:fldCharType="end"/>
      </w:r>
      <w:r>
        <w:rPr>
          <w:rFonts w:hint="eastAsia"/>
          <w:color w:val="auto"/>
          <w:highlight w:val="none"/>
        </w:rPr>
        <w:t>定时切换功能：水泵累计运行1周没有进行切换时，系统将自动或提示值班人员切换至运行时间较少的水泵运行。</w:t>
      </w:r>
    </w:p>
    <w:p>
      <w:pPr>
        <w:ind w:firstLine="480"/>
        <w:rPr>
          <w:color w:val="auto"/>
          <w:highlight w:val="none"/>
        </w:rPr>
      </w:pPr>
      <w:r>
        <w:rPr>
          <w:color w:val="auto"/>
          <w:highlight w:val="none"/>
        </w:rPr>
        <w:fldChar w:fldCharType="begin"/>
      </w:r>
      <w:r>
        <w:rPr>
          <w:color w:val="auto"/>
          <w:highlight w:val="none"/>
        </w:rPr>
        <w:instrText xml:space="preserve"> = 7 \* GB3 </w:instrText>
      </w:r>
      <w:r>
        <w:rPr>
          <w:color w:val="auto"/>
          <w:highlight w:val="none"/>
        </w:rPr>
        <w:fldChar w:fldCharType="separate"/>
      </w:r>
      <w:r>
        <w:rPr>
          <w:rFonts w:hint="eastAsia"/>
          <w:color w:val="auto"/>
          <w:highlight w:val="none"/>
        </w:rPr>
        <w:t>⑦</w:t>
      </w:r>
      <w:r>
        <w:rPr>
          <w:color w:val="auto"/>
          <w:highlight w:val="none"/>
        </w:rPr>
        <w:fldChar w:fldCharType="end"/>
      </w:r>
      <w:r>
        <w:rPr>
          <w:rFonts w:hint="eastAsia"/>
          <w:color w:val="auto"/>
          <w:highlight w:val="none"/>
        </w:rPr>
        <w:t>参数远程设定功能：供水压力、水箱水位上限、下限可以通过计算机远程进行设定，设定值在计算机关机后自动保存到自控设备中。</w:t>
      </w:r>
    </w:p>
    <w:p>
      <w:pPr>
        <w:ind w:firstLine="480"/>
        <w:rPr>
          <w:color w:val="auto"/>
          <w:highlight w:val="none"/>
        </w:rPr>
      </w:pPr>
      <w:r>
        <w:rPr>
          <w:color w:val="auto"/>
          <w:highlight w:val="none"/>
        </w:rPr>
        <w:fldChar w:fldCharType="begin"/>
      </w:r>
      <w:r>
        <w:rPr>
          <w:color w:val="auto"/>
          <w:highlight w:val="none"/>
        </w:rPr>
        <w:instrText xml:space="preserve"> = 8 \* GB3 </w:instrText>
      </w:r>
      <w:r>
        <w:rPr>
          <w:color w:val="auto"/>
          <w:highlight w:val="none"/>
        </w:rPr>
        <w:fldChar w:fldCharType="separate"/>
      </w:r>
      <w:r>
        <w:rPr>
          <w:rFonts w:hint="eastAsia"/>
          <w:color w:val="auto"/>
          <w:highlight w:val="none"/>
        </w:rPr>
        <w:t>⑧</w:t>
      </w:r>
      <w:r>
        <w:rPr>
          <w:color w:val="auto"/>
          <w:highlight w:val="none"/>
        </w:rPr>
        <w:fldChar w:fldCharType="end"/>
      </w:r>
      <w:r>
        <w:rPr>
          <w:rFonts w:hint="eastAsia"/>
          <w:color w:val="auto"/>
          <w:highlight w:val="none"/>
        </w:rPr>
        <w:t>故障处理功能：系统在检测到工艺设备故障后，将根据不同的故障级别自动进行设备切除或停机等处理。</w:t>
      </w:r>
    </w:p>
    <w:p>
      <w:pPr>
        <w:ind w:firstLine="480"/>
        <w:rPr>
          <w:color w:val="auto"/>
          <w:highlight w:val="none"/>
        </w:rPr>
      </w:pPr>
      <w:r>
        <w:rPr>
          <w:color w:val="auto"/>
          <w:highlight w:val="none"/>
        </w:rPr>
        <w:fldChar w:fldCharType="begin"/>
      </w:r>
      <w:r>
        <w:rPr>
          <w:color w:val="auto"/>
          <w:highlight w:val="none"/>
        </w:rPr>
        <w:instrText xml:space="preserve"> = 9 \* GB3 </w:instrText>
      </w:r>
      <w:r>
        <w:rPr>
          <w:color w:val="auto"/>
          <w:highlight w:val="none"/>
        </w:rPr>
        <w:fldChar w:fldCharType="separate"/>
      </w:r>
      <w:r>
        <w:rPr>
          <w:rFonts w:hint="eastAsia"/>
          <w:color w:val="auto"/>
          <w:highlight w:val="none"/>
        </w:rPr>
        <w:t>⑨</w:t>
      </w:r>
      <w:r>
        <w:rPr>
          <w:color w:val="auto"/>
          <w:highlight w:val="none"/>
        </w:rPr>
        <w:fldChar w:fldCharType="end"/>
      </w:r>
      <w:r>
        <w:rPr>
          <w:rFonts w:hint="eastAsia"/>
          <w:color w:val="auto"/>
          <w:highlight w:val="none"/>
        </w:rPr>
        <w:t>计算机监控功能：现场所有工艺参数和设备状态均可在计算机进行监控，并可方便的将数据上传到上级管理部门。</w:t>
      </w:r>
    </w:p>
    <w:p>
      <w:pPr>
        <w:ind w:firstLine="480"/>
        <w:rPr>
          <w:color w:val="auto"/>
          <w:highlight w:val="none"/>
        </w:rPr>
      </w:pPr>
      <w:r>
        <w:rPr>
          <w:color w:val="auto"/>
          <w:highlight w:val="none"/>
        </w:rPr>
        <w:fldChar w:fldCharType="begin"/>
      </w:r>
      <w:r>
        <w:rPr>
          <w:color w:val="auto"/>
          <w:highlight w:val="none"/>
        </w:rPr>
        <w:instrText xml:space="preserve"> = 10 \* GB3 </w:instrText>
      </w:r>
      <w:r>
        <w:rPr>
          <w:color w:val="auto"/>
          <w:highlight w:val="none"/>
        </w:rPr>
        <w:fldChar w:fldCharType="separate"/>
      </w:r>
      <w:r>
        <w:rPr>
          <w:rFonts w:hint="eastAsia"/>
          <w:color w:val="auto"/>
          <w:highlight w:val="none"/>
        </w:rPr>
        <w:t>⑩</w:t>
      </w:r>
      <w:r>
        <w:rPr>
          <w:color w:val="auto"/>
          <w:highlight w:val="none"/>
        </w:rPr>
        <w:fldChar w:fldCharType="end"/>
      </w:r>
      <w:r>
        <w:rPr>
          <w:rFonts w:hint="eastAsia"/>
          <w:color w:val="auto"/>
          <w:highlight w:val="none"/>
        </w:rPr>
        <w:t>PLC仪表自控功能：系统可脱离计算机监控系统独立运行，保证供水安全。</w:t>
      </w:r>
    </w:p>
    <w:p>
      <w:pPr>
        <w:ind w:firstLine="480"/>
        <w:rPr>
          <w:color w:val="auto"/>
          <w:highlight w:val="none"/>
        </w:rPr>
      </w:pPr>
      <w:r>
        <w:rPr>
          <w:rFonts w:hint="eastAsia"/>
          <w:color w:val="auto"/>
          <w:highlight w:val="none"/>
        </w:rPr>
        <w:t>（4）水厂测控其他功能</w:t>
      </w:r>
    </w:p>
    <w:p>
      <w:pPr>
        <w:ind w:firstLine="480"/>
        <w:rPr>
          <w:color w:val="auto"/>
          <w:highlight w:val="none"/>
        </w:rPr>
      </w:pPr>
      <w:r>
        <w:rPr>
          <w:color w:val="auto"/>
          <w:highlight w:val="none"/>
        </w:rPr>
        <w:fldChar w:fldCharType="begin"/>
      </w:r>
      <w:r>
        <w:rPr>
          <w:color w:val="auto"/>
          <w:highlight w:val="none"/>
        </w:rPr>
        <w:instrText xml:space="preserve"> = 1 \* GB3 </w:instrText>
      </w:r>
      <w:r>
        <w:rPr>
          <w:color w:val="auto"/>
          <w:highlight w:val="none"/>
        </w:rPr>
        <w:fldChar w:fldCharType="separate"/>
      </w:r>
      <w:r>
        <w:rPr>
          <w:rFonts w:hint="eastAsia"/>
          <w:color w:val="auto"/>
          <w:highlight w:val="none"/>
        </w:rPr>
        <w:t>①</w:t>
      </w:r>
      <w:r>
        <w:rPr>
          <w:color w:val="auto"/>
          <w:highlight w:val="none"/>
        </w:rPr>
        <w:fldChar w:fldCharType="end"/>
      </w:r>
      <w:r>
        <w:rPr>
          <w:rFonts w:hint="eastAsia"/>
          <w:color w:val="auto"/>
          <w:highlight w:val="none"/>
        </w:rPr>
        <w:t>避雷功能：系统采用多种避雷设备，可防止雷雨天气时供电系统的瞬时感应电压损坏设备，保证系统安全。</w:t>
      </w:r>
    </w:p>
    <w:p>
      <w:pPr>
        <w:ind w:firstLine="480"/>
        <w:rPr>
          <w:color w:val="auto"/>
          <w:highlight w:val="none"/>
        </w:rPr>
      </w:pPr>
      <w:r>
        <w:rPr>
          <w:color w:val="auto"/>
          <w:highlight w:val="none"/>
        </w:rPr>
        <w:fldChar w:fldCharType="begin"/>
      </w:r>
      <w:r>
        <w:rPr>
          <w:color w:val="auto"/>
          <w:highlight w:val="none"/>
        </w:rPr>
        <w:instrText xml:space="preserve"> = 2 \* GB3 </w:instrText>
      </w:r>
      <w:r>
        <w:rPr>
          <w:color w:val="auto"/>
          <w:highlight w:val="none"/>
        </w:rPr>
        <w:fldChar w:fldCharType="separate"/>
      </w:r>
      <w:r>
        <w:rPr>
          <w:rFonts w:hint="eastAsia"/>
          <w:color w:val="auto"/>
          <w:highlight w:val="none"/>
        </w:rPr>
        <w:t>②</w:t>
      </w:r>
      <w:r>
        <w:rPr>
          <w:color w:val="auto"/>
          <w:highlight w:val="none"/>
        </w:rPr>
        <w:fldChar w:fldCharType="end"/>
      </w:r>
      <w:r>
        <w:rPr>
          <w:rFonts w:hint="eastAsia"/>
          <w:color w:val="auto"/>
          <w:highlight w:val="none"/>
        </w:rPr>
        <w:t>后备功能：系统水泵和控制设备均设计备用方式，以防止单个设备损坏时影响供水。</w:t>
      </w:r>
    </w:p>
    <w:p>
      <w:pPr>
        <w:ind w:firstLine="480"/>
        <w:rPr>
          <w:color w:val="auto"/>
          <w:highlight w:val="none"/>
        </w:rPr>
      </w:pPr>
      <w:r>
        <w:rPr>
          <w:rFonts w:hint="eastAsia"/>
          <w:color w:val="auto"/>
          <w:highlight w:val="none"/>
        </w:rPr>
        <w:t>（5）水厂</w:t>
      </w:r>
      <w:r>
        <w:rPr>
          <w:color w:val="auto"/>
          <w:highlight w:val="none"/>
        </w:rPr>
        <w:t>自动</w:t>
      </w:r>
      <w:r>
        <w:rPr>
          <w:rFonts w:hint="eastAsia"/>
          <w:color w:val="auto"/>
          <w:highlight w:val="none"/>
        </w:rPr>
        <w:t>控制过程</w:t>
      </w:r>
    </w:p>
    <w:p>
      <w:pPr>
        <w:ind w:firstLine="480"/>
        <w:rPr>
          <w:color w:val="auto"/>
          <w:highlight w:val="none"/>
        </w:rPr>
      </w:pPr>
      <w:r>
        <w:rPr>
          <w:rFonts w:hint="eastAsia"/>
          <w:color w:val="auto"/>
          <w:highlight w:val="none"/>
        </w:rPr>
        <w:t>控制系统采用变频器和软启动方式控制加压泵。变频器通过压力传感器，检测出水管压力的变化，与设定的压力进行比较，采用PID控制方式调整供水泵电机运行频率，改变供水泵的供水流量，使管网压力恒定在一设定值上。</w:t>
      </w:r>
    </w:p>
    <w:p>
      <w:pPr>
        <w:ind w:firstLine="480"/>
        <w:rPr>
          <w:color w:val="auto"/>
          <w:highlight w:val="none"/>
        </w:rPr>
      </w:pPr>
      <w:r>
        <w:rPr>
          <w:rFonts w:hint="eastAsia"/>
          <w:color w:val="auto"/>
          <w:highlight w:val="none"/>
        </w:rPr>
        <w:t>系统主要自控功能如下：</w:t>
      </w:r>
    </w:p>
    <w:p>
      <w:pPr>
        <w:ind w:firstLine="480"/>
        <w:rPr>
          <w:color w:val="auto"/>
          <w:highlight w:val="none"/>
        </w:rPr>
      </w:pPr>
      <w:r>
        <w:rPr>
          <w:color w:val="auto"/>
          <w:highlight w:val="none"/>
        </w:rPr>
        <w:fldChar w:fldCharType="begin"/>
      </w:r>
      <w:r>
        <w:rPr>
          <w:color w:val="auto"/>
          <w:highlight w:val="none"/>
        </w:rPr>
        <w:instrText xml:space="preserve"> = 1 \* GB3 </w:instrText>
      </w:r>
      <w:r>
        <w:rPr>
          <w:color w:val="auto"/>
          <w:highlight w:val="none"/>
        </w:rPr>
        <w:fldChar w:fldCharType="separate"/>
      </w:r>
      <w:r>
        <w:rPr>
          <w:rFonts w:hint="eastAsia"/>
          <w:color w:val="auto"/>
          <w:highlight w:val="none"/>
        </w:rPr>
        <w:t>①</w:t>
      </w:r>
      <w:r>
        <w:rPr>
          <w:color w:val="auto"/>
          <w:highlight w:val="none"/>
        </w:rPr>
        <w:fldChar w:fldCharType="end"/>
      </w:r>
      <w:r>
        <w:rPr>
          <w:rFonts w:hint="eastAsia"/>
          <w:color w:val="auto"/>
          <w:highlight w:val="none"/>
        </w:rPr>
        <w:t>清水池供水控制系统通过PLC进行多泵优化组合控制。当用水量较小时，一台供水泵作变频运行，随着用水量的增加，第一台供水泵的电机运行频率不断提高，当到达工频运行时，程序控制器将第一台供水泵仍为变频器控制下的供水运行，同时将通过软启动方式启动第二台供水泵作工频运行，以满足用水量的需要。随着用水量的减小，第一台供水泵的运行频率不断降低，当降到最低设定频率时，第二台供水泵退出运行。第一台泵继续变频运行，以满足水量减少的需要，以此实现各供水泵的自动运行。</w:t>
      </w:r>
    </w:p>
    <w:p>
      <w:pPr>
        <w:ind w:firstLine="480"/>
        <w:rPr>
          <w:color w:val="auto"/>
          <w:highlight w:val="none"/>
        </w:rPr>
      </w:pPr>
      <w:r>
        <w:rPr>
          <w:color w:val="auto"/>
          <w:highlight w:val="none"/>
        </w:rPr>
        <w:fldChar w:fldCharType="begin"/>
      </w:r>
      <w:r>
        <w:rPr>
          <w:color w:val="auto"/>
          <w:highlight w:val="none"/>
        </w:rPr>
        <w:instrText xml:space="preserve"> = 2 \* GB3 </w:instrText>
      </w:r>
      <w:r>
        <w:rPr>
          <w:color w:val="auto"/>
          <w:highlight w:val="none"/>
        </w:rPr>
        <w:fldChar w:fldCharType="separate"/>
      </w:r>
      <w:r>
        <w:rPr>
          <w:rFonts w:hint="eastAsia"/>
          <w:color w:val="auto"/>
          <w:highlight w:val="none"/>
        </w:rPr>
        <w:t>②</w:t>
      </w:r>
      <w:r>
        <w:rPr>
          <w:color w:val="auto"/>
          <w:highlight w:val="none"/>
        </w:rPr>
        <w:fldChar w:fldCharType="end"/>
      </w:r>
      <w:r>
        <w:rPr>
          <w:rFonts w:hint="eastAsia"/>
          <w:color w:val="auto"/>
          <w:highlight w:val="none"/>
        </w:rPr>
        <w:t>清水供水控制系统，具有对供水泵的各项保护功能。当一台运行泵发生故障时下一台泵将自动切换运行，同时报警。</w:t>
      </w:r>
    </w:p>
    <w:p>
      <w:pPr>
        <w:ind w:firstLine="480"/>
        <w:rPr>
          <w:color w:val="auto"/>
          <w:highlight w:val="none"/>
        </w:rPr>
      </w:pPr>
      <w:r>
        <w:rPr>
          <w:rFonts w:hint="eastAsia"/>
          <w:color w:val="auto"/>
          <w:highlight w:val="none"/>
        </w:rPr>
        <w:t>5、加氯自动控制</w:t>
      </w:r>
    </w:p>
    <w:p>
      <w:pPr>
        <w:ind w:firstLine="480"/>
        <w:rPr>
          <w:color w:val="auto"/>
          <w:highlight w:val="none"/>
        </w:rPr>
      </w:pPr>
      <w:r>
        <w:rPr>
          <w:rFonts w:hint="eastAsia"/>
          <w:color w:val="auto"/>
          <w:highlight w:val="none"/>
        </w:rPr>
        <w:t>（1）水处理相关设备</w:t>
      </w:r>
    </w:p>
    <w:p>
      <w:pPr>
        <w:ind w:firstLine="480"/>
        <w:rPr>
          <w:color w:val="auto"/>
          <w:highlight w:val="none"/>
        </w:rPr>
      </w:pPr>
      <w:r>
        <w:rPr>
          <w:rFonts w:hint="eastAsia"/>
          <w:color w:val="auto"/>
          <w:highlight w:val="none"/>
        </w:rPr>
        <w:t>主要相关设备包括：次氯酸钠发生器、余氯检测仪、入水流量计等。</w:t>
      </w:r>
    </w:p>
    <w:p>
      <w:pPr>
        <w:ind w:firstLine="480"/>
        <w:rPr>
          <w:color w:val="auto"/>
          <w:highlight w:val="none"/>
        </w:rPr>
      </w:pPr>
      <w:r>
        <w:rPr>
          <w:rFonts w:hint="eastAsia"/>
          <w:color w:val="auto"/>
          <w:highlight w:val="none"/>
        </w:rPr>
        <w:t>（2）通讯方式：</w:t>
      </w:r>
    </w:p>
    <w:p>
      <w:pPr>
        <w:ind w:firstLine="480"/>
        <w:rPr>
          <w:color w:val="auto"/>
          <w:highlight w:val="none"/>
        </w:rPr>
      </w:pPr>
      <w:r>
        <w:rPr>
          <w:rFonts w:hint="eastAsia"/>
          <w:color w:val="auto"/>
          <w:highlight w:val="none"/>
        </w:rPr>
        <w:t>计算机与加氯PLC站采用RS485有线通讯方式。</w:t>
      </w:r>
    </w:p>
    <w:p>
      <w:pPr>
        <w:ind w:firstLine="480"/>
        <w:rPr>
          <w:color w:val="auto"/>
          <w:highlight w:val="none"/>
        </w:rPr>
      </w:pPr>
      <w:r>
        <w:rPr>
          <w:rFonts w:hint="eastAsia"/>
          <w:color w:val="auto"/>
          <w:highlight w:val="none"/>
        </w:rPr>
        <w:t>（3）</w:t>
      </w:r>
      <w:r>
        <w:rPr>
          <w:color w:val="auto"/>
          <w:highlight w:val="none"/>
        </w:rPr>
        <w:t>工艺原理</w:t>
      </w:r>
      <w:r>
        <w:rPr>
          <w:rFonts w:hint="eastAsia"/>
          <w:color w:val="auto"/>
          <w:highlight w:val="none"/>
        </w:rPr>
        <w:t>：</w:t>
      </w:r>
    </w:p>
    <w:p>
      <w:pPr>
        <w:ind w:firstLine="480"/>
        <w:rPr>
          <w:color w:val="auto"/>
          <w:highlight w:val="none"/>
        </w:rPr>
      </w:pPr>
      <w:r>
        <w:rPr>
          <w:rFonts w:hint="eastAsia"/>
          <w:color w:val="auto"/>
          <w:highlight w:val="none"/>
        </w:rPr>
        <w:t>次氯酸钠的分子式是NaOCl，属于强碱弱酸盐，能完全溶解于水，水溶液清澈透明，次氯酸钠的生成过程如下式所示：</w:t>
      </w:r>
    </w:p>
    <w:p>
      <w:pPr>
        <w:ind w:firstLine="480"/>
        <w:rPr>
          <w:color w:val="auto"/>
          <w:highlight w:val="none"/>
        </w:rPr>
      </w:pPr>
      <w:r>
        <w:rPr>
          <w:rFonts w:hint="eastAsia"/>
          <w:color w:val="auto"/>
          <w:highlight w:val="none"/>
        </w:rPr>
        <w:t> NaCl + H</w:t>
      </w:r>
      <w:r>
        <w:rPr>
          <w:rFonts w:hint="eastAsia"/>
          <w:color w:val="auto"/>
          <w:highlight w:val="none"/>
          <w:vertAlign w:val="subscript"/>
        </w:rPr>
        <w:t>2</w:t>
      </w:r>
      <w:r>
        <w:rPr>
          <w:rFonts w:hint="eastAsia"/>
          <w:color w:val="auto"/>
          <w:highlight w:val="none"/>
        </w:rPr>
        <w:t>O → NaOCl + H</w:t>
      </w:r>
      <w:r>
        <w:rPr>
          <w:rFonts w:hint="eastAsia"/>
          <w:color w:val="auto"/>
          <w:highlight w:val="none"/>
          <w:vertAlign w:val="subscript"/>
        </w:rPr>
        <w:t>2</w:t>
      </w:r>
      <w:r>
        <w:rPr>
          <w:rFonts w:hint="eastAsia"/>
          <w:color w:val="auto"/>
          <w:highlight w:val="none"/>
        </w:rPr>
        <w:t>↑ </w:t>
      </w:r>
    </w:p>
    <w:p>
      <w:pPr>
        <w:ind w:firstLine="480"/>
        <w:rPr>
          <w:color w:val="auto"/>
          <w:highlight w:val="none"/>
        </w:rPr>
      </w:pPr>
      <w:r>
        <w:rPr>
          <w:color w:val="auto"/>
          <w:highlight w:val="none"/>
        </w:rPr>
        <w:t>作为一种真正高效、广谱、安全的強力灭菌、杀病毒药剂，它同水的亲和性很好，能与水任意比互溶，且其消毒效果被公认为和氯气相当</w:t>
      </w:r>
      <w:r>
        <w:rPr>
          <w:rFonts w:hint="eastAsia"/>
          <w:color w:val="auto"/>
          <w:highlight w:val="none"/>
        </w:rPr>
        <w:t>，</w:t>
      </w:r>
      <w:r>
        <w:rPr>
          <w:color w:val="auto"/>
          <w:highlight w:val="none"/>
        </w:rPr>
        <w:t>加之其投加准确，操作安全，使用方便，易于储存。</w:t>
      </w:r>
    </w:p>
    <w:p>
      <w:pPr>
        <w:ind w:firstLine="480"/>
        <w:rPr>
          <w:color w:val="auto"/>
          <w:highlight w:val="none"/>
        </w:rPr>
      </w:pPr>
      <w:r>
        <w:rPr>
          <w:color w:val="auto"/>
          <w:highlight w:val="none"/>
        </w:rPr>
        <w:t>控制系统采用智能型数字式控制器，触摸式面板，全数字显示，可实现自动控制，计量泵频率调节并显示，故障报警、缺料、缺水、欠压保护并自动停机，远程控制接口。</w:t>
      </w:r>
    </w:p>
    <w:p>
      <w:pPr>
        <w:ind w:firstLine="480"/>
        <w:rPr>
          <w:color w:val="auto"/>
          <w:highlight w:val="none"/>
        </w:rPr>
      </w:pPr>
      <w:r>
        <w:rPr>
          <w:rFonts w:hint="eastAsia"/>
          <w:color w:val="auto"/>
          <w:highlight w:val="none"/>
        </w:rPr>
        <w:t>（4）消毒处理工艺</w:t>
      </w:r>
      <w:r>
        <w:rPr>
          <w:color w:val="auto"/>
          <w:highlight w:val="none"/>
        </w:rPr>
        <w:t>自动监测内容</w:t>
      </w:r>
    </w:p>
    <w:p>
      <w:pPr>
        <w:ind w:firstLine="480"/>
        <w:rPr>
          <w:color w:val="auto"/>
          <w:highlight w:val="none"/>
        </w:rPr>
      </w:pPr>
      <w:r>
        <w:rPr>
          <w:rFonts w:hint="eastAsia"/>
          <w:color w:val="auto"/>
          <w:highlight w:val="none"/>
        </w:rPr>
        <w:t>遥测数据：药液投加量</w:t>
      </w:r>
    </w:p>
    <w:p>
      <w:pPr>
        <w:ind w:firstLine="480"/>
        <w:rPr>
          <w:color w:val="auto"/>
          <w:highlight w:val="none"/>
        </w:rPr>
      </w:pPr>
      <w:r>
        <w:rPr>
          <w:rFonts w:hint="eastAsia"/>
          <w:color w:val="auto"/>
          <w:highlight w:val="none"/>
        </w:rPr>
        <w:t>遥信数据：次氯酸钠发生器的运行、停止、故障报警状态</w:t>
      </w:r>
    </w:p>
    <w:p>
      <w:pPr>
        <w:ind w:firstLine="480"/>
        <w:rPr>
          <w:color w:val="auto"/>
          <w:highlight w:val="none"/>
        </w:rPr>
      </w:pPr>
      <w:r>
        <w:rPr>
          <w:rFonts w:hint="eastAsia"/>
          <w:color w:val="auto"/>
          <w:highlight w:val="none"/>
        </w:rPr>
        <w:t>消毒处理工艺</w:t>
      </w:r>
      <w:r>
        <w:rPr>
          <w:color w:val="auto"/>
          <w:highlight w:val="none"/>
        </w:rPr>
        <w:t>自动</w:t>
      </w:r>
      <w:r>
        <w:rPr>
          <w:rFonts w:hint="eastAsia"/>
          <w:color w:val="auto"/>
          <w:highlight w:val="none"/>
        </w:rPr>
        <w:t>控制内容</w:t>
      </w:r>
    </w:p>
    <w:p>
      <w:pPr>
        <w:ind w:firstLine="480"/>
        <w:rPr>
          <w:color w:val="auto"/>
          <w:highlight w:val="none"/>
        </w:rPr>
      </w:pPr>
      <w:r>
        <w:rPr>
          <w:rFonts w:hint="eastAsia"/>
          <w:color w:val="auto"/>
          <w:highlight w:val="none"/>
        </w:rPr>
        <w:t>（5）消毒处理</w:t>
      </w:r>
      <w:r>
        <w:rPr>
          <w:color w:val="auto"/>
          <w:highlight w:val="none"/>
        </w:rPr>
        <w:t>自动</w:t>
      </w:r>
      <w:r>
        <w:rPr>
          <w:rFonts w:hint="eastAsia"/>
          <w:color w:val="auto"/>
          <w:highlight w:val="none"/>
        </w:rPr>
        <w:t>控制内容：次氯酸钠发生器的启、停控制</w:t>
      </w:r>
    </w:p>
    <w:p>
      <w:pPr>
        <w:ind w:firstLine="480"/>
        <w:rPr>
          <w:color w:val="auto"/>
          <w:highlight w:val="none"/>
        </w:rPr>
      </w:pPr>
      <w:r>
        <w:rPr>
          <w:rFonts w:hint="eastAsia"/>
          <w:color w:val="auto"/>
          <w:highlight w:val="none"/>
        </w:rPr>
        <w:t>消毒处理</w:t>
      </w:r>
      <w:r>
        <w:rPr>
          <w:color w:val="auto"/>
          <w:highlight w:val="none"/>
        </w:rPr>
        <w:t>自动</w:t>
      </w:r>
      <w:r>
        <w:rPr>
          <w:rFonts w:hint="eastAsia"/>
          <w:color w:val="auto"/>
          <w:highlight w:val="none"/>
        </w:rPr>
        <w:t>控制过程：消毒液通过蓄水池的入口加入，进行充分混合和反应之后，再通过加压泵将消毒后的合格水供给用户。自控系统实时检测蓄水池的入口流量大小按照“流量比例法”自动调整次氯酸钠发生器的加药量，使其与供水量相适应，保证出水杀菌、灭病毒的稳定性。</w:t>
      </w:r>
    </w:p>
    <w:p>
      <w:pPr>
        <w:spacing w:line="240" w:lineRule="auto"/>
        <w:ind w:firstLine="0" w:firstLineChars="0"/>
        <w:jc w:val="left"/>
        <w:rPr>
          <w:b/>
          <w:color w:val="auto"/>
          <w:highlight w:val="none"/>
        </w:rPr>
      </w:pPr>
      <w:r>
        <w:rPr>
          <w:rFonts w:hint="eastAsia"/>
          <w:b/>
          <w:color w:val="auto"/>
          <w:highlight w:val="none"/>
        </w:rPr>
        <w:t>表5.4-2              西郊水厂信息化中心设备清单表</w:t>
      </w:r>
    </w:p>
    <w:tbl>
      <w:tblPr>
        <w:tblStyle w:val="33"/>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72"/>
        <w:gridCol w:w="2016"/>
        <w:gridCol w:w="1449"/>
        <w:gridCol w:w="2441"/>
        <w:gridCol w:w="873"/>
        <w:gridCol w:w="8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512" w:type="pct"/>
            <w:vAlign w:val="center"/>
          </w:tcPr>
          <w:p>
            <w:pPr>
              <w:spacing w:before="93" w:beforeLines="30" w:after="93" w:afterLines="30" w:line="240" w:lineRule="auto"/>
              <w:ind w:firstLine="0" w:firstLineChars="0"/>
              <w:jc w:val="center"/>
              <w:rPr>
                <w:b/>
                <w:color w:val="auto"/>
                <w:sz w:val="20"/>
                <w:szCs w:val="20"/>
                <w:highlight w:val="none"/>
              </w:rPr>
            </w:pPr>
            <w:r>
              <w:rPr>
                <w:rFonts w:hint="eastAsia"/>
                <w:b/>
                <w:color w:val="auto"/>
                <w:sz w:val="20"/>
                <w:szCs w:val="20"/>
                <w:highlight w:val="none"/>
              </w:rPr>
              <w:t>序号</w:t>
            </w:r>
          </w:p>
        </w:tc>
        <w:tc>
          <w:tcPr>
            <w:tcW w:w="1183" w:type="pct"/>
            <w:vAlign w:val="center"/>
          </w:tcPr>
          <w:p>
            <w:pPr>
              <w:spacing w:before="93" w:beforeLines="30" w:after="93" w:afterLines="30" w:line="240" w:lineRule="auto"/>
              <w:ind w:firstLine="0" w:firstLineChars="0"/>
              <w:jc w:val="center"/>
              <w:rPr>
                <w:b/>
                <w:color w:val="auto"/>
                <w:sz w:val="20"/>
                <w:szCs w:val="20"/>
                <w:highlight w:val="none"/>
              </w:rPr>
            </w:pPr>
            <w:r>
              <w:rPr>
                <w:rFonts w:hint="eastAsia"/>
                <w:b/>
                <w:color w:val="auto"/>
                <w:sz w:val="20"/>
                <w:szCs w:val="20"/>
                <w:highlight w:val="none"/>
              </w:rPr>
              <w:t>子项名称</w:t>
            </w:r>
          </w:p>
        </w:tc>
        <w:tc>
          <w:tcPr>
            <w:tcW w:w="850" w:type="pct"/>
            <w:vAlign w:val="center"/>
          </w:tcPr>
          <w:p>
            <w:pPr>
              <w:spacing w:before="93" w:beforeLines="30" w:after="93" w:afterLines="30" w:line="240" w:lineRule="auto"/>
              <w:ind w:firstLine="0" w:firstLineChars="0"/>
              <w:jc w:val="center"/>
              <w:rPr>
                <w:b/>
                <w:color w:val="auto"/>
                <w:sz w:val="20"/>
                <w:szCs w:val="20"/>
                <w:highlight w:val="none"/>
              </w:rPr>
            </w:pPr>
            <w:r>
              <w:rPr>
                <w:rFonts w:hint="eastAsia"/>
                <w:b/>
                <w:color w:val="auto"/>
                <w:sz w:val="20"/>
                <w:szCs w:val="20"/>
                <w:highlight w:val="none"/>
              </w:rPr>
              <w:t>仪表名称</w:t>
            </w:r>
          </w:p>
        </w:tc>
        <w:tc>
          <w:tcPr>
            <w:tcW w:w="1432" w:type="pct"/>
          </w:tcPr>
          <w:p>
            <w:pPr>
              <w:spacing w:before="93" w:beforeLines="30" w:after="93" w:afterLines="30" w:line="240" w:lineRule="auto"/>
              <w:ind w:firstLine="0" w:firstLineChars="0"/>
              <w:jc w:val="center"/>
              <w:rPr>
                <w:b/>
                <w:color w:val="auto"/>
                <w:sz w:val="20"/>
                <w:szCs w:val="20"/>
                <w:highlight w:val="none"/>
              </w:rPr>
            </w:pPr>
            <w:r>
              <w:rPr>
                <w:rFonts w:hint="eastAsia"/>
                <w:b/>
                <w:color w:val="auto"/>
                <w:sz w:val="20"/>
                <w:szCs w:val="20"/>
                <w:highlight w:val="none"/>
              </w:rPr>
              <w:t>规格</w:t>
            </w:r>
          </w:p>
        </w:tc>
        <w:tc>
          <w:tcPr>
            <w:tcW w:w="512" w:type="pct"/>
            <w:vAlign w:val="center"/>
          </w:tcPr>
          <w:p>
            <w:pPr>
              <w:spacing w:before="93" w:beforeLines="30" w:after="93" w:afterLines="30" w:line="240" w:lineRule="auto"/>
              <w:ind w:firstLine="0" w:firstLineChars="0"/>
              <w:jc w:val="center"/>
              <w:rPr>
                <w:b/>
                <w:color w:val="auto"/>
                <w:sz w:val="20"/>
                <w:szCs w:val="20"/>
                <w:highlight w:val="none"/>
              </w:rPr>
            </w:pPr>
            <w:r>
              <w:rPr>
                <w:rFonts w:hint="eastAsia"/>
                <w:b/>
                <w:color w:val="auto"/>
                <w:sz w:val="20"/>
                <w:szCs w:val="20"/>
                <w:highlight w:val="none"/>
              </w:rPr>
              <w:t>单位</w:t>
            </w:r>
          </w:p>
        </w:tc>
        <w:tc>
          <w:tcPr>
            <w:tcW w:w="511" w:type="pct"/>
            <w:vAlign w:val="center"/>
          </w:tcPr>
          <w:p>
            <w:pPr>
              <w:spacing w:before="93" w:beforeLines="30" w:after="93" w:afterLines="30" w:line="240" w:lineRule="auto"/>
              <w:ind w:firstLine="0" w:firstLineChars="0"/>
              <w:jc w:val="center"/>
              <w:rPr>
                <w:b/>
                <w:color w:val="auto"/>
                <w:sz w:val="20"/>
                <w:szCs w:val="20"/>
                <w:highlight w:val="none"/>
              </w:rPr>
            </w:pPr>
            <w:r>
              <w:rPr>
                <w:rFonts w:hint="eastAsia"/>
                <w:b/>
                <w:color w:val="auto"/>
                <w:sz w:val="20"/>
                <w:szCs w:val="20"/>
                <w:highlight w:val="none"/>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1</w:t>
            </w:r>
          </w:p>
        </w:tc>
        <w:tc>
          <w:tcPr>
            <w:tcW w:w="1183" w:type="pct"/>
            <w:vMerge w:val="restar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中央控制系统</w:t>
            </w:r>
          </w:p>
        </w:tc>
        <w:tc>
          <w:tcPr>
            <w:tcW w:w="850" w:type="pct"/>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中控机</w:t>
            </w:r>
          </w:p>
        </w:tc>
        <w:tc>
          <w:tcPr>
            <w:tcW w:w="1432" w:type="pct"/>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E5300/2.6/1G/500G</w:t>
            </w:r>
          </w:p>
        </w:tc>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台</w:t>
            </w:r>
          </w:p>
        </w:tc>
        <w:tc>
          <w:tcPr>
            <w:tcW w:w="511"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2</w:t>
            </w:r>
          </w:p>
        </w:tc>
        <w:tc>
          <w:tcPr>
            <w:tcW w:w="1183" w:type="pct"/>
            <w:vMerge w:val="continue"/>
            <w:vAlign w:val="center"/>
          </w:tcPr>
          <w:p>
            <w:pPr>
              <w:spacing w:before="93" w:beforeLines="30" w:after="93" w:afterLines="30" w:line="240" w:lineRule="auto"/>
              <w:ind w:firstLine="0" w:firstLineChars="0"/>
              <w:jc w:val="center"/>
              <w:rPr>
                <w:color w:val="auto"/>
                <w:sz w:val="20"/>
                <w:szCs w:val="20"/>
                <w:highlight w:val="none"/>
              </w:rPr>
            </w:pPr>
          </w:p>
        </w:tc>
        <w:tc>
          <w:tcPr>
            <w:tcW w:w="850" w:type="pct"/>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电脑主机</w:t>
            </w:r>
          </w:p>
        </w:tc>
        <w:tc>
          <w:tcPr>
            <w:tcW w:w="1432" w:type="pct"/>
          </w:tcPr>
          <w:p>
            <w:pPr>
              <w:spacing w:before="93" w:beforeLines="30" w:after="93" w:afterLines="30" w:line="240" w:lineRule="auto"/>
              <w:ind w:firstLine="0" w:firstLineChars="0"/>
              <w:jc w:val="center"/>
              <w:rPr>
                <w:color w:val="auto"/>
                <w:sz w:val="20"/>
                <w:szCs w:val="20"/>
                <w:highlight w:val="none"/>
              </w:rPr>
            </w:pPr>
          </w:p>
        </w:tc>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台</w:t>
            </w:r>
          </w:p>
        </w:tc>
        <w:tc>
          <w:tcPr>
            <w:tcW w:w="511"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3</w:t>
            </w:r>
          </w:p>
        </w:tc>
        <w:tc>
          <w:tcPr>
            <w:tcW w:w="1183" w:type="pct"/>
            <w:vMerge w:val="continue"/>
            <w:vAlign w:val="center"/>
          </w:tcPr>
          <w:p>
            <w:pPr>
              <w:spacing w:before="93" w:beforeLines="30" w:after="93" w:afterLines="30" w:line="240" w:lineRule="auto"/>
              <w:ind w:firstLine="0" w:firstLineChars="0"/>
              <w:jc w:val="center"/>
              <w:rPr>
                <w:color w:val="auto"/>
                <w:sz w:val="20"/>
                <w:szCs w:val="20"/>
                <w:highlight w:val="none"/>
              </w:rPr>
            </w:pPr>
          </w:p>
        </w:tc>
        <w:tc>
          <w:tcPr>
            <w:tcW w:w="850" w:type="pct"/>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显示器</w:t>
            </w:r>
          </w:p>
        </w:tc>
        <w:tc>
          <w:tcPr>
            <w:tcW w:w="1432" w:type="pct"/>
          </w:tcPr>
          <w:p>
            <w:pPr>
              <w:spacing w:before="93" w:beforeLines="30" w:after="93" w:afterLines="30" w:line="240" w:lineRule="auto"/>
              <w:ind w:firstLine="0" w:firstLineChars="0"/>
              <w:jc w:val="center"/>
              <w:rPr>
                <w:color w:val="auto"/>
                <w:sz w:val="20"/>
                <w:szCs w:val="20"/>
                <w:highlight w:val="none"/>
              </w:rPr>
            </w:pPr>
          </w:p>
        </w:tc>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台</w:t>
            </w:r>
          </w:p>
        </w:tc>
        <w:tc>
          <w:tcPr>
            <w:tcW w:w="511"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4</w:t>
            </w:r>
          </w:p>
        </w:tc>
        <w:tc>
          <w:tcPr>
            <w:tcW w:w="1183" w:type="pct"/>
            <w:vMerge w:val="continue"/>
            <w:vAlign w:val="center"/>
          </w:tcPr>
          <w:p>
            <w:pPr>
              <w:spacing w:before="93" w:beforeLines="30" w:after="93" w:afterLines="30" w:line="240" w:lineRule="auto"/>
              <w:ind w:firstLine="0" w:firstLineChars="0"/>
              <w:jc w:val="center"/>
              <w:rPr>
                <w:color w:val="auto"/>
                <w:sz w:val="20"/>
                <w:szCs w:val="20"/>
                <w:highlight w:val="none"/>
              </w:rPr>
            </w:pPr>
          </w:p>
        </w:tc>
        <w:tc>
          <w:tcPr>
            <w:tcW w:w="850" w:type="pct"/>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激光打印机</w:t>
            </w:r>
          </w:p>
        </w:tc>
        <w:tc>
          <w:tcPr>
            <w:tcW w:w="1432" w:type="pct"/>
          </w:tcPr>
          <w:p>
            <w:pPr>
              <w:spacing w:before="93" w:beforeLines="30" w:after="93" w:afterLines="30" w:line="240" w:lineRule="auto"/>
              <w:ind w:firstLine="0" w:firstLineChars="0"/>
              <w:jc w:val="center"/>
              <w:rPr>
                <w:color w:val="auto"/>
                <w:sz w:val="20"/>
                <w:szCs w:val="20"/>
                <w:highlight w:val="none"/>
              </w:rPr>
            </w:pPr>
          </w:p>
        </w:tc>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台</w:t>
            </w:r>
          </w:p>
        </w:tc>
        <w:tc>
          <w:tcPr>
            <w:tcW w:w="511"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5</w:t>
            </w:r>
          </w:p>
        </w:tc>
        <w:tc>
          <w:tcPr>
            <w:tcW w:w="1183" w:type="pct"/>
            <w:vMerge w:val="continue"/>
            <w:vAlign w:val="center"/>
          </w:tcPr>
          <w:p>
            <w:pPr>
              <w:spacing w:before="93" w:beforeLines="30" w:after="93" w:afterLines="30" w:line="240" w:lineRule="auto"/>
              <w:ind w:firstLine="0" w:firstLineChars="0"/>
              <w:jc w:val="center"/>
              <w:rPr>
                <w:color w:val="auto"/>
                <w:sz w:val="20"/>
                <w:szCs w:val="20"/>
                <w:highlight w:val="none"/>
              </w:rPr>
            </w:pPr>
          </w:p>
        </w:tc>
        <w:tc>
          <w:tcPr>
            <w:tcW w:w="850" w:type="pct"/>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投影仪</w:t>
            </w:r>
          </w:p>
        </w:tc>
        <w:tc>
          <w:tcPr>
            <w:tcW w:w="1432" w:type="pct"/>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1280*1024</w:t>
            </w:r>
          </w:p>
        </w:tc>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台</w:t>
            </w:r>
          </w:p>
        </w:tc>
        <w:tc>
          <w:tcPr>
            <w:tcW w:w="511"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6</w:t>
            </w:r>
          </w:p>
        </w:tc>
        <w:tc>
          <w:tcPr>
            <w:tcW w:w="1183" w:type="pct"/>
            <w:vMerge w:val="continue"/>
            <w:vAlign w:val="center"/>
          </w:tcPr>
          <w:p>
            <w:pPr>
              <w:spacing w:before="93" w:beforeLines="30" w:after="93" w:afterLines="30" w:line="240" w:lineRule="auto"/>
              <w:ind w:firstLine="0" w:firstLineChars="0"/>
              <w:jc w:val="center"/>
              <w:rPr>
                <w:color w:val="auto"/>
                <w:sz w:val="20"/>
                <w:szCs w:val="20"/>
                <w:highlight w:val="none"/>
              </w:rPr>
            </w:pPr>
          </w:p>
        </w:tc>
        <w:tc>
          <w:tcPr>
            <w:tcW w:w="850" w:type="pct"/>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电动幕布</w:t>
            </w:r>
          </w:p>
        </w:tc>
        <w:tc>
          <w:tcPr>
            <w:tcW w:w="1432" w:type="pct"/>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4000*3000</w:t>
            </w:r>
          </w:p>
        </w:tc>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台</w:t>
            </w:r>
          </w:p>
        </w:tc>
        <w:tc>
          <w:tcPr>
            <w:tcW w:w="511"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7</w:t>
            </w:r>
          </w:p>
        </w:tc>
        <w:tc>
          <w:tcPr>
            <w:tcW w:w="1183" w:type="pct"/>
            <w:vMerge w:val="continue"/>
            <w:vAlign w:val="center"/>
          </w:tcPr>
          <w:p>
            <w:pPr>
              <w:spacing w:before="93" w:beforeLines="30" w:after="93" w:afterLines="30" w:line="240" w:lineRule="auto"/>
              <w:ind w:firstLine="0" w:firstLineChars="0"/>
              <w:jc w:val="center"/>
              <w:rPr>
                <w:color w:val="auto"/>
                <w:sz w:val="20"/>
                <w:szCs w:val="20"/>
                <w:highlight w:val="none"/>
              </w:rPr>
            </w:pPr>
          </w:p>
        </w:tc>
        <w:tc>
          <w:tcPr>
            <w:tcW w:w="850" w:type="pct"/>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控制台</w:t>
            </w:r>
          </w:p>
        </w:tc>
        <w:tc>
          <w:tcPr>
            <w:tcW w:w="1432" w:type="pct"/>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U型</w:t>
            </w:r>
          </w:p>
        </w:tc>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台</w:t>
            </w:r>
          </w:p>
        </w:tc>
        <w:tc>
          <w:tcPr>
            <w:tcW w:w="511"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8</w:t>
            </w:r>
          </w:p>
        </w:tc>
        <w:tc>
          <w:tcPr>
            <w:tcW w:w="1183" w:type="pct"/>
            <w:vMerge w:val="continue"/>
            <w:vAlign w:val="center"/>
          </w:tcPr>
          <w:p>
            <w:pPr>
              <w:spacing w:before="93" w:beforeLines="30" w:after="93" w:afterLines="30" w:line="240" w:lineRule="auto"/>
              <w:ind w:firstLine="0" w:firstLineChars="0"/>
              <w:jc w:val="center"/>
              <w:rPr>
                <w:color w:val="auto"/>
                <w:sz w:val="20"/>
                <w:szCs w:val="20"/>
                <w:highlight w:val="none"/>
              </w:rPr>
            </w:pPr>
          </w:p>
        </w:tc>
        <w:tc>
          <w:tcPr>
            <w:tcW w:w="850" w:type="pct"/>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组态软件</w:t>
            </w:r>
          </w:p>
        </w:tc>
        <w:tc>
          <w:tcPr>
            <w:tcW w:w="1432" w:type="pct"/>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KING  VIEW6.53</w:t>
            </w:r>
          </w:p>
        </w:tc>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套</w:t>
            </w:r>
          </w:p>
        </w:tc>
        <w:tc>
          <w:tcPr>
            <w:tcW w:w="511"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9</w:t>
            </w:r>
          </w:p>
        </w:tc>
        <w:tc>
          <w:tcPr>
            <w:tcW w:w="1183" w:type="pct"/>
            <w:vMerge w:val="continue"/>
            <w:vAlign w:val="center"/>
          </w:tcPr>
          <w:p>
            <w:pPr>
              <w:spacing w:before="93" w:beforeLines="30" w:after="93" w:afterLines="30" w:line="240" w:lineRule="auto"/>
              <w:ind w:firstLine="0" w:firstLineChars="0"/>
              <w:jc w:val="center"/>
              <w:rPr>
                <w:color w:val="auto"/>
                <w:sz w:val="20"/>
                <w:szCs w:val="20"/>
                <w:highlight w:val="none"/>
              </w:rPr>
            </w:pPr>
          </w:p>
        </w:tc>
        <w:tc>
          <w:tcPr>
            <w:tcW w:w="850" w:type="pct"/>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数据监控软件</w:t>
            </w:r>
          </w:p>
        </w:tc>
        <w:tc>
          <w:tcPr>
            <w:tcW w:w="1432" w:type="pct"/>
          </w:tcPr>
          <w:p>
            <w:pPr>
              <w:spacing w:before="93" w:beforeLines="30" w:after="93" w:afterLines="30" w:line="240" w:lineRule="auto"/>
              <w:ind w:firstLine="0" w:firstLineChars="0"/>
              <w:jc w:val="center"/>
              <w:rPr>
                <w:color w:val="auto"/>
                <w:sz w:val="20"/>
                <w:szCs w:val="20"/>
                <w:highlight w:val="none"/>
              </w:rPr>
            </w:pPr>
          </w:p>
        </w:tc>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套</w:t>
            </w:r>
          </w:p>
        </w:tc>
        <w:tc>
          <w:tcPr>
            <w:tcW w:w="511"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10</w:t>
            </w:r>
          </w:p>
        </w:tc>
        <w:tc>
          <w:tcPr>
            <w:tcW w:w="1183" w:type="pct"/>
            <w:vMerge w:val="continue"/>
            <w:vAlign w:val="center"/>
          </w:tcPr>
          <w:p>
            <w:pPr>
              <w:spacing w:before="93" w:beforeLines="30" w:after="93" w:afterLines="30" w:line="240" w:lineRule="auto"/>
              <w:ind w:firstLine="0" w:firstLineChars="0"/>
              <w:jc w:val="center"/>
              <w:rPr>
                <w:color w:val="auto"/>
                <w:sz w:val="20"/>
                <w:szCs w:val="20"/>
                <w:highlight w:val="none"/>
              </w:rPr>
            </w:pPr>
          </w:p>
        </w:tc>
        <w:tc>
          <w:tcPr>
            <w:tcW w:w="850" w:type="pct"/>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控制台座椅</w:t>
            </w:r>
          </w:p>
        </w:tc>
        <w:tc>
          <w:tcPr>
            <w:tcW w:w="1432" w:type="pct"/>
          </w:tcPr>
          <w:p>
            <w:pPr>
              <w:spacing w:before="93" w:beforeLines="30" w:after="93" w:afterLines="30" w:line="240" w:lineRule="auto"/>
              <w:ind w:firstLine="0" w:firstLineChars="0"/>
              <w:jc w:val="center"/>
              <w:rPr>
                <w:color w:val="auto"/>
                <w:sz w:val="20"/>
                <w:szCs w:val="20"/>
                <w:highlight w:val="none"/>
              </w:rPr>
            </w:pPr>
          </w:p>
        </w:tc>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把</w:t>
            </w:r>
          </w:p>
        </w:tc>
        <w:tc>
          <w:tcPr>
            <w:tcW w:w="511"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11</w:t>
            </w:r>
          </w:p>
        </w:tc>
        <w:tc>
          <w:tcPr>
            <w:tcW w:w="1183" w:type="pct"/>
            <w:vMerge w:val="continue"/>
            <w:vAlign w:val="center"/>
          </w:tcPr>
          <w:p>
            <w:pPr>
              <w:spacing w:before="93" w:beforeLines="30" w:after="93" w:afterLines="30" w:line="240" w:lineRule="auto"/>
              <w:ind w:firstLine="0" w:firstLineChars="0"/>
              <w:jc w:val="center"/>
              <w:rPr>
                <w:color w:val="auto"/>
                <w:sz w:val="20"/>
                <w:szCs w:val="20"/>
                <w:highlight w:val="none"/>
              </w:rPr>
            </w:pPr>
          </w:p>
        </w:tc>
        <w:tc>
          <w:tcPr>
            <w:tcW w:w="850" w:type="pct"/>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总线接收模块</w:t>
            </w:r>
          </w:p>
        </w:tc>
        <w:tc>
          <w:tcPr>
            <w:tcW w:w="1432" w:type="pct"/>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CAN</w:t>
            </w:r>
          </w:p>
        </w:tc>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套</w:t>
            </w:r>
          </w:p>
        </w:tc>
        <w:tc>
          <w:tcPr>
            <w:tcW w:w="511"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12</w:t>
            </w:r>
          </w:p>
        </w:tc>
        <w:tc>
          <w:tcPr>
            <w:tcW w:w="1183" w:type="pct"/>
            <w:vMerge w:val="continue"/>
            <w:vAlign w:val="center"/>
          </w:tcPr>
          <w:p>
            <w:pPr>
              <w:spacing w:before="93" w:beforeLines="30" w:after="93" w:afterLines="30" w:line="240" w:lineRule="auto"/>
              <w:ind w:firstLine="0" w:firstLineChars="0"/>
              <w:jc w:val="center"/>
              <w:rPr>
                <w:color w:val="auto"/>
                <w:sz w:val="20"/>
                <w:szCs w:val="20"/>
                <w:highlight w:val="none"/>
              </w:rPr>
            </w:pPr>
          </w:p>
        </w:tc>
        <w:tc>
          <w:tcPr>
            <w:tcW w:w="850" w:type="pct"/>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UPS电源</w:t>
            </w:r>
          </w:p>
        </w:tc>
        <w:tc>
          <w:tcPr>
            <w:tcW w:w="1432" w:type="pct"/>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MT1000</w:t>
            </w:r>
          </w:p>
        </w:tc>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套</w:t>
            </w:r>
          </w:p>
        </w:tc>
        <w:tc>
          <w:tcPr>
            <w:tcW w:w="511"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13</w:t>
            </w:r>
          </w:p>
        </w:tc>
        <w:tc>
          <w:tcPr>
            <w:tcW w:w="1183" w:type="pct"/>
            <w:vMerge w:val="continue"/>
            <w:vAlign w:val="center"/>
          </w:tcPr>
          <w:p>
            <w:pPr>
              <w:spacing w:before="93" w:beforeLines="30" w:after="93" w:afterLines="30" w:line="240" w:lineRule="auto"/>
              <w:ind w:firstLine="0" w:firstLineChars="0"/>
              <w:jc w:val="center"/>
              <w:rPr>
                <w:color w:val="auto"/>
                <w:sz w:val="20"/>
                <w:szCs w:val="20"/>
                <w:highlight w:val="none"/>
              </w:rPr>
            </w:pPr>
          </w:p>
        </w:tc>
        <w:tc>
          <w:tcPr>
            <w:tcW w:w="850" w:type="pct"/>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通讯电缆</w:t>
            </w:r>
          </w:p>
        </w:tc>
        <w:tc>
          <w:tcPr>
            <w:tcW w:w="1432" w:type="pct"/>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RVVP 2*0.5</w:t>
            </w:r>
          </w:p>
        </w:tc>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米</w:t>
            </w:r>
          </w:p>
        </w:tc>
        <w:tc>
          <w:tcPr>
            <w:tcW w:w="511"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14</w:t>
            </w:r>
          </w:p>
        </w:tc>
        <w:tc>
          <w:tcPr>
            <w:tcW w:w="1183" w:type="pct"/>
            <w:vMerge w:val="continue"/>
            <w:vAlign w:val="center"/>
          </w:tcPr>
          <w:p>
            <w:pPr>
              <w:spacing w:before="93" w:beforeLines="30" w:after="93" w:afterLines="30" w:line="240" w:lineRule="auto"/>
              <w:ind w:firstLine="0" w:firstLineChars="0"/>
              <w:jc w:val="center"/>
              <w:rPr>
                <w:color w:val="auto"/>
                <w:sz w:val="20"/>
                <w:szCs w:val="20"/>
                <w:highlight w:val="none"/>
              </w:rPr>
            </w:pPr>
          </w:p>
        </w:tc>
        <w:tc>
          <w:tcPr>
            <w:tcW w:w="850" w:type="pct"/>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数据传输电缆</w:t>
            </w:r>
          </w:p>
        </w:tc>
        <w:tc>
          <w:tcPr>
            <w:tcW w:w="1432" w:type="pct"/>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RVVP 2*0.5</w:t>
            </w:r>
          </w:p>
        </w:tc>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米</w:t>
            </w:r>
          </w:p>
        </w:tc>
        <w:tc>
          <w:tcPr>
            <w:tcW w:w="511"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15</w:t>
            </w:r>
          </w:p>
        </w:tc>
        <w:tc>
          <w:tcPr>
            <w:tcW w:w="1183" w:type="pct"/>
            <w:vMerge w:val="restar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视频监控系统</w:t>
            </w:r>
          </w:p>
        </w:tc>
        <w:tc>
          <w:tcPr>
            <w:tcW w:w="850" w:type="pct"/>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硬盘录像机</w:t>
            </w:r>
          </w:p>
        </w:tc>
        <w:tc>
          <w:tcPr>
            <w:tcW w:w="1432" w:type="pct"/>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DH-DVR0804（500G）</w:t>
            </w:r>
          </w:p>
        </w:tc>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套</w:t>
            </w:r>
          </w:p>
        </w:tc>
        <w:tc>
          <w:tcPr>
            <w:tcW w:w="511"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16</w:t>
            </w:r>
          </w:p>
        </w:tc>
        <w:tc>
          <w:tcPr>
            <w:tcW w:w="1183" w:type="pct"/>
            <w:vMerge w:val="continue"/>
            <w:vAlign w:val="center"/>
          </w:tcPr>
          <w:p>
            <w:pPr>
              <w:spacing w:before="93" w:beforeLines="30" w:after="93" w:afterLines="30" w:line="240" w:lineRule="auto"/>
              <w:ind w:firstLine="0" w:firstLineChars="0"/>
              <w:jc w:val="center"/>
              <w:rPr>
                <w:color w:val="auto"/>
                <w:sz w:val="20"/>
                <w:szCs w:val="20"/>
                <w:highlight w:val="none"/>
              </w:rPr>
            </w:pPr>
          </w:p>
        </w:tc>
        <w:tc>
          <w:tcPr>
            <w:tcW w:w="850" w:type="pct"/>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数据光端机</w:t>
            </w:r>
          </w:p>
        </w:tc>
        <w:tc>
          <w:tcPr>
            <w:tcW w:w="1432" w:type="pct"/>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E1，光纤接口</w:t>
            </w:r>
          </w:p>
        </w:tc>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对</w:t>
            </w:r>
          </w:p>
        </w:tc>
        <w:tc>
          <w:tcPr>
            <w:tcW w:w="511"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17</w:t>
            </w:r>
          </w:p>
        </w:tc>
        <w:tc>
          <w:tcPr>
            <w:tcW w:w="1183" w:type="pct"/>
            <w:vMerge w:val="continue"/>
            <w:vAlign w:val="center"/>
          </w:tcPr>
          <w:p>
            <w:pPr>
              <w:spacing w:before="93" w:beforeLines="30" w:after="93" w:afterLines="30" w:line="240" w:lineRule="auto"/>
              <w:ind w:firstLine="0" w:firstLineChars="0"/>
              <w:jc w:val="center"/>
              <w:rPr>
                <w:color w:val="auto"/>
                <w:sz w:val="20"/>
                <w:szCs w:val="20"/>
                <w:highlight w:val="none"/>
              </w:rPr>
            </w:pPr>
          </w:p>
        </w:tc>
        <w:tc>
          <w:tcPr>
            <w:tcW w:w="850" w:type="pct"/>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视频光端机</w:t>
            </w:r>
          </w:p>
        </w:tc>
        <w:tc>
          <w:tcPr>
            <w:tcW w:w="1432" w:type="pct"/>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RS232/485/422</w:t>
            </w:r>
          </w:p>
        </w:tc>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对</w:t>
            </w:r>
          </w:p>
        </w:tc>
        <w:tc>
          <w:tcPr>
            <w:tcW w:w="511"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18</w:t>
            </w:r>
          </w:p>
        </w:tc>
        <w:tc>
          <w:tcPr>
            <w:tcW w:w="1183" w:type="pct"/>
            <w:vMerge w:val="continue"/>
            <w:vAlign w:val="center"/>
          </w:tcPr>
          <w:p>
            <w:pPr>
              <w:spacing w:before="93" w:beforeLines="30" w:after="93" w:afterLines="30" w:line="240" w:lineRule="auto"/>
              <w:ind w:firstLine="0" w:firstLineChars="0"/>
              <w:jc w:val="center"/>
              <w:rPr>
                <w:color w:val="auto"/>
                <w:sz w:val="20"/>
                <w:szCs w:val="20"/>
                <w:highlight w:val="none"/>
              </w:rPr>
            </w:pPr>
          </w:p>
        </w:tc>
        <w:tc>
          <w:tcPr>
            <w:tcW w:w="850" w:type="pct"/>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光缆8芯</w:t>
            </w:r>
          </w:p>
        </w:tc>
        <w:tc>
          <w:tcPr>
            <w:tcW w:w="1432" w:type="pct"/>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拉伸力度1000/3000N</w:t>
            </w:r>
          </w:p>
        </w:tc>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米</w:t>
            </w:r>
          </w:p>
        </w:tc>
        <w:tc>
          <w:tcPr>
            <w:tcW w:w="511"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3000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19</w:t>
            </w:r>
          </w:p>
        </w:tc>
        <w:tc>
          <w:tcPr>
            <w:tcW w:w="1183" w:type="pct"/>
            <w:vMerge w:val="continue"/>
            <w:vAlign w:val="center"/>
          </w:tcPr>
          <w:p>
            <w:pPr>
              <w:spacing w:before="93" w:beforeLines="30" w:after="93" w:afterLines="30" w:line="240" w:lineRule="auto"/>
              <w:ind w:firstLine="0" w:firstLineChars="0"/>
              <w:jc w:val="center"/>
              <w:rPr>
                <w:color w:val="auto"/>
                <w:sz w:val="20"/>
                <w:szCs w:val="20"/>
                <w:highlight w:val="none"/>
              </w:rPr>
            </w:pPr>
          </w:p>
        </w:tc>
        <w:tc>
          <w:tcPr>
            <w:tcW w:w="850" w:type="pct"/>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水源地摄像头</w:t>
            </w:r>
          </w:p>
        </w:tc>
        <w:tc>
          <w:tcPr>
            <w:tcW w:w="1432" w:type="pct"/>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NVC-823PN</w:t>
            </w:r>
          </w:p>
        </w:tc>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台</w:t>
            </w:r>
          </w:p>
        </w:tc>
        <w:tc>
          <w:tcPr>
            <w:tcW w:w="511"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20</w:t>
            </w:r>
          </w:p>
        </w:tc>
        <w:tc>
          <w:tcPr>
            <w:tcW w:w="1183" w:type="pct"/>
            <w:vMerge w:val="continue"/>
            <w:vAlign w:val="center"/>
          </w:tcPr>
          <w:p>
            <w:pPr>
              <w:spacing w:before="93" w:beforeLines="30" w:after="93" w:afterLines="30" w:line="240" w:lineRule="auto"/>
              <w:ind w:firstLine="0" w:firstLineChars="0"/>
              <w:jc w:val="center"/>
              <w:rPr>
                <w:color w:val="auto"/>
                <w:sz w:val="20"/>
                <w:szCs w:val="20"/>
                <w:highlight w:val="none"/>
              </w:rPr>
            </w:pPr>
          </w:p>
        </w:tc>
        <w:tc>
          <w:tcPr>
            <w:tcW w:w="850" w:type="pct"/>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水厂摄像头</w:t>
            </w:r>
          </w:p>
        </w:tc>
        <w:tc>
          <w:tcPr>
            <w:tcW w:w="1432" w:type="pct"/>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NVC-823PN</w:t>
            </w:r>
          </w:p>
        </w:tc>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台</w:t>
            </w:r>
          </w:p>
        </w:tc>
        <w:tc>
          <w:tcPr>
            <w:tcW w:w="511"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21</w:t>
            </w:r>
          </w:p>
        </w:tc>
        <w:tc>
          <w:tcPr>
            <w:tcW w:w="1183" w:type="pct"/>
            <w:vMerge w:val="continue"/>
            <w:vAlign w:val="center"/>
          </w:tcPr>
          <w:p>
            <w:pPr>
              <w:spacing w:before="93" w:beforeLines="30" w:after="93" w:afterLines="30" w:line="240" w:lineRule="auto"/>
              <w:ind w:firstLine="0" w:firstLineChars="0"/>
              <w:jc w:val="center"/>
              <w:rPr>
                <w:color w:val="auto"/>
                <w:sz w:val="20"/>
                <w:szCs w:val="20"/>
                <w:highlight w:val="none"/>
              </w:rPr>
            </w:pPr>
          </w:p>
        </w:tc>
        <w:tc>
          <w:tcPr>
            <w:tcW w:w="850" w:type="pct"/>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云台及支架</w:t>
            </w:r>
          </w:p>
        </w:tc>
        <w:tc>
          <w:tcPr>
            <w:tcW w:w="1432" w:type="pct"/>
          </w:tcPr>
          <w:p>
            <w:pPr>
              <w:spacing w:before="93" w:beforeLines="30" w:after="93" w:afterLines="30" w:line="240" w:lineRule="auto"/>
              <w:ind w:firstLine="0" w:firstLineChars="0"/>
              <w:jc w:val="center"/>
              <w:rPr>
                <w:color w:val="auto"/>
                <w:sz w:val="20"/>
                <w:szCs w:val="20"/>
                <w:highlight w:val="none"/>
              </w:rPr>
            </w:pPr>
          </w:p>
        </w:tc>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台</w:t>
            </w:r>
          </w:p>
        </w:tc>
        <w:tc>
          <w:tcPr>
            <w:tcW w:w="511"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22</w:t>
            </w:r>
          </w:p>
        </w:tc>
        <w:tc>
          <w:tcPr>
            <w:tcW w:w="1183" w:type="pct"/>
            <w:vMerge w:val="continue"/>
            <w:vAlign w:val="center"/>
          </w:tcPr>
          <w:p>
            <w:pPr>
              <w:spacing w:before="93" w:beforeLines="30" w:after="93" w:afterLines="30" w:line="240" w:lineRule="auto"/>
              <w:ind w:firstLine="0" w:firstLineChars="0"/>
              <w:jc w:val="center"/>
              <w:rPr>
                <w:color w:val="auto"/>
                <w:sz w:val="20"/>
                <w:szCs w:val="20"/>
                <w:highlight w:val="none"/>
              </w:rPr>
            </w:pPr>
          </w:p>
        </w:tc>
        <w:tc>
          <w:tcPr>
            <w:tcW w:w="850" w:type="pct"/>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信号电缆</w:t>
            </w:r>
          </w:p>
        </w:tc>
        <w:tc>
          <w:tcPr>
            <w:tcW w:w="1432" w:type="pct"/>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4*0.5</w:t>
            </w:r>
          </w:p>
        </w:tc>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米</w:t>
            </w:r>
          </w:p>
        </w:tc>
        <w:tc>
          <w:tcPr>
            <w:tcW w:w="511"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23</w:t>
            </w:r>
          </w:p>
        </w:tc>
        <w:tc>
          <w:tcPr>
            <w:tcW w:w="1183" w:type="pct"/>
            <w:vMerge w:val="continue"/>
            <w:vAlign w:val="center"/>
          </w:tcPr>
          <w:p>
            <w:pPr>
              <w:spacing w:before="93" w:beforeLines="30" w:after="93" w:afterLines="30" w:line="240" w:lineRule="auto"/>
              <w:ind w:firstLine="0" w:firstLineChars="0"/>
              <w:jc w:val="center"/>
              <w:rPr>
                <w:color w:val="auto"/>
                <w:sz w:val="20"/>
                <w:szCs w:val="20"/>
                <w:highlight w:val="none"/>
              </w:rPr>
            </w:pPr>
          </w:p>
        </w:tc>
        <w:tc>
          <w:tcPr>
            <w:tcW w:w="850" w:type="pct"/>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视频线</w:t>
            </w:r>
          </w:p>
        </w:tc>
        <w:tc>
          <w:tcPr>
            <w:tcW w:w="1432" w:type="pct"/>
          </w:tcPr>
          <w:p>
            <w:pPr>
              <w:spacing w:before="93" w:beforeLines="30" w:after="93" w:afterLines="30" w:line="240" w:lineRule="auto"/>
              <w:ind w:firstLine="0" w:firstLineChars="0"/>
              <w:jc w:val="center"/>
              <w:rPr>
                <w:color w:val="auto"/>
                <w:sz w:val="20"/>
                <w:szCs w:val="20"/>
                <w:highlight w:val="none"/>
              </w:rPr>
            </w:pPr>
          </w:p>
        </w:tc>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米</w:t>
            </w:r>
          </w:p>
        </w:tc>
        <w:tc>
          <w:tcPr>
            <w:tcW w:w="511"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24</w:t>
            </w:r>
          </w:p>
        </w:tc>
        <w:tc>
          <w:tcPr>
            <w:tcW w:w="1183"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监控系统</w:t>
            </w:r>
          </w:p>
        </w:tc>
        <w:tc>
          <w:tcPr>
            <w:tcW w:w="850"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监控设备</w:t>
            </w:r>
          </w:p>
        </w:tc>
        <w:tc>
          <w:tcPr>
            <w:tcW w:w="1432" w:type="pct"/>
          </w:tcPr>
          <w:p>
            <w:pPr>
              <w:spacing w:before="93" w:beforeLines="30" w:after="93" w:afterLines="30" w:line="240" w:lineRule="auto"/>
              <w:ind w:firstLine="0" w:firstLineChars="0"/>
              <w:jc w:val="center"/>
              <w:rPr>
                <w:color w:val="auto"/>
                <w:sz w:val="20"/>
                <w:szCs w:val="20"/>
                <w:highlight w:val="none"/>
              </w:rPr>
            </w:pPr>
          </w:p>
        </w:tc>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套</w:t>
            </w:r>
          </w:p>
        </w:tc>
        <w:tc>
          <w:tcPr>
            <w:tcW w:w="511"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25</w:t>
            </w:r>
          </w:p>
        </w:tc>
        <w:tc>
          <w:tcPr>
            <w:tcW w:w="1183"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水费预付费系统</w:t>
            </w:r>
          </w:p>
        </w:tc>
        <w:tc>
          <w:tcPr>
            <w:tcW w:w="850"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收费软件</w:t>
            </w:r>
          </w:p>
        </w:tc>
        <w:tc>
          <w:tcPr>
            <w:tcW w:w="1432" w:type="pct"/>
          </w:tcPr>
          <w:p>
            <w:pPr>
              <w:spacing w:before="93" w:beforeLines="30" w:after="93" w:afterLines="30" w:line="240" w:lineRule="auto"/>
              <w:ind w:firstLine="0" w:firstLineChars="0"/>
              <w:jc w:val="center"/>
              <w:rPr>
                <w:color w:val="auto"/>
                <w:sz w:val="20"/>
                <w:szCs w:val="20"/>
                <w:highlight w:val="none"/>
              </w:rPr>
            </w:pPr>
          </w:p>
        </w:tc>
        <w:tc>
          <w:tcPr>
            <w:tcW w:w="512"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套</w:t>
            </w:r>
          </w:p>
        </w:tc>
        <w:tc>
          <w:tcPr>
            <w:tcW w:w="511" w:type="pct"/>
            <w:vAlign w:val="center"/>
          </w:tcPr>
          <w:p>
            <w:pPr>
              <w:spacing w:before="93" w:beforeLines="30" w:after="93" w:afterLines="30" w:line="240" w:lineRule="auto"/>
              <w:ind w:firstLine="0" w:firstLineChars="0"/>
              <w:jc w:val="center"/>
              <w:rPr>
                <w:color w:val="auto"/>
                <w:sz w:val="20"/>
                <w:szCs w:val="20"/>
                <w:highlight w:val="none"/>
              </w:rPr>
            </w:pPr>
            <w:r>
              <w:rPr>
                <w:rFonts w:hint="eastAsia"/>
                <w:color w:val="auto"/>
                <w:sz w:val="20"/>
                <w:szCs w:val="20"/>
                <w:highlight w:val="none"/>
              </w:rPr>
              <w:t>1</w:t>
            </w:r>
          </w:p>
        </w:tc>
      </w:tr>
    </w:tbl>
    <w:p>
      <w:pPr>
        <w:ind w:firstLine="480"/>
        <w:rPr>
          <w:color w:val="auto"/>
          <w:highlight w:val="none"/>
        </w:rPr>
      </w:pPr>
      <w:r>
        <w:rPr>
          <w:rFonts w:hint="eastAsia"/>
          <w:color w:val="auto"/>
          <w:highlight w:val="none"/>
        </w:rPr>
        <w:t>（二）水质化验室</w:t>
      </w:r>
    </w:p>
    <w:p>
      <w:pPr>
        <w:ind w:firstLine="480"/>
        <w:rPr>
          <w:color w:val="auto"/>
          <w:highlight w:val="none"/>
        </w:rPr>
      </w:pPr>
      <w:r>
        <w:rPr>
          <w:rFonts w:hint="eastAsia"/>
          <w:color w:val="auto"/>
          <w:highlight w:val="none"/>
        </w:rPr>
        <w:t>按照相关要求千吨万人以上水厂应建水质化验室，满足日常监测需要（包括水源水、出厂水和管网末梢水）。其中出厂水日检一般按《生活饮用水卫生标准》（</w:t>
      </w:r>
      <w:r>
        <w:rPr>
          <w:color w:val="auto"/>
          <w:highlight w:val="none"/>
        </w:rPr>
        <w:t>GB57</w:t>
      </w:r>
      <w:r>
        <w:rPr>
          <w:rFonts w:hint="eastAsia"/>
          <w:color w:val="auto"/>
          <w:highlight w:val="none"/>
        </w:rPr>
        <w:t>49-2006）中的9项进行日常检测（包括色度、浑浊度、臭和味、肉眼可见度、pH、耗氧量、菌落总数、总大肠杆菌、消毒剂余量）。所需检测仪器和设备见下表。</w:t>
      </w:r>
    </w:p>
    <w:p>
      <w:pPr>
        <w:pStyle w:val="156"/>
        <w:rPr>
          <w:color w:val="auto"/>
          <w:highlight w:val="none"/>
        </w:rPr>
      </w:pPr>
      <w:r>
        <w:rPr>
          <w:rFonts w:hint="eastAsia"/>
          <w:color w:val="auto"/>
          <w:highlight w:val="none"/>
        </w:rPr>
        <w:t>表5.4-3                水常规检测仪器和设备表</w:t>
      </w:r>
    </w:p>
    <w:tbl>
      <w:tblPr>
        <w:tblStyle w:val="33"/>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97"/>
        <w:gridCol w:w="2841"/>
        <w:gridCol w:w="997"/>
        <w:gridCol w:w="997"/>
        <w:gridCol w:w="26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blHeader/>
        </w:trPr>
        <w:tc>
          <w:tcPr>
            <w:tcW w:w="585" w:type="pct"/>
            <w:shd w:val="clear" w:color="auto" w:fill="auto"/>
            <w:vAlign w:val="center"/>
          </w:tcPr>
          <w:p>
            <w:pPr>
              <w:widowControl/>
              <w:spacing w:line="240" w:lineRule="auto"/>
              <w:ind w:firstLine="0" w:firstLineChars="0"/>
              <w:jc w:val="center"/>
              <w:rPr>
                <w:rFonts w:ascii="宋体" w:hAnsi="宋体"/>
                <w:b/>
                <w:bCs/>
                <w:color w:val="auto"/>
                <w:kern w:val="0"/>
                <w:sz w:val="20"/>
                <w:szCs w:val="20"/>
                <w:highlight w:val="none"/>
              </w:rPr>
            </w:pPr>
            <w:r>
              <w:rPr>
                <w:rFonts w:hint="eastAsia" w:ascii="宋体" w:hAnsi="宋体"/>
                <w:b/>
                <w:bCs/>
                <w:color w:val="auto"/>
                <w:kern w:val="0"/>
                <w:sz w:val="20"/>
                <w:szCs w:val="20"/>
                <w:highlight w:val="none"/>
              </w:rPr>
              <w:t>序号</w:t>
            </w:r>
          </w:p>
        </w:tc>
        <w:tc>
          <w:tcPr>
            <w:tcW w:w="1667" w:type="pct"/>
            <w:shd w:val="clear" w:color="auto" w:fill="auto"/>
            <w:vAlign w:val="center"/>
          </w:tcPr>
          <w:p>
            <w:pPr>
              <w:widowControl/>
              <w:spacing w:line="240" w:lineRule="auto"/>
              <w:ind w:firstLine="0" w:firstLineChars="0"/>
              <w:jc w:val="center"/>
              <w:rPr>
                <w:rFonts w:ascii="宋体" w:hAnsi="宋体"/>
                <w:b/>
                <w:bCs/>
                <w:color w:val="auto"/>
                <w:kern w:val="0"/>
                <w:sz w:val="20"/>
                <w:szCs w:val="20"/>
                <w:highlight w:val="none"/>
              </w:rPr>
            </w:pPr>
            <w:r>
              <w:rPr>
                <w:rFonts w:hint="eastAsia" w:ascii="宋体" w:hAnsi="宋体"/>
                <w:b/>
                <w:bCs/>
                <w:color w:val="auto"/>
                <w:kern w:val="0"/>
                <w:sz w:val="20"/>
                <w:szCs w:val="20"/>
                <w:highlight w:val="none"/>
              </w:rPr>
              <w:t>名称</w:t>
            </w:r>
          </w:p>
        </w:tc>
        <w:tc>
          <w:tcPr>
            <w:tcW w:w="585" w:type="pct"/>
            <w:shd w:val="clear" w:color="auto" w:fill="auto"/>
            <w:vAlign w:val="center"/>
          </w:tcPr>
          <w:p>
            <w:pPr>
              <w:widowControl/>
              <w:spacing w:line="240" w:lineRule="auto"/>
              <w:ind w:firstLine="0" w:firstLineChars="0"/>
              <w:jc w:val="center"/>
              <w:rPr>
                <w:rFonts w:ascii="宋体" w:hAnsi="宋体"/>
                <w:b/>
                <w:bCs/>
                <w:color w:val="auto"/>
                <w:kern w:val="0"/>
                <w:sz w:val="20"/>
                <w:szCs w:val="20"/>
                <w:highlight w:val="none"/>
              </w:rPr>
            </w:pPr>
            <w:r>
              <w:rPr>
                <w:rFonts w:hint="eastAsia" w:ascii="宋体" w:hAnsi="宋体"/>
                <w:b/>
                <w:bCs/>
                <w:color w:val="auto"/>
                <w:kern w:val="0"/>
                <w:sz w:val="20"/>
                <w:szCs w:val="20"/>
                <w:highlight w:val="none"/>
              </w:rPr>
              <w:t>单位</w:t>
            </w:r>
          </w:p>
        </w:tc>
        <w:tc>
          <w:tcPr>
            <w:tcW w:w="585" w:type="pct"/>
            <w:shd w:val="clear" w:color="auto" w:fill="auto"/>
            <w:vAlign w:val="center"/>
          </w:tcPr>
          <w:p>
            <w:pPr>
              <w:widowControl/>
              <w:spacing w:line="240" w:lineRule="auto"/>
              <w:ind w:firstLine="0" w:firstLineChars="0"/>
              <w:jc w:val="center"/>
              <w:rPr>
                <w:rFonts w:ascii="宋体" w:hAnsi="宋体"/>
                <w:b/>
                <w:bCs/>
                <w:color w:val="auto"/>
                <w:kern w:val="0"/>
                <w:sz w:val="20"/>
                <w:szCs w:val="20"/>
                <w:highlight w:val="none"/>
              </w:rPr>
            </w:pPr>
            <w:r>
              <w:rPr>
                <w:rFonts w:hint="eastAsia" w:ascii="宋体" w:hAnsi="宋体"/>
                <w:b/>
                <w:bCs/>
                <w:color w:val="auto"/>
                <w:kern w:val="0"/>
                <w:sz w:val="20"/>
                <w:szCs w:val="20"/>
                <w:highlight w:val="none"/>
              </w:rPr>
              <w:t>数量</w:t>
            </w:r>
          </w:p>
        </w:tc>
        <w:tc>
          <w:tcPr>
            <w:tcW w:w="1579" w:type="pct"/>
            <w:shd w:val="clear" w:color="auto" w:fill="auto"/>
            <w:vAlign w:val="center"/>
          </w:tcPr>
          <w:p>
            <w:pPr>
              <w:widowControl/>
              <w:spacing w:line="240" w:lineRule="auto"/>
              <w:ind w:firstLine="0" w:firstLineChars="0"/>
              <w:jc w:val="center"/>
              <w:rPr>
                <w:rFonts w:ascii="宋体" w:hAnsi="宋体"/>
                <w:b/>
                <w:bCs/>
                <w:color w:val="auto"/>
                <w:kern w:val="0"/>
                <w:sz w:val="20"/>
                <w:szCs w:val="20"/>
                <w:highlight w:val="none"/>
              </w:rPr>
            </w:pPr>
            <w:r>
              <w:rPr>
                <w:rFonts w:hint="eastAsia" w:ascii="宋体" w:hAnsi="宋体"/>
                <w:b/>
                <w:bCs/>
                <w:color w:val="auto"/>
                <w:kern w:val="0"/>
                <w:sz w:val="20"/>
                <w:szCs w:val="20"/>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85"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w:t>
            </w:r>
          </w:p>
        </w:tc>
        <w:tc>
          <w:tcPr>
            <w:tcW w:w="1667" w:type="pct"/>
            <w:shd w:val="clear" w:color="auto" w:fill="auto"/>
            <w:vAlign w:val="center"/>
          </w:tcPr>
          <w:p>
            <w:pPr>
              <w:widowControl/>
              <w:spacing w:line="240" w:lineRule="auto"/>
              <w:ind w:firstLine="0" w:firstLineChars="0"/>
              <w:jc w:val="center"/>
              <w:rPr>
                <w:color w:val="auto"/>
                <w:kern w:val="0"/>
                <w:sz w:val="20"/>
                <w:szCs w:val="20"/>
                <w:highlight w:val="none"/>
              </w:rPr>
            </w:pPr>
            <w:r>
              <w:rPr>
                <w:rFonts w:hAnsi="宋体"/>
                <w:color w:val="auto"/>
                <w:kern w:val="0"/>
                <w:sz w:val="20"/>
                <w:szCs w:val="20"/>
                <w:highlight w:val="none"/>
              </w:rPr>
              <w:t>次氯酸钠测试仪</w:t>
            </w:r>
          </w:p>
        </w:tc>
        <w:tc>
          <w:tcPr>
            <w:tcW w:w="585" w:type="pct"/>
            <w:shd w:val="clear" w:color="auto" w:fill="auto"/>
            <w:vAlign w:val="center"/>
          </w:tcPr>
          <w:p>
            <w:pPr>
              <w:widowControl/>
              <w:spacing w:line="240" w:lineRule="auto"/>
              <w:ind w:firstLine="0" w:firstLineChars="0"/>
              <w:jc w:val="center"/>
              <w:rPr>
                <w:color w:val="auto"/>
                <w:kern w:val="0"/>
                <w:sz w:val="20"/>
                <w:szCs w:val="20"/>
                <w:highlight w:val="none"/>
              </w:rPr>
            </w:pPr>
            <w:r>
              <w:rPr>
                <w:rFonts w:hAnsi="宋体"/>
                <w:color w:val="auto"/>
                <w:kern w:val="0"/>
                <w:sz w:val="20"/>
                <w:szCs w:val="20"/>
                <w:highlight w:val="none"/>
              </w:rPr>
              <w:t>台</w:t>
            </w:r>
          </w:p>
        </w:tc>
        <w:tc>
          <w:tcPr>
            <w:tcW w:w="585"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w:t>
            </w:r>
          </w:p>
        </w:tc>
        <w:tc>
          <w:tcPr>
            <w:tcW w:w="1579" w:type="pct"/>
            <w:shd w:val="clear" w:color="auto" w:fill="auto"/>
            <w:vAlign w:val="center"/>
          </w:tcPr>
          <w:p>
            <w:pPr>
              <w:widowControl/>
              <w:spacing w:line="240" w:lineRule="auto"/>
              <w:ind w:firstLine="0" w:firstLineChars="0"/>
              <w:jc w:val="center"/>
              <w:rPr>
                <w:color w:val="auto"/>
                <w:kern w:val="0"/>
                <w:sz w:val="20"/>
                <w:szCs w:val="20"/>
                <w:highlight w:val="none"/>
              </w:rPr>
            </w:pPr>
            <w:r>
              <w:rPr>
                <w:rFonts w:hAnsi="宋体"/>
                <w:color w:val="auto"/>
                <w:kern w:val="0"/>
                <w:sz w:val="20"/>
                <w:szCs w:val="20"/>
                <w:highlight w:val="none"/>
              </w:rPr>
              <w:t>次氯酸钠测量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85"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2</w:t>
            </w:r>
          </w:p>
        </w:tc>
        <w:tc>
          <w:tcPr>
            <w:tcW w:w="1667" w:type="pct"/>
            <w:shd w:val="clear" w:color="auto" w:fill="auto"/>
            <w:vAlign w:val="center"/>
          </w:tcPr>
          <w:p>
            <w:pPr>
              <w:widowControl/>
              <w:spacing w:line="240" w:lineRule="auto"/>
              <w:ind w:firstLine="0" w:firstLineChars="0"/>
              <w:jc w:val="center"/>
              <w:rPr>
                <w:color w:val="auto"/>
                <w:kern w:val="0"/>
                <w:sz w:val="20"/>
                <w:szCs w:val="20"/>
                <w:highlight w:val="none"/>
              </w:rPr>
            </w:pPr>
            <w:r>
              <w:rPr>
                <w:rFonts w:hAnsi="宋体"/>
                <w:color w:val="auto"/>
                <w:kern w:val="0"/>
                <w:sz w:val="20"/>
                <w:szCs w:val="20"/>
                <w:highlight w:val="none"/>
              </w:rPr>
              <w:t>浊度仪</w:t>
            </w:r>
          </w:p>
        </w:tc>
        <w:tc>
          <w:tcPr>
            <w:tcW w:w="585" w:type="pct"/>
            <w:shd w:val="clear" w:color="auto" w:fill="auto"/>
            <w:vAlign w:val="center"/>
          </w:tcPr>
          <w:p>
            <w:pPr>
              <w:widowControl/>
              <w:spacing w:line="240" w:lineRule="auto"/>
              <w:ind w:firstLine="0" w:firstLineChars="0"/>
              <w:jc w:val="center"/>
              <w:rPr>
                <w:color w:val="auto"/>
                <w:kern w:val="0"/>
                <w:sz w:val="20"/>
                <w:szCs w:val="20"/>
                <w:highlight w:val="none"/>
              </w:rPr>
            </w:pPr>
            <w:r>
              <w:rPr>
                <w:rFonts w:hAnsi="宋体"/>
                <w:color w:val="auto"/>
                <w:kern w:val="0"/>
                <w:sz w:val="20"/>
                <w:szCs w:val="20"/>
                <w:highlight w:val="none"/>
              </w:rPr>
              <w:t>台</w:t>
            </w:r>
          </w:p>
        </w:tc>
        <w:tc>
          <w:tcPr>
            <w:tcW w:w="585"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w:t>
            </w:r>
          </w:p>
        </w:tc>
        <w:tc>
          <w:tcPr>
            <w:tcW w:w="1579" w:type="pct"/>
            <w:shd w:val="clear" w:color="auto" w:fill="auto"/>
            <w:vAlign w:val="center"/>
          </w:tcPr>
          <w:p>
            <w:pPr>
              <w:widowControl/>
              <w:spacing w:line="240" w:lineRule="auto"/>
              <w:ind w:firstLine="0" w:firstLineChars="0"/>
              <w:jc w:val="center"/>
              <w:rPr>
                <w:color w:val="auto"/>
                <w:kern w:val="0"/>
                <w:sz w:val="20"/>
                <w:szCs w:val="20"/>
                <w:highlight w:val="none"/>
              </w:rPr>
            </w:pPr>
            <w:r>
              <w:rPr>
                <w:rFonts w:hAnsi="宋体"/>
                <w:color w:val="auto"/>
                <w:kern w:val="0"/>
                <w:sz w:val="20"/>
                <w:szCs w:val="20"/>
                <w:highlight w:val="none"/>
              </w:rPr>
              <w:t>浊度测量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85"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3</w:t>
            </w:r>
          </w:p>
        </w:tc>
        <w:tc>
          <w:tcPr>
            <w:tcW w:w="1667" w:type="pct"/>
            <w:shd w:val="clear" w:color="auto" w:fill="auto"/>
            <w:vAlign w:val="center"/>
          </w:tcPr>
          <w:p>
            <w:pPr>
              <w:widowControl/>
              <w:spacing w:line="240" w:lineRule="auto"/>
              <w:ind w:firstLine="0" w:firstLineChars="0"/>
              <w:jc w:val="center"/>
              <w:rPr>
                <w:color w:val="auto"/>
                <w:kern w:val="0"/>
                <w:sz w:val="20"/>
                <w:szCs w:val="20"/>
                <w:highlight w:val="none"/>
              </w:rPr>
            </w:pPr>
            <w:r>
              <w:rPr>
                <w:rFonts w:hAnsi="宋体"/>
                <w:color w:val="auto"/>
                <w:kern w:val="0"/>
                <w:sz w:val="20"/>
                <w:szCs w:val="20"/>
                <w:highlight w:val="none"/>
              </w:rPr>
              <w:t>超净工作台</w:t>
            </w:r>
          </w:p>
        </w:tc>
        <w:tc>
          <w:tcPr>
            <w:tcW w:w="585" w:type="pct"/>
            <w:shd w:val="clear" w:color="auto" w:fill="auto"/>
            <w:vAlign w:val="center"/>
          </w:tcPr>
          <w:p>
            <w:pPr>
              <w:widowControl/>
              <w:spacing w:line="240" w:lineRule="auto"/>
              <w:ind w:firstLine="0" w:firstLineChars="0"/>
              <w:jc w:val="center"/>
              <w:rPr>
                <w:color w:val="auto"/>
                <w:kern w:val="0"/>
                <w:sz w:val="20"/>
                <w:szCs w:val="20"/>
                <w:highlight w:val="none"/>
              </w:rPr>
            </w:pPr>
            <w:r>
              <w:rPr>
                <w:rFonts w:hAnsi="宋体"/>
                <w:color w:val="auto"/>
                <w:kern w:val="0"/>
                <w:sz w:val="20"/>
                <w:szCs w:val="20"/>
                <w:highlight w:val="none"/>
              </w:rPr>
              <w:t>台</w:t>
            </w:r>
          </w:p>
        </w:tc>
        <w:tc>
          <w:tcPr>
            <w:tcW w:w="585"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w:t>
            </w:r>
          </w:p>
        </w:tc>
        <w:tc>
          <w:tcPr>
            <w:tcW w:w="1579" w:type="pct"/>
            <w:shd w:val="clear" w:color="auto" w:fill="auto"/>
            <w:vAlign w:val="center"/>
          </w:tcPr>
          <w:p>
            <w:pPr>
              <w:widowControl/>
              <w:spacing w:line="240" w:lineRule="auto"/>
              <w:ind w:firstLine="0" w:firstLineChars="0"/>
              <w:jc w:val="center"/>
              <w:rPr>
                <w:color w:val="auto"/>
                <w:kern w:val="0"/>
                <w:sz w:val="20"/>
                <w:szCs w:val="20"/>
                <w:highlight w:val="none"/>
              </w:rPr>
            </w:pPr>
            <w:r>
              <w:rPr>
                <w:rFonts w:hAnsi="宋体"/>
                <w:color w:val="auto"/>
                <w:kern w:val="0"/>
                <w:sz w:val="20"/>
                <w:szCs w:val="20"/>
                <w:highlight w:val="none"/>
              </w:rPr>
              <w:t>微生物检测基础条件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85"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4</w:t>
            </w:r>
          </w:p>
        </w:tc>
        <w:tc>
          <w:tcPr>
            <w:tcW w:w="1667"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隔水式恒温培养箱</w:t>
            </w:r>
          </w:p>
        </w:tc>
        <w:tc>
          <w:tcPr>
            <w:tcW w:w="585"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台</w:t>
            </w:r>
          </w:p>
        </w:tc>
        <w:tc>
          <w:tcPr>
            <w:tcW w:w="585"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1</w:t>
            </w:r>
          </w:p>
        </w:tc>
        <w:tc>
          <w:tcPr>
            <w:tcW w:w="1579"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微生物检测基础条件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85"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5</w:t>
            </w:r>
          </w:p>
        </w:tc>
        <w:tc>
          <w:tcPr>
            <w:tcW w:w="1667"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数显鼓风干燥箱</w:t>
            </w:r>
          </w:p>
        </w:tc>
        <w:tc>
          <w:tcPr>
            <w:tcW w:w="585"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台</w:t>
            </w:r>
          </w:p>
        </w:tc>
        <w:tc>
          <w:tcPr>
            <w:tcW w:w="585"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1</w:t>
            </w:r>
          </w:p>
        </w:tc>
        <w:tc>
          <w:tcPr>
            <w:tcW w:w="1579"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微生物检测基础条件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85"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6</w:t>
            </w:r>
          </w:p>
        </w:tc>
        <w:tc>
          <w:tcPr>
            <w:tcW w:w="1667"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电热恒温培养箱</w:t>
            </w:r>
          </w:p>
        </w:tc>
        <w:tc>
          <w:tcPr>
            <w:tcW w:w="585"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台</w:t>
            </w:r>
          </w:p>
        </w:tc>
        <w:tc>
          <w:tcPr>
            <w:tcW w:w="585"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1</w:t>
            </w:r>
          </w:p>
        </w:tc>
        <w:tc>
          <w:tcPr>
            <w:tcW w:w="1579"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微生物检测基础条件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85"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7</w:t>
            </w:r>
          </w:p>
        </w:tc>
        <w:tc>
          <w:tcPr>
            <w:tcW w:w="1667"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显微镜</w:t>
            </w:r>
          </w:p>
        </w:tc>
        <w:tc>
          <w:tcPr>
            <w:tcW w:w="585"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台</w:t>
            </w:r>
          </w:p>
        </w:tc>
        <w:tc>
          <w:tcPr>
            <w:tcW w:w="585"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1</w:t>
            </w:r>
          </w:p>
        </w:tc>
        <w:tc>
          <w:tcPr>
            <w:tcW w:w="1579"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微生物检测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85"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8</w:t>
            </w:r>
          </w:p>
        </w:tc>
        <w:tc>
          <w:tcPr>
            <w:tcW w:w="1667"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电子天平</w:t>
            </w:r>
          </w:p>
        </w:tc>
        <w:tc>
          <w:tcPr>
            <w:tcW w:w="585"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台</w:t>
            </w:r>
          </w:p>
        </w:tc>
        <w:tc>
          <w:tcPr>
            <w:tcW w:w="585"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1</w:t>
            </w:r>
          </w:p>
        </w:tc>
        <w:tc>
          <w:tcPr>
            <w:tcW w:w="1579"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称量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85"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9</w:t>
            </w:r>
          </w:p>
        </w:tc>
        <w:tc>
          <w:tcPr>
            <w:tcW w:w="1667"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托盘天平</w:t>
            </w:r>
          </w:p>
        </w:tc>
        <w:tc>
          <w:tcPr>
            <w:tcW w:w="585"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台</w:t>
            </w:r>
          </w:p>
        </w:tc>
        <w:tc>
          <w:tcPr>
            <w:tcW w:w="585"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1</w:t>
            </w:r>
          </w:p>
        </w:tc>
        <w:tc>
          <w:tcPr>
            <w:tcW w:w="1579"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称量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85"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10</w:t>
            </w:r>
          </w:p>
        </w:tc>
        <w:tc>
          <w:tcPr>
            <w:tcW w:w="1667"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蒸馏水机</w:t>
            </w:r>
          </w:p>
        </w:tc>
        <w:tc>
          <w:tcPr>
            <w:tcW w:w="585"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台</w:t>
            </w:r>
          </w:p>
        </w:tc>
        <w:tc>
          <w:tcPr>
            <w:tcW w:w="585"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1</w:t>
            </w:r>
          </w:p>
        </w:tc>
        <w:tc>
          <w:tcPr>
            <w:tcW w:w="1579"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纯水制备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85"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11</w:t>
            </w:r>
          </w:p>
        </w:tc>
        <w:tc>
          <w:tcPr>
            <w:tcW w:w="1667"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菌落计数器</w:t>
            </w:r>
          </w:p>
        </w:tc>
        <w:tc>
          <w:tcPr>
            <w:tcW w:w="585"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台</w:t>
            </w:r>
          </w:p>
        </w:tc>
        <w:tc>
          <w:tcPr>
            <w:tcW w:w="585"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1</w:t>
            </w:r>
          </w:p>
        </w:tc>
        <w:tc>
          <w:tcPr>
            <w:tcW w:w="1579"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微生物检测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85"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12</w:t>
            </w:r>
          </w:p>
        </w:tc>
        <w:tc>
          <w:tcPr>
            <w:tcW w:w="1667"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水浴锅</w:t>
            </w:r>
          </w:p>
        </w:tc>
        <w:tc>
          <w:tcPr>
            <w:tcW w:w="585"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台</w:t>
            </w:r>
          </w:p>
        </w:tc>
        <w:tc>
          <w:tcPr>
            <w:tcW w:w="585"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1</w:t>
            </w:r>
          </w:p>
        </w:tc>
        <w:tc>
          <w:tcPr>
            <w:tcW w:w="1579"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耗氧量检测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85"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13</w:t>
            </w:r>
          </w:p>
        </w:tc>
        <w:tc>
          <w:tcPr>
            <w:tcW w:w="1667"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电炉</w:t>
            </w:r>
          </w:p>
        </w:tc>
        <w:tc>
          <w:tcPr>
            <w:tcW w:w="585"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台</w:t>
            </w:r>
          </w:p>
        </w:tc>
        <w:tc>
          <w:tcPr>
            <w:tcW w:w="585"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1</w:t>
            </w:r>
          </w:p>
        </w:tc>
        <w:tc>
          <w:tcPr>
            <w:tcW w:w="1579"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加热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85"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14</w:t>
            </w:r>
          </w:p>
        </w:tc>
        <w:tc>
          <w:tcPr>
            <w:tcW w:w="1667"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高压蒸汽灭菌锅</w:t>
            </w:r>
          </w:p>
        </w:tc>
        <w:tc>
          <w:tcPr>
            <w:tcW w:w="585"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台</w:t>
            </w:r>
          </w:p>
        </w:tc>
        <w:tc>
          <w:tcPr>
            <w:tcW w:w="585"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1</w:t>
            </w:r>
          </w:p>
        </w:tc>
        <w:tc>
          <w:tcPr>
            <w:tcW w:w="1579"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微生物检测基础条件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85"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15</w:t>
            </w:r>
          </w:p>
        </w:tc>
        <w:tc>
          <w:tcPr>
            <w:tcW w:w="1667"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酒精灯</w:t>
            </w:r>
          </w:p>
        </w:tc>
        <w:tc>
          <w:tcPr>
            <w:tcW w:w="585"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台</w:t>
            </w:r>
          </w:p>
        </w:tc>
        <w:tc>
          <w:tcPr>
            <w:tcW w:w="585"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1</w:t>
            </w:r>
          </w:p>
        </w:tc>
        <w:tc>
          <w:tcPr>
            <w:tcW w:w="1579"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微生物检测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85"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16</w:t>
            </w:r>
          </w:p>
        </w:tc>
        <w:tc>
          <w:tcPr>
            <w:tcW w:w="1667"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玻璃器皿</w:t>
            </w:r>
          </w:p>
        </w:tc>
        <w:tc>
          <w:tcPr>
            <w:tcW w:w="585"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宗</w:t>
            </w:r>
          </w:p>
        </w:tc>
        <w:tc>
          <w:tcPr>
            <w:tcW w:w="585"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1</w:t>
            </w:r>
          </w:p>
        </w:tc>
        <w:tc>
          <w:tcPr>
            <w:tcW w:w="1579"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化验室基础配件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85"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17</w:t>
            </w:r>
          </w:p>
        </w:tc>
        <w:tc>
          <w:tcPr>
            <w:tcW w:w="1667"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试验台及通风系统</w:t>
            </w:r>
          </w:p>
        </w:tc>
        <w:tc>
          <w:tcPr>
            <w:tcW w:w="585"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套</w:t>
            </w:r>
          </w:p>
        </w:tc>
        <w:tc>
          <w:tcPr>
            <w:tcW w:w="585"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1</w:t>
            </w:r>
          </w:p>
        </w:tc>
        <w:tc>
          <w:tcPr>
            <w:tcW w:w="1579"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化验室基础条件</w:t>
            </w:r>
          </w:p>
        </w:tc>
      </w:tr>
    </w:tbl>
    <w:p>
      <w:pPr>
        <w:pStyle w:val="4"/>
        <w:rPr>
          <w:color w:val="auto"/>
          <w:highlight w:val="none"/>
        </w:rPr>
      </w:pPr>
      <w:r>
        <w:rPr>
          <w:rFonts w:hint="eastAsia"/>
          <w:color w:val="auto"/>
          <w:highlight w:val="none"/>
        </w:rPr>
        <w:t>5.4.8定员编制</w:t>
      </w:r>
    </w:p>
    <w:p>
      <w:pPr>
        <w:ind w:firstLine="480"/>
        <w:rPr>
          <w:color w:val="auto"/>
          <w:highlight w:val="none"/>
        </w:rPr>
      </w:pPr>
      <w:r>
        <w:rPr>
          <w:rFonts w:hint="eastAsia"/>
          <w:color w:val="auto"/>
          <w:highlight w:val="none"/>
        </w:rPr>
        <w:t>根据水厂供水规模，按照《村镇供水站定岗标准》，本次新建西郊水厂定员级别为Ⅰ级。</w:t>
      </w:r>
    </w:p>
    <w:p>
      <w:pPr>
        <w:ind w:firstLine="480"/>
        <w:rPr>
          <w:color w:val="auto"/>
          <w:highlight w:val="none"/>
        </w:rPr>
      </w:pPr>
      <w:r>
        <w:rPr>
          <w:rFonts w:hint="eastAsia"/>
          <w:color w:val="auto"/>
          <w:highlight w:val="none"/>
        </w:rPr>
        <w:t>水厂岗位设置分以下</w:t>
      </w:r>
      <w:r>
        <w:rPr>
          <w:color w:val="auto"/>
          <w:highlight w:val="none"/>
        </w:rPr>
        <w:t>8</w:t>
      </w:r>
      <w:r>
        <w:rPr>
          <w:rFonts w:hint="eastAsia"/>
          <w:color w:val="auto"/>
          <w:highlight w:val="none"/>
        </w:rPr>
        <w:t>类：</w:t>
      </w:r>
    </w:p>
    <w:p>
      <w:pPr>
        <w:ind w:firstLine="480"/>
        <w:rPr>
          <w:color w:val="auto"/>
          <w:highlight w:val="none"/>
        </w:rPr>
      </w:pPr>
      <w:r>
        <w:rPr>
          <w:color w:val="auto"/>
          <w:highlight w:val="none"/>
        </w:rPr>
        <w:t>1</w:t>
      </w:r>
      <w:r>
        <w:rPr>
          <w:rFonts w:hint="eastAsia"/>
          <w:color w:val="auto"/>
          <w:highlight w:val="none"/>
        </w:rPr>
        <w:t>、单位负责类：对水厂运行、技术、财务及资产管理负总责；</w:t>
      </w:r>
    </w:p>
    <w:p>
      <w:pPr>
        <w:ind w:firstLine="480"/>
        <w:rPr>
          <w:color w:val="auto"/>
          <w:highlight w:val="none"/>
        </w:rPr>
      </w:pPr>
      <w:r>
        <w:rPr>
          <w:color w:val="auto"/>
          <w:highlight w:val="none"/>
        </w:rPr>
        <w:t>2</w:t>
      </w:r>
      <w:r>
        <w:rPr>
          <w:rFonts w:hint="eastAsia"/>
          <w:color w:val="auto"/>
          <w:highlight w:val="none"/>
        </w:rPr>
        <w:t>、行政管理类；负责行政事务、文秘、档案、人事、教育、安全生产管理；</w:t>
      </w:r>
    </w:p>
    <w:p>
      <w:pPr>
        <w:ind w:firstLine="480"/>
        <w:rPr>
          <w:color w:val="auto"/>
          <w:highlight w:val="none"/>
        </w:rPr>
      </w:pPr>
      <w:r>
        <w:rPr>
          <w:color w:val="auto"/>
          <w:highlight w:val="none"/>
        </w:rPr>
        <w:t>3</w:t>
      </w:r>
      <w:r>
        <w:rPr>
          <w:rFonts w:hint="eastAsia"/>
          <w:color w:val="auto"/>
          <w:highlight w:val="none"/>
        </w:rPr>
        <w:t>、技术管理类；负责技术、制水工艺、机电设备、计划统计、自动化管理；</w:t>
      </w:r>
    </w:p>
    <w:p>
      <w:pPr>
        <w:ind w:firstLine="480"/>
        <w:rPr>
          <w:color w:val="auto"/>
          <w:highlight w:val="none"/>
        </w:rPr>
      </w:pPr>
      <w:r>
        <w:rPr>
          <w:color w:val="auto"/>
          <w:highlight w:val="none"/>
        </w:rPr>
        <w:t>4</w:t>
      </w:r>
      <w:r>
        <w:rPr>
          <w:rFonts w:hint="eastAsia"/>
          <w:color w:val="auto"/>
          <w:highlight w:val="none"/>
        </w:rPr>
        <w:t>、财务与资产管理类；负责财务与资产、供水成本及水价、物质管理；</w:t>
      </w:r>
    </w:p>
    <w:p>
      <w:pPr>
        <w:ind w:firstLine="480"/>
        <w:rPr>
          <w:color w:val="auto"/>
          <w:highlight w:val="none"/>
        </w:rPr>
      </w:pPr>
      <w:r>
        <w:rPr>
          <w:color w:val="auto"/>
          <w:highlight w:val="none"/>
        </w:rPr>
        <w:t>5</w:t>
      </w:r>
      <w:r>
        <w:rPr>
          <w:rFonts w:hint="eastAsia"/>
          <w:color w:val="auto"/>
          <w:highlight w:val="none"/>
        </w:rPr>
        <w:t>、运行类：负责设备运行与维修、制水；</w:t>
      </w:r>
    </w:p>
    <w:p>
      <w:pPr>
        <w:ind w:firstLine="480"/>
        <w:rPr>
          <w:color w:val="auto"/>
          <w:highlight w:val="none"/>
        </w:rPr>
      </w:pPr>
      <w:r>
        <w:rPr>
          <w:color w:val="auto"/>
          <w:highlight w:val="none"/>
        </w:rPr>
        <w:t>6</w:t>
      </w:r>
      <w:r>
        <w:rPr>
          <w:rFonts w:hint="eastAsia"/>
          <w:color w:val="auto"/>
          <w:highlight w:val="none"/>
        </w:rPr>
        <w:t>、计量监测类：负责水质监测、仪表校验、计量抄表、水费计收；</w:t>
      </w:r>
    </w:p>
    <w:p>
      <w:pPr>
        <w:ind w:firstLine="480"/>
        <w:rPr>
          <w:color w:val="auto"/>
          <w:highlight w:val="none"/>
        </w:rPr>
      </w:pPr>
      <w:r>
        <w:rPr>
          <w:color w:val="auto"/>
          <w:highlight w:val="none"/>
        </w:rPr>
        <w:t>7</w:t>
      </w:r>
      <w:r>
        <w:rPr>
          <w:rFonts w:hint="eastAsia"/>
          <w:color w:val="auto"/>
          <w:highlight w:val="none"/>
        </w:rPr>
        <w:t>、安装维修类：负责管道、水表安装维修，用户服务，管道及供水巡查；</w:t>
      </w:r>
    </w:p>
    <w:p>
      <w:pPr>
        <w:ind w:firstLine="480"/>
        <w:rPr>
          <w:color w:val="auto"/>
          <w:highlight w:val="none"/>
        </w:rPr>
      </w:pPr>
      <w:r>
        <w:rPr>
          <w:color w:val="auto"/>
          <w:highlight w:val="none"/>
        </w:rPr>
        <w:t>8</w:t>
      </w:r>
      <w:r>
        <w:rPr>
          <w:rFonts w:hint="eastAsia"/>
          <w:color w:val="auto"/>
          <w:highlight w:val="none"/>
        </w:rPr>
        <w:t>、辅助类：炊事员、司机。</w:t>
      </w:r>
    </w:p>
    <w:p>
      <w:pPr>
        <w:ind w:firstLine="480"/>
        <w:rPr>
          <w:color w:val="auto"/>
          <w:highlight w:val="none"/>
        </w:rPr>
      </w:pPr>
      <w:r>
        <w:rPr>
          <w:rFonts w:hint="eastAsia"/>
          <w:color w:val="auto"/>
          <w:highlight w:val="none"/>
        </w:rPr>
        <w:t>定员级别为Ⅰ级的水厂定员人数为19人，各级水厂定员编制见下表。</w:t>
      </w:r>
    </w:p>
    <w:p>
      <w:pPr>
        <w:ind w:firstLine="480"/>
        <w:rPr>
          <w:color w:val="auto"/>
          <w:highlight w:val="none"/>
        </w:rPr>
      </w:pPr>
    </w:p>
    <w:p>
      <w:pPr>
        <w:ind w:firstLine="480"/>
        <w:rPr>
          <w:color w:val="auto"/>
          <w:highlight w:val="none"/>
        </w:rPr>
      </w:pPr>
    </w:p>
    <w:p>
      <w:pPr>
        <w:pStyle w:val="156"/>
        <w:rPr>
          <w:color w:val="auto"/>
          <w:highlight w:val="none"/>
        </w:rPr>
      </w:pPr>
      <w:r>
        <w:rPr>
          <w:rFonts w:hint="eastAsia"/>
          <w:color w:val="auto"/>
          <w:highlight w:val="none"/>
        </w:rPr>
        <w:t>表5.4-4               西郊水厂岗位定员汇总表</w:t>
      </w:r>
    </w:p>
    <w:tbl>
      <w:tblPr>
        <w:tblStyle w:val="33"/>
        <w:tblW w:w="4766"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05"/>
        <w:gridCol w:w="2008"/>
        <w:gridCol w:w="1205"/>
        <w:gridCol w:w="37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blHeader/>
        </w:trPr>
        <w:tc>
          <w:tcPr>
            <w:tcW w:w="742"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岗位类别</w:t>
            </w:r>
          </w:p>
        </w:tc>
        <w:tc>
          <w:tcPr>
            <w:tcW w:w="1236"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岗位名称</w:t>
            </w:r>
          </w:p>
        </w:tc>
        <w:tc>
          <w:tcPr>
            <w:tcW w:w="742"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定员人数</w:t>
            </w:r>
          </w:p>
        </w:tc>
        <w:tc>
          <w:tcPr>
            <w:tcW w:w="2280"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742"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管理类</w:t>
            </w:r>
          </w:p>
        </w:tc>
        <w:tc>
          <w:tcPr>
            <w:tcW w:w="1236"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厂长</w:t>
            </w:r>
          </w:p>
        </w:tc>
        <w:tc>
          <w:tcPr>
            <w:tcW w:w="742"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w:t>
            </w:r>
          </w:p>
        </w:tc>
        <w:tc>
          <w:tcPr>
            <w:tcW w:w="2280"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负责全面工作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42"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办公室</w:t>
            </w:r>
          </w:p>
        </w:tc>
        <w:tc>
          <w:tcPr>
            <w:tcW w:w="1236"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工作人员</w:t>
            </w:r>
          </w:p>
        </w:tc>
        <w:tc>
          <w:tcPr>
            <w:tcW w:w="742"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3</w:t>
            </w:r>
          </w:p>
        </w:tc>
        <w:tc>
          <w:tcPr>
            <w:tcW w:w="2280"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人事、教育、安全生产，行政事务、</w:t>
            </w:r>
          </w:p>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文秘、档案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742" w:type="pct"/>
            <w:vMerge w:val="restar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技术类</w:t>
            </w:r>
          </w:p>
        </w:tc>
        <w:tc>
          <w:tcPr>
            <w:tcW w:w="1236"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总工</w:t>
            </w:r>
          </w:p>
        </w:tc>
        <w:tc>
          <w:tcPr>
            <w:tcW w:w="742"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w:t>
            </w:r>
          </w:p>
        </w:tc>
        <w:tc>
          <w:tcPr>
            <w:tcW w:w="2280"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技术总负责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42" w:type="pct"/>
            <w:vMerge w:val="continue"/>
            <w:vAlign w:val="center"/>
          </w:tcPr>
          <w:p>
            <w:pPr>
              <w:widowControl/>
              <w:spacing w:line="240" w:lineRule="auto"/>
              <w:ind w:firstLine="0" w:firstLineChars="0"/>
              <w:jc w:val="left"/>
              <w:rPr>
                <w:rFonts w:ascii="宋体" w:hAnsi="宋体"/>
                <w:color w:val="auto"/>
                <w:kern w:val="0"/>
                <w:sz w:val="20"/>
                <w:szCs w:val="20"/>
                <w:highlight w:val="none"/>
              </w:rPr>
            </w:pPr>
          </w:p>
        </w:tc>
        <w:tc>
          <w:tcPr>
            <w:tcW w:w="1236"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技术人员</w:t>
            </w:r>
          </w:p>
        </w:tc>
        <w:tc>
          <w:tcPr>
            <w:tcW w:w="742"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3</w:t>
            </w:r>
          </w:p>
        </w:tc>
        <w:tc>
          <w:tcPr>
            <w:tcW w:w="2280"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计划统计、制水工艺，机电、自动化技术。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742" w:type="pct"/>
            <w:vMerge w:val="restar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财务与资产管理类</w:t>
            </w:r>
          </w:p>
        </w:tc>
        <w:tc>
          <w:tcPr>
            <w:tcW w:w="1236"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财务科长</w:t>
            </w:r>
          </w:p>
        </w:tc>
        <w:tc>
          <w:tcPr>
            <w:tcW w:w="742"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w:t>
            </w:r>
          </w:p>
        </w:tc>
        <w:tc>
          <w:tcPr>
            <w:tcW w:w="2280"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财务及资产总负责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742" w:type="pct"/>
            <w:vMerge w:val="continue"/>
            <w:vAlign w:val="center"/>
          </w:tcPr>
          <w:p>
            <w:pPr>
              <w:widowControl/>
              <w:spacing w:line="240" w:lineRule="auto"/>
              <w:ind w:firstLine="0" w:firstLineChars="0"/>
              <w:jc w:val="left"/>
              <w:rPr>
                <w:rFonts w:ascii="宋体" w:hAnsi="宋体"/>
                <w:color w:val="auto"/>
                <w:kern w:val="0"/>
                <w:sz w:val="20"/>
                <w:szCs w:val="20"/>
                <w:highlight w:val="none"/>
              </w:rPr>
            </w:pPr>
          </w:p>
        </w:tc>
        <w:tc>
          <w:tcPr>
            <w:tcW w:w="1236"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财务人员</w:t>
            </w:r>
          </w:p>
        </w:tc>
        <w:tc>
          <w:tcPr>
            <w:tcW w:w="742"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3</w:t>
            </w:r>
          </w:p>
        </w:tc>
        <w:tc>
          <w:tcPr>
            <w:tcW w:w="2280"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出纳、成本及水价管理物质管理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742" w:type="pct"/>
            <w:vMerge w:val="restar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运行类</w:t>
            </w:r>
          </w:p>
        </w:tc>
        <w:tc>
          <w:tcPr>
            <w:tcW w:w="1236"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设备仪器仪表检修</w:t>
            </w:r>
          </w:p>
        </w:tc>
        <w:tc>
          <w:tcPr>
            <w:tcW w:w="742"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w:t>
            </w:r>
          </w:p>
        </w:tc>
        <w:tc>
          <w:tcPr>
            <w:tcW w:w="2280"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其中一人由负责人兼岗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742" w:type="pct"/>
            <w:vMerge w:val="continue"/>
            <w:vAlign w:val="center"/>
          </w:tcPr>
          <w:p>
            <w:pPr>
              <w:widowControl/>
              <w:spacing w:line="240" w:lineRule="auto"/>
              <w:ind w:firstLine="0" w:firstLineChars="0"/>
              <w:jc w:val="left"/>
              <w:rPr>
                <w:rFonts w:ascii="宋体" w:hAnsi="宋体"/>
                <w:color w:val="auto"/>
                <w:kern w:val="0"/>
                <w:sz w:val="20"/>
                <w:szCs w:val="20"/>
                <w:highlight w:val="none"/>
              </w:rPr>
            </w:pPr>
          </w:p>
        </w:tc>
        <w:tc>
          <w:tcPr>
            <w:tcW w:w="1236"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制水</w:t>
            </w:r>
          </w:p>
        </w:tc>
        <w:tc>
          <w:tcPr>
            <w:tcW w:w="742"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w:t>
            </w:r>
          </w:p>
        </w:tc>
        <w:tc>
          <w:tcPr>
            <w:tcW w:w="2280"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742"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计量</w:t>
            </w:r>
          </w:p>
        </w:tc>
        <w:tc>
          <w:tcPr>
            <w:tcW w:w="1236" w:type="pct"/>
            <w:vMerge w:val="restar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监测负责人</w:t>
            </w:r>
          </w:p>
        </w:tc>
        <w:tc>
          <w:tcPr>
            <w:tcW w:w="742" w:type="pct"/>
            <w:vMerge w:val="restar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w:t>
            </w:r>
          </w:p>
        </w:tc>
        <w:tc>
          <w:tcPr>
            <w:tcW w:w="2280" w:type="pct"/>
            <w:vMerge w:val="restar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742"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监测类</w:t>
            </w:r>
          </w:p>
        </w:tc>
        <w:tc>
          <w:tcPr>
            <w:tcW w:w="1236" w:type="pct"/>
            <w:vMerge w:val="continue"/>
            <w:vAlign w:val="center"/>
          </w:tcPr>
          <w:p>
            <w:pPr>
              <w:widowControl/>
              <w:spacing w:line="240" w:lineRule="auto"/>
              <w:ind w:firstLine="0" w:firstLineChars="0"/>
              <w:jc w:val="left"/>
              <w:rPr>
                <w:rFonts w:ascii="宋体" w:hAnsi="宋体"/>
                <w:color w:val="auto"/>
                <w:kern w:val="0"/>
                <w:sz w:val="20"/>
                <w:szCs w:val="20"/>
                <w:highlight w:val="none"/>
              </w:rPr>
            </w:pPr>
          </w:p>
        </w:tc>
        <w:tc>
          <w:tcPr>
            <w:tcW w:w="742" w:type="pct"/>
            <w:vMerge w:val="continue"/>
            <w:vAlign w:val="center"/>
          </w:tcPr>
          <w:p>
            <w:pPr>
              <w:widowControl/>
              <w:spacing w:line="240" w:lineRule="auto"/>
              <w:ind w:firstLine="0" w:firstLineChars="0"/>
              <w:jc w:val="left"/>
              <w:rPr>
                <w:color w:val="auto"/>
                <w:kern w:val="0"/>
                <w:sz w:val="20"/>
                <w:szCs w:val="20"/>
                <w:highlight w:val="none"/>
              </w:rPr>
            </w:pPr>
          </w:p>
        </w:tc>
        <w:tc>
          <w:tcPr>
            <w:tcW w:w="2280" w:type="pct"/>
            <w:vMerge w:val="continue"/>
            <w:vAlign w:val="center"/>
          </w:tcPr>
          <w:p>
            <w:pPr>
              <w:widowControl/>
              <w:spacing w:line="240" w:lineRule="auto"/>
              <w:ind w:firstLine="0" w:firstLineChars="0"/>
              <w:jc w:val="left"/>
              <w:rPr>
                <w:rFonts w:ascii="宋体" w:hAnsi="宋体"/>
                <w:color w:val="auto"/>
                <w:kern w:val="0"/>
                <w:sz w:val="20"/>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742"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安装</w:t>
            </w:r>
          </w:p>
        </w:tc>
        <w:tc>
          <w:tcPr>
            <w:tcW w:w="1236"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安装维修负责人</w:t>
            </w:r>
          </w:p>
        </w:tc>
        <w:tc>
          <w:tcPr>
            <w:tcW w:w="742"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w:t>
            </w:r>
          </w:p>
        </w:tc>
        <w:tc>
          <w:tcPr>
            <w:tcW w:w="2280"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兼岗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742"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维修类</w:t>
            </w:r>
          </w:p>
        </w:tc>
        <w:tc>
          <w:tcPr>
            <w:tcW w:w="1236"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管道设备维修</w:t>
            </w:r>
          </w:p>
        </w:tc>
        <w:tc>
          <w:tcPr>
            <w:tcW w:w="742"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2</w:t>
            </w:r>
          </w:p>
        </w:tc>
        <w:tc>
          <w:tcPr>
            <w:tcW w:w="2280"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其中一人由负责人兼岗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742"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辅助类</w:t>
            </w:r>
          </w:p>
        </w:tc>
        <w:tc>
          <w:tcPr>
            <w:tcW w:w="1236"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742"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w:t>
            </w:r>
          </w:p>
        </w:tc>
        <w:tc>
          <w:tcPr>
            <w:tcW w:w="2280"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司机、炊事员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742"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合计</w:t>
            </w:r>
          </w:p>
        </w:tc>
        <w:tc>
          <w:tcPr>
            <w:tcW w:w="1236"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742"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19</w:t>
            </w:r>
          </w:p>
        </w:tc>
        <w:tc>
          <w:tcPr>
            <w:tcW w:w="2280"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r>
    </w:tbl>
    <w:p>
      <w:pPr>
        <w:pStyle w:val="4"/>
        <w:rPr>
          <w:color w:val="auto"/>
          <w:highlight w:val="none"/>
        </w:rPr>
      </w:pPr>
      <w:r>
        <w:rPr>
          <w:rFonts w:hint="eastAsia"/>
          <w:color w:val="auto"/>
          <w:highlight w:val="none"/>
        </w:rPr>
        <w:t>5.4.9水泵选型</w:t>
      </w:r>
    </w:p>
    <w:p>
      <w:pPr>
        <w:ind w:firstLine="480"/>
        <w:rPr>
          <w:color w:val="auto"/>
          <w:highlight w:val="none"/>
        </w:rPr>
      </w:pPr>
      <w:r>
        <w:rPr>
          <w:rFonts w:hint="eastAsia"/>
          <w:color w:val="auto"/>
          <w:highlight w:val="none"/>
        </w:rPr>
        <w:t>1、最高日最高时用水量</w:t>
      </w:r>
    </w:p>
    <w:p>
      <w:pPr>
        <w:ind w:firstLine="480"/>
        <w:rPr>
          <w:color w:val="auto"/>
          <w:highlight w:val="none"/>
        </w:rPr>
      </w:pPr>
      <w:r>
        <w:rPr>
          <w:rFonts w:hint="eastAsia"/>
          <w:color w:val="auto"/>
          <w:highlight w:val="none"/>
        </w:rPr>
        <w:t>本工程最高日用水量为30000m</w:t>
      </w:r>
      <w:r>
        <w:rPr>
          <w:rFonts w:hint="eastAsia"/>
          <w:color w:val="auto"/>
          <w:highlight w:val="none"/>
          <w:vertAlign w:val="superscript"/>
        </w:rPr>
        <w:t>3</w:t>
      </w:r>
      <w:r>
        <w:rPr>
          <w:rFonts w:hint="eastAsia"/>
          <w:color w:val="auto"/>
          <w:highlight w:val="none"/>
        </w:rPr>
        <w:t>/d，时变化系数为2.0，最高日最高时用水量Qmax=2.0×30000/24=2500m</w:t>
      </w:r>
      <w:r>
        <w:rPr>
          <w:rFonts w:hint="eastAsia"/>
          <w:color w:val="auto"/>
          <w:highlight w:val="none"/>
          <w:vertAlign w:val="superscript"/>
        </w:rPr>
        <w:t>3</w:t>
      </w:r>
      <w:r>
        <w:rPr>
          <w:rFonts w:hint="eastAsia"/>
          <w:color w:val="auto"/>
          <w:highlight w:val="none"/>
        </w:rPr>
        <w:t>/h。</w:t>
      </w:r>
    </w:p>
    <w:p>
      <w:pPr>
        <w:ind w:firstLine="480"/>
        <w:rPr>
          <w:color w:val="auto"/>
          <w:highlight w:val="none"/>
        </w:rPr>
      </w:pPr>
      <w:r>
        <w:rPr>
          <w:rFonts w:hint="eastAsia"/>
          <w:color w:val="auto"/>
          <w:highlight w:val="none"/>
        </w:rPr>
        <w:t>2、出厂水压</w:t>
      </w:r>
    </w:p>
    <w:p>
      <w:pPr>
        <w:ind w:firstLine="480"/>
        <w:rPr>
          <w:color w:val="auto"/>
          <w:highlight w:val="none"/>
        </w:rPr>
      </w:pPr>
      <w:r>
        <w:rPr>
          <w:rFonts w:hint="eastAsia"/>
          <w:color w:val="auto"/>
          <w:highlight w:val="none"/>
        </w:rPr>
        <w:t xml:space="preserve">水厂水泵加压管道的出厂水压为40.0m。 </w:t>
      </w:r>
    </w:p>
    <w:p>
      <w:pPr>
        <w:ind w:firstLine="480"/>
        <w:rPr>
          <w:color w:val="auto"/>
          <w:highlight w:val="none"/>
        </w:rPr>
      </w:pPr>
      <w:r>
        <w:rPr>
          <w:rFonts w:hint="eastAsia"/>
          <w:color w:val="auto"/>
          <w:highlight w:val="none"/>
        </w:rPr>
        <w:t>3、水泵选型</w:t>
      </w:r>
    </w:p>
    <w:p>
      <w:pPr>
        <w:ind w:firstLine="480"/>
        <w:rPr>
          <w:color w:val="auto"/>
          <w:highlight w:val="none"/>
        </w:rPr>
      </w:pPr>
      <w:r>
        <w:rPr>
          <w:rFonts w:hint="eastAsia"/>
          <w:color w:val="auto"/>
          <w:highlight w:val="none"/>
        </w:rPr>
        <w:t>水泵选型在满足工况要求的前提下，尽量选用技术先进、质量可靠，工作效率较高的节能型产品。</w:t>
      </w:r>
    </w:p>
    <w:p>
      <w:pPr>
        <w:ind w:firstLine="480"/>
        <w:rPr>
          <w:color w:val="auto"/>
          <w:highlight w:val="none"/>
        </w:rPr>
      </w:pPr>
      <w:r>
        <w:rPr>
          <w:rFonts w:hint="eastAsia"/>
          <w:color w:val="auto"/>
          <w:highlight w:val="none"/>
        </w:rPr>
        <w:t>考虑经济运行，设计采用同型号多泵并联工作方式，选取4台</w:t>
      </w:r>
      <w:r>
        <w:rPr>
          <w:color w:val="auto"/>
          <w:highlight w:val="none"/>
        </w:rPr>
        <w:t>ISW</w:t>
      </w:r>
      <w:r>
        <w:rPr>
          <w:rFonts w:hint="eastAsia"/>
          <w:color w:val="auto"/>
          <w:highlight w:val="none"/>
        </w:rPr>
        <w:t>3</w:t>
      </w:r>
      <w:r>
        <w:rPr>
          <w:color w:val="auto"/>
          <w:highlight w:val="none"/>
        </w:rPr>
        <w:t>00-</w:t>
      </w:r>
      <w:r>
        <w:rPr>
          <w:rFonts w:hint="eastAsia"/>
          <w:color w:val="auto"/>
          <w:highlight w:val="none"/>
        </w:rPr>
        <w:t>5</w:t>
      </w:r>
      <w:r>
        <w:rPr>
          <w:color w:val="auto"/>
          <w:highlight w:val="none"/>
        </w:rPr>
        <w:t>00</w:t>
      </w:r>
      <w:r>
        <w:rPr>
          <w:rFonts w:hint="eastAsia"/>
          <w:color w:val="auto"/>
          <w:highlight w:val="none"/>
        </w:rPr>
        <w:t>A离心泵，4用1备，水泵安放于二级泵房内，单台流量675m</w:t>
      </w:r>
      <w:r>
        <w:rPr>
          <w:rFonts w:hint="eastAsia"/>
          <w:color w:val="auto"/>
          <w:highlight w:val="none"/>
          <w:vertAlign w:val="superscript"/>
        </w:rPr>
        <w:t>3</w:t>
      </w:r>
      <w:r>
        <w:rPr>
          <w:rFonts w:hint="eastAsia"/>
          <w:color w:val="auto"/>
          <w:highlight w:val="none"/>
        </w:rPr>
        <w:t>/h，扬程70m，单台水泵配套功率200kw，配套电机总功率800kw。</w:t>
      </w:r>
    </w:p>
    <w:p>
      <w:pPr>
        <w:pStyle w:val="3"/>
        <w:rPr>
          <w:color w:val="auto"/>
          <w:highlight w:val="none"/>
        </w:rPr>
      </w:pPr>
      <w:bookmarkStart w:id="38" w:name="_Toc38007680"/>
      <w:bookmarkStart w:id="39" w:name="_Toc2769"/>
      <w:r>
        <w:rPr>
          <w:rFonts w:hint="eastAsia"/>
          <w:color w:val="auto"/>
          <w:highlight w:val="none"/>
        </w:rPr>
        <w:t>5.5东郊水厂改扩建工程</w:t>
      </w:r>
      <w:bookmarkEnd w:id="38"/>
      <w:bookmarkEnd w:id="39"/>
    </w:p>
    <w:p>
      <w:pPr>
        <w:ind w:firstLine="480"/>
        <w:rPr>
          <w:color w:val="auto"/>
          <w:highlight w:val="none"/>
        </w:rPr>
      </w:pPr>
      <w:r>
        <w:rPr>
          <w:rFonts w:hint="eastAsia"/>
          <w:color w:val="auto"/>
          <w:highlight w:val="none"/>
        </w:rPr>
        <w:t>对现有东郊水厂实施改建扩建，采用</w:t>
      </w:r>
      <w:r>
        <w:rPr>
          <w:rFonts w:hint="eastAsia"/>
          <w:color w:val="auto"/>
          <w:highlight w:val="none"/>
          <w:lang w:val="en-US" w:eastAsia="zh-CN"/>
        </w:rPr>
        <w:t>模块化地表水厂</w:t>
      </w:r>
      <w:r>
        <w:rPr>
          <w:rFonts w:hint="eastAsia"/>
          <w:color w:val="auto"/>
          <w:highlight w:val="none"/>
        </w:rPr>
        <w:t>，设计净水能力3万m</w:t>
      </w:r>
      <w:r>
        <w:rPr>
          <w:rFonts w:hint="eastAsia"/>
          <w:color w:val="auto"/>
          <w:highlight w:val="none"/>
          <w:vertAlign w:val="superscript"/>
        </w:rPr>
        <w:t>3</w:t>
      </w:r>
      <w:r>
        <w:rPr>
          <w:rFonts w:hint="eastAsia"/>
          <w:color w:val="auto"/>
          <w:highlight w:val="none"/>
        </w:rPr>
        <w:t>/d，主要服务范围：峄城城区、坛山街道、吴林街道。新建东郊水厂位于坛山街道，占地面积</w:t>
      </w:r>
      <w:r>
        <w:rPr>
          <w:rFonts w:hint="eastAsia"/>
          <w:color w:val="auto"/>
          <w:highlight w:val="none"/>
          <w:lang w:val="en-US" w:eastAsia="zh-CN"/>
        </w:rPr>
        <w:t>32</w:t>
      </w:r>
      <w:r>
        <w:rPr>
          <w:rFonts w:hint="eastAsia"/>
          <w:color w:val="auto"/>
          <w:highlight w:val="none"/>
        </w:rPr>
        <w:t>亩。</w:t>
      </w:r>
    </w:p>
    <w:p>
      <w:pPr>
        <w:pStyle w:val="4"/>
        <w:rPr>
          <w:color w:val="auto"/>
          <w:highlight w:val="none"/>
        </w:rPr>
      </w:pPr>
      <w:r>
        <w:rPr>
          <w:rFonts w:hint="eastAsia"/>
          <w:color w:val="auto"/>
          <w:highlight w:val="none"/>
        </w:rPr>
        <w:t>5.5.1处理工艺</w:t>
      </w:r>
    </w:p>
    <w:p>
      <w:pPr>
        <w:ind w:firstLine="480"/>
        <w:rPr>
          <w:color w:val="auto"/>
          <w:highlight w:val="none"/>
        </w:rPr>
      </w:pPr>
      <w:r>
        <w:rPr>
          <w:rFonts w:hint="eastAsia"/>
          <w:color w:val="auto"/>
          <w:highlight w:val="none"/>
        </w:rPr>
        <w:t>根据西郊水厂净水厂工艺比较，东郊水厂采用普通构筑物净水工艺，絮凝池采用折板絮凝池，沉淀池采用平流沉淀池，滤池采用普通快滤池。</w:t>
      </w:r>
    </w:p>
    <w:p>
      <w:pPr>
        <w:pStyle w:val="4"/>
        <w:rPr>
          <w:color w:val="auto"/>
          <w:highlight w:val="none"/>
        </w:rPr>
      </w:pPr>
      <w:r>
        <w:rPr>
          <w:rFonts w:hint="eastAsia"/>
          <w:color w:val="auto"/>
          <w:highlight w:val="none"/>
        </w:rPr>
        <w:t>5.5.2布置原则</w:t>
      </w:r>
    </w:p>
    <w:p>
      <w:pPr>
        <w:ind w:firstLine="480"/>
        <w:rPr>
          <w:color w:val="auto"/>
          <w:highlight w:val="none"/>
        </w:rPr>
      </w:pPr>
      <w:r>
        <w:rPr>
          <w:rFonts w:hint="eastAsia"/>
          <w:color w:val="auto"/>
          <w:highlight w:val="none"/>
        </w:rPr>
        <w:t>（</w:t>
      </w:r>
      <w:r>
        <w:rPr>
          <w:color w:val="auto"/>
          <w:highlight w:val="none"/>
        </w:rPr>
        <w:t>1</w:t>
      </w:r>
      <w:r>
        <w:rPr>
          <w:rFonts w:hint="eastAsia"/>
          <w:color w:val="auto"/>
          <w:highlight w:val="none"/>
        </w:rPr>
        <w:t>）水厂总平面布置按规模</w:t>
      </w:r>
      <w:r>
        <w:rPr>
          <w:color w:val="auto"/>
          <w:highlight w:val="none"/>
        </w:rPr>
        <w:t>3</w:t>
      </w:r>
      <w:r>
        <w:rPr>
          <w:rFonts w:hint="eastAsia"/>
          <w:color w:val="auto"/>
          <w:highlight w:val="none"/>
        </w:rPr>
        <w:t>00</w:t>
      </w:r>
      <w:r>
        <w:rPr>
          <w:color w:val="auto"/>
          <w:highlight w:val="none"/>
        </w:rPr>
        <w:t>00m</w:t>
      </w:r>
      <w:r>
        <w:rPr>
          <w:color w:val="auto"/>
          <w:highlight w:val="none"/>
          <w:vertAlign w:val="superscript"/>
        </w:rPr>
        <w:t>3</w:t>
      </w:r>
      <w:r>
        <w:rPr>
          <w:color w:val="auto"/>
          <w:highlight w:val="none"/>
        </w:rPr>
        <w:t>/d布置</w:t>
      </w:r>
      <w:r>
        <w:rPr>
          <w:rFonts w:hint="eastAsia"/>
          <w:color w:val="auto"/>
          <w:highlight w:val="none"/>
        </w:rPr>
        <w:t>；</w:t>
      </w:r>
    </w:p>
    <w:p>
      <w:pPr>
        <w:ind w:firstLine="480"/>
        <w:rPr>
          <w:color w:val="auto"/>
          <w:highlight w:val="none"/>
        </w:rPr>
      </w:pPr>
      <w:r>
        <w:rPr>
          <w:color w:val="auto"/>
          <w:highlight w:val="none"/>
        </w:rPr>
        <w:t>（2）按照功能不同，分区布置，生产管理建筑物和生活设施集中布置，与水处理构筑物保持一定距离，并用绿化带隔开</w:t>
      </w:r>
      <w:r>
        <w:rPr>
          <w:rFonts w:hint="eastAsia"/>
          <w:color w:val="auto"/>
          <w:highlight w:val="none"/>
        </w:rPr>
        <w:t>；</w:t>
      </w:r>
    </w:p>
    <w:p>
      <w:pPr>
        <w:ind w:firstLine="480"/>
        <w:rPr>
          <w:color w:val="auto"/>
          <w:highlight w:val="none"/>
        </w:rPr>
      </w:pPr>
      <w:r>
        <w:rPr>
          <w:color w:val="auto"/>
          <w:highlight w:val="none"/>
        </w:rPr>
        <w:t>（3）水处理构筑物尽可能分别集中布置。处理构筑物间布置紧凑、合理，并满足各构筑物的施工、设备安装和埋设各类管道以及养护管理的要求</w:t>
      </w:r>
      <w:r>
        <w:rPr>
          <w:rFonts w:hint="eastAsia"/>
          <w:color w:val="auto"/>
          <w:highlight w:val="none"/>
        </w:rPr>
        <w:t>；</w:t>
      </w:r>
    </w:p>
    <w:p>
      <w:pPr>
        <w:ind w:firstLine="480"/>
        <w:rPr>
          <w:color w:val="auto"/>
          <w:highlight w:val="none"/>
        </w:rPr>
      </w:pPr>
      <w:r>
        <w:rPr>
          <w:color w:val="auto"/>
          <w:highlight w:val="none"/>
        </w:rPr>
        <w:t>（4）</w:t>
      </w:r>
      <w:r>
        <w:rPr>
          <w:rFonts w:hint="eastAsia"/>
          <w:color w:val="auto"/>
          <w:highlight w:val="none"/>
        </w:rPr>
        <w:t>箱式变压器</w:t>
      </w:r>
      <w:r>
        <w:rPr>
          <w:color w:val="auto"/>
          <w:highlight w:val="none"/>
        </w:rPr>
        <w:t>布置靠近用电负荷中心</w:t>
      </w:r>
      <w:r>
        <w:rPr>
          <w:rFonts w:hint="eastAsia"/>
          <w:color w:val="auto"/>
          <w:highlight w:val="none"/>
        </w:rPr>
        <w:t>；</w:t>
      </w:r>
    </w:p>
    <w:p>
      <w:pPr>
        <w:ind w:firstLine="480"/>
        <w:rPr>
          <w:color w:val="auto"/>
          <w:highlight w:val="none"/>
        </w:rPr>
      </w:pPr>
      <w:r>
        <w:rPr>
          <w:color w:val="auto"/>
          <w:highlight w:val="none"/>
        </w:rPr>
        <w:t>（5）水厂绿化面积不小于全厂总面积的2</w:t>
      </w:r>
      <w:r>
        <w:rPr>
          <w:rFonts w:hint="eastAsia"/>
          <w:color w:val="auto"/>
          <w:highlight w:val="none"/>
        </w:rPr>
        <w:t>0</w:t>
      </w:r>
      <w:r>
        <w:rPr>
          <w:color w:val="auto"/>
          <w:highlight w:val="none"/>
        </w:rPr>
        <w:t>%</w:t>
      </w:r>
      <w:r>
        <w:rPr>
          <w:rFonts w:hint="eastAsia"/>
          <w:color w:val="auto"/>
          <w:highlight w:val="none"/>
        </w:rPr>
        <w:t>；</w:t>
      </w:r>
    </w:p>
    <w:p>
      <w:pPr>
        <w:ind w:firstLine="480"/>
        <w:rPr>
          <w:color w:val="auto"/>
          <w:highlight w:val="none"/>
        </w:rPr>
      </w:pPr>
      <w:r>
        <w:rPr>
          <w:color w:val="auto"/>
          <w:highlight w:val="none"/>
        </w:rPr>
        <w:t>（6）厂区设置通往各处理构筑物和建筑物的必要通道，设置事故排放管及超越管，各构筑物均可重力放空</w:t>
      </w:r>
      <w:r>
        <w:rPr>
          <w:rFonts w:hint="eastAsia"/>
          <w:color w:val="auto"/>
          <w:highlight w:val="none"/>
        </w:rPr>
        <w:t>。</w:t>
      </w:r>
    </w:p>
    <w:p>
      <w:pPr>
        <w:pStyle w:val="4"/>
        <w:rPr>
          <w:color w:val="auto"/>
          <w:highlight w:val="none"/>
        </w:rPr>
      </w:pPr>
      <w:r>
        <w:rPr>
          <w:rFonts w:hint="eastAsia"/>
          <w:color w:val="auto"/>
          <w:highlight w:val="none"/>
        </w:rPr>
        <w:t>5.5.3平面布置</w:t>
      </w:r>
    </w:p>
    <w:p>
      <w:pPr>
        <w:ind w:firstLine="480"/>
        <w:rPr>
          <w:color w:val="auto"/>
          <w:highlight w:val="none"/>
        </w:rPr>
      </w:pPr>
      <w:r>
        <w:rPr>
          <w:rFonts w:hint="eastAsia"/>
          <w:color w:val="auto"/>
          <w:highlight w:val="none"/>
        </w:rPr>
        <w:t>水厂占地面积根据水厂规模和水处理工艺决定。水厂总布置按照工艺流程进行，一般将建（构）筑物分区、组合布置，便于运行操作、管理和维修，要求总体布置节约用地，美化环境并为未来发展留有余地。建筑物包括生产和生活两类，其中生产建筑物包括清水池、加氯间、化验室、机修间、仓库、水厂信息中心和配电室等，生活服务类建筑物包括综合管理楼、车库、厨房等。新建水厂绿化面积要求大于20%，主道路宽度为8.0m，次级道路宽度为6.0m，转弯半径大于6.0m。水厂应布置防洪排水设施，水厂四周应布置围墙等安保设施。</w:t>
      </w:r>
    </w:p>
    <w:p>
      <w:pPr>
        <w:pStyle w:val="4"/>
        <w:rPr>
          <w:color w:val="auto"/>
          <w:highlight w:val="none"/>
        </w:rPr>
      </w:pPr>
      <w:r>
        <w:rPr>
          <w:rFonts w:hint="eastAsia"/>
          <w:color w:val="auto"/>
          <w:highlight w:val="none"/>
        </w:rPr>
        <w:t>5.5.4厂区绿化设计</w:t>
      </w:r>
    </w:p>
    <w:p>
      <w:pPr>
        <w:ind w:firstLine="480"/>
        <w:rPr>
          <w:color w:val="auto"/>
          <w:highlight w:val="none"/>
        </w:rPr>
      </w:pPr>
      <w:r>
        <w:rPr>
          <w:rFonts w:hint="eastAsia"/>
          <w:color w:val="auto"/>
          <w:highlight w:val="none"/>
        </w:rPr>
        <w:t>根据水厂的布置原则，</w:t>
      </w:r>
      <w:r>
        <w:rPr>
          <w:color w:val="auto"/>
          <w:highlight w:val="none"/>
        </w:rPr>
        <w:t>水厂绿化面积不小于全厂总面积的2</w:t>
      </w:r>
      <w:r>
        <w:rPr>
          <w:rFonts w:hint="eastAsia"/>
          <w:color w:val="auto"/>
          <w:highlight w:val="none"/>
        </w:rPr>
        <w:t>0</w:t>
      </w:r>
      <w:r>
        <w:rPr>
          <w:color w:val="auto"/>
          <w:highlight w:val="none"/>
        </w:rPr>
        <w:t>%</w:t>
      </w:r>
      <w:r>
        <w:rPr>
          <w:rFonts w:hint="eastAsia"/>
          <w:color w:val="auto"/>
          <w:highlight w:val="none"/>
        </w:rPr>
        <w:t>，本工程厂区绿化依照地下水水源工程的水厂进行绿化设计。</w:t>
      </w:r>
    </w:p>
    <w:p>
      <w:pPr>
        <w:pStyle w:val="4"/>
        <w:rPr>
          <w:color w:val="auto"/>
          <w:highlight w:val="none"/>
        </w:rPr>
      </w:pPr>
      <w:r>
        <w:rPr>
          <w:rFonts w:hint="eastAsia"/>
          <w:color w:val="auto"/>
          <w:highlight w:val="none"/>
        </w:rPr>
        <w:t>5.5.5建筑设计</w:t>
      </w:r>
    </w:p>
    <w:p>
      <w:pPr>
        <w:ind w:firstLine="480"/>
        <w:rPr>
          <w:color w:val="auto"/>
          <w:highlight w:val="none"/>
        </w:rPr>
      </w:pPr>
      <w:r>
        <w:rPr>
          <w:rFonts w:hint="eastAsia"/>
          <w:color w:val="auto"/>
          <w:highlight w:val="none"/>
        </w:rPr>
        <w:t>1、综合管理楼建设</w:t>
      </w:r>
    </w:p>
    <w:p>
      <w:pPr>
        <w:ind w:firstLine="480"/>
        <w:rPr>
          <w:color w:val="auto"/>
          <w:highlight w:val="none"/>
        </w:rPr>
      </w:pPr>
      <w:r>
        <w:rPr>
          <w:rFonts w:hint="eastAsia"/>
          <w:color w:val="auto"/>
          <w:highlight w:val="none"/>
        </w:rPr>
        <w:t>为适应管理工作的需要，东郊水厂需新建1500m</w:t>
      </w:r>
      <w:r>
        <w:rPr>
          <w:rFonts w:hint="eastAsia"/>
          <w:color w:val="auto"/>
          <w:highlight w:val="none"/>
          <w:vertAlign w:val="superscript"/>
        </w:rPr>
        <w:t>2</w:t>
      </w:r>
      <w:r>
        <w:rPr>
          <w:rFonts w:hint="eastAsia"/>
          <w:color w:val="auto"/>
          <w:highlight w:val="none"/>
        </w:rPr>
        <w:t>综合管理楼一座，共两层，框架结构，丙类建筑，工程抗震设防烈度为6度，屋面防水等级为Ⅲ级。综合管理楼内布置实验室、水厂信息化中心及供水管理中心等。东郊水厂信息化中心布置及设备，与西郊水厂一致。</w:t>
      </w:r>
    </w:p>
    <w:p>
      <w:pPr>
        <w:ind w:firstLine="480"/>
        <w:rPr>
          <w:color w:val="auto"/>
          <w:highlight w:val="none"/>
        </w:rPr>
      </w:pPr>
      <w:r>
        <w:rPr>
          <w:rFonts w:hint="eastAsia"/>
          <w:color w:val="auto"/>
          <w:highlight w:val="none"/>
        </w:rPr>
        <w:t>2、反应沉淀池</w:t>
      </w:r>
    </w:p>
    <w:p>
      <w:pPr>
        <w:ind w:firstLine="480"/>
        <w:rPr>
          <w:color w:val="auto"/>
          <w:highlight w:val="none"/>
        </w:rPr>
      </w:pPr>
      <w:r>
        <w:rPr>
          <w:rFonts w:hint="eastAsia"/>
          <w:color w:val="auto"/>
          <w:highlight w:val="none"/>
        </w:rPr>
        <w:t>本典型工程反应池为折板式，沉淀池为平流式，反应池与沉淀池合建，为钢筋混凝土结构，</w:t>
      </w:r>
      <w:r>
        <w:rPr>
          <w:rFonts w:hint="eastAsia" w:ascii="宋体" w:hAnsi="宋体"/>
          <w:color w:val="auto"/>
          <w:highlight w:val="none"/>
        </w:rPr>
        <w:t>平面尺寸</w:t>
      </w:r>
      <w:r>
        <w:rPr>
          <w:rFonts w:hint="eastAsia"/>
          <w:color w:val="auto"/>
          <w:highlight w:val="none"/>
        </w:rPr>
        <w:t>64.40m×10.50m</w:t>
      </w:r>
      <w:r>
        <w:rPr>
          <w:rFonts w:hint="eastAsia" w:ascii="宋体" w:hAnsi="宋体"/>
          <w:color w:val="auto"/>
          <w:highlight w:val="none"/>
        </w:rPr>
        <w:t>，高</w:t>
      </w:r>
      <w:r>
        <w:rPr>
          <w:rFonts w:hint="eastAsia"/>
          <w:color w:val="auto"/>
          <w:highlight w:val="none"/>
        </w:rPr>
        <w:t>5.60m。外部建车间，</w:t>
      </w:r>
      <w:r>
        <w:rPr>
          <w:rFonts w:hint="eastAsia" w:ascii="宋体" w:hAnsi="宋体"/>
          <w:color w:val="auto"/>
          <w:highlight w:val="none"/>
        </w:rPr>
        <w:t>平面尺寸</w:t>
      </w:r>
      <w:r>
        <w:rPr>
          <w:rFonts w:hint="eastAsia"/>
          <w:color w:val="auto"/>
          <w:highlight w:val="none"/>
        </w:rPr>
        <w:t>70.00m×12.00m</w:t>
      </w:r>
      <w:r>
        <w:rPr>
          <w:rFonts w:hint="eastAsia" w:ascii="宋体" w:hAnsi="宋体"/>
          <w:color w:val="auto"/>
          <w:highlight w:val="none"/>
        </w:rPr>
        <w:t>，高</w:t>
      </w:r>
      <w:r>
        <w:rPr>
          <w:rFonts w:hint="eastAsia"/>
          <w:color w:val="auto"/>
          <w:highlight w:val="none"/>
        </w:rPr>
        <w:t>8.50m。</w:t>
      </w:r>
    </w:p>
    <w:p>
      <w:pPr>
        <w:ind w:firstLine="480"/>
        <w:rPr>
          <w:color w:val="auto"/>
          <w:highlight w:val="none"/>
        </w:rPr>
      </w:pPr>
      <w:r>
        <w:rPr>
          <w:rFonts w:hint="eastAsia"/>
          <w:color w:val="auto"/>
          <w:highlight w:val="none"/>
        </w:rPr>
        <w:t>3、滤池</w:t>
      </w:r>
    </w:p>
    <w:p>
      <w:pPr>
        <w:ind w:firstLine="480"/>
        <w:rPr>
          <w:color w:val="auto"/>
          <w:highlight w:val="none"/>
        </w:rPr>
      </w:pPr>
      <w:r>
        <w:rPr>
          <w:rFonts w:hint="eastAsia"/>
          <w:color w:val="auto"/>
          <w:highlight w:val="none"/>
        </w:rPr>
        <w:t>滤池与加药间、加氯室合建，南北向排列，加药间和加氯室在南侧。滤池采用普通快滤池，经过沉淀的水进入滤池过滤。滤池为钢筋混凝土结构，2座，单座平面尺寸22.6×8.45m，池高3.1m，壁厚0.25m，滤池分为池体及管廊二部分。滤池外侧设排泥渠，专排反冲洗过程中排出的杂物。外部建车间，</w:t>
      </w:r>
      <w:r>
        <w:rPr>
          <w:rFonts w:hint="eastAsia" w:ascii="宋体" w:hAnsi="宋体"/>
          <w:color w:val="auto"/>
          <w:highlight w:val="none"/>
        </w:rPr>
        <w:t>平面尺寸</w:t>
      </w:r>
      <w:r>
        <w:rPr>
          <w:rFonts w:hint="eastAsia"/>
          <w:color w:val="auto"/>
          <w:highlight w:val="none"/>
        </w:rPr>
        <w:t>22.60m×8.20m</w:t>
      </w:r>
      <w:r>
        <w:rPr>
          <w:rFonts w:hint="eastAsia" w:ascii="宋体" w:hAnsi="宋体"/>
          <w:color w:val="auto"/>
          <w:highlight w:val="none"/>
        </w:rPr>
        <w:t>，高</w:t>
      </w:r>
      <w:r>
        <w:rPr>
          <w:rFonts w:hint="eastAsia"/>
          <w:color w:val="auto"/>
          <w:highlight w:val="none"/>
        </w:rPr>
        <w:t>6.20m，滤池顶设有轻钢瓦屋面。</w:t>
      </w:r>
    </w:p>
    <w:p>
      <w:pPr>
        <w:ind w:firstLine="480"/>
        <w:rPr>
          <w:color w:val="auto"/>
          <w:highlight w:val="none"/>
        </w:rPr>
      </w:pPr>
      <w:r>
        <w:rPr>
          <w:rFonts w:hint="eastAsia"/>
          <w:color w:val="auto"/>
          <w:highlight w:val="none"/>
        </w:rPr>
        <w:t>4、清水池</w:t>
      </w:r>
    </w:p>
    <w:p>
      <w:pPr>
        <w:ind w:firstLine="480"/>
        <w:rPr>
          <w:color w:val="auto"/>
          <w:highlight w:val="none"/>
        </w:rPr>
      </w:pPr>
      <w:r>
        <w:rPr>
          <w:rFonts w:hint="eastAsia"/>
          <w:color w:val="auto"/>
          <w:highlight w:val="none"/>
        </w:rPr>
        <w:t>清水池主要用于调蓄和净水加氯后的接触消毒。Ⅰ～Ⅲ型水厂清水池的容积一般按照水厂规模的15%~25%建设，并满足水剂出厂前接触时间大于30min要求。本设计清水池采用矩形钢筋砼结构，根据水厂规模确定本工程使用3个1500m</w:t>
      </w:r>
      <w:r>
        <w:rPr>
          <w:rFonts w:hint="eastAsia"/>
          <w:color w:val="auto"/>
          <w:highlight w:val="none"/>
          <w:vertAlign w:val="superscript"/>
        </w:rPr>
        <w:t>3</w:t>
      </w:r>
      <w:r>
        <w:rPr>
          <w:rFonts w:hint="eastAsia"/>
          <w:color w:val="auto"/>
          <w:highlight w:val="none"/>
        </w:rPr>
        <w:t>矩形清水池。</w:t>
      </w:r>
    </w:p>
    <w:p>
      <w:pPr>
        <w:ind w:firstLine="480"/>
        <w:rPr>
          <w:color w:val="auto"/>
          <w:highlight w:val="none"/>
        </w:rPr>
      </w:pPr>
      <w:r>
        <w:rPr>
          <w:rFonts w:hint="eastAsia"/>
          <w:color w:val="auto"/>
          <w:highlight w:val="none"/>
        </w:rPr>
        <w:t>清水池</w:t>
      </w:r>
      <w:r>
        <w:rPr>
          <w:color w:val="auto"/>
          <w:highlight w:val="none"/>
        </w:rPr>
        <w:t>顶上设透气孔、进人孔和水位仪传感器。顶部覆土保温</w:t>
      </w:r>
      <w:r>
        <w:rPr>
          <w:rFonts w:hint="eastAsia"/>
          <w:color w:val="auto"/>
          <w:highlight w:val="none"/>
        </w:rPr>
        <w:t>0.5～</w:t>
      </w:r>
      <w:r>
        <w:rPr>
          <w:color w:val="auto"/>
          <w:highlight w:val="none"/>
        </w:rPr>
        <w:t>0.7m，上部草皮绿化。</w:t>
      </w:r>
      <w:r>
        <w:rPr>
          <w:rFonts w:hint="eastAsia"/>
          <w:color w:val="auto"/>
          <w:highlight w:val="none"/>
        </w:rPr>
        <w:t>清水池采用现浇钢筋混凝土结构。顶板结构型式为无梁盖板，内部为柱式支撑。在池内设砖砌导流墙。池底底板厚0.25</w:t>
      </w:r>
      <w:r>
        <w:rPr>
          <w:color w:val="auto"/>
          <w:highlight w:val="none"/>
        </w:rPr>
        <w:t>m</w:t>
      </w:r>
      <w:r>
        <w:rPr>
          <w:rFonts w:hint="eastAsia"/>
          <w:color w:val="auto"/>
          <w:highlight w:val="none"/>
        </w:rPr>
        <w:t>，为钢筋混凝土结构，底板材料为</w:t>
      </w:r>
      <w:r>
        <w:rPr>
          <w:color w:val="auto"/>
          <w:highlight w:val="none"/>
        </w:rPr>
        <w:t>C2</w:t>
      </w:r>
      <w:r>
        <w:rPr>
          <w:rFonts w:hint="eastAsia"/>
          <w:color w:val="auto"/>
          <w:highlight w:val="none"/>
        </w:rPr>
        <w:t>5，抗渗强度等级为S</w:t>
      </w:r>
      <w:r>
        <w:rPr>
          <w:color w:val="auto"/>
          <w:highlight w:val="none"/>
        </w:rPr>
        <w:t>6</w:t>
      </w:r>
      <w:r>
        <w:rPr>
          <w:rFonts w:hint="eastAsia"/>
          <w:color w:val="auto"/>
          <w:highlight w:val="none"/>
        </w:rPr>
        <w:t>，抗冻等级为</w:t>
      </w:r>
      <w:r>
        <w:rPr>
          <w:color w:val="auto"/>
          <w:highlight w:val="none"/>
        </w:rPr>
        <w:t xml:space="preserve"> F</w:t>
      </w:r>
      <w:r>
        <w:rPr>
          <w:rFonts w:hint="eastAsia"/>
          <w:color w:val="auto"/>
          <w:highlight w:val="none"/>
          <w:vertAlign w:val="subscript"/>
        </w:rPr>
        <w:t>15</w:t>
      </w:r>
      <w:r>
        <w:rPr>
          <w:color w:val="auto"/>
          <w:highlight w:val="none"/>
          <w:vertAlign w:val="subscript"/>
        </w:rPr>
        <w:t>0</w:t>
      </w:r>
      <w:r>
        <w:rPr>
          <w:rFonts w:hint="eastAsia"/>
          <w:color w:val="auto"/>
          <w:highlight w:val="none"/>
        </w:rPr>
        <w:t>，在底板以下0.2m的</w:t>
      </w:r>
      <w:r>
        <w:rPr>
          <w:color w:val="auto"/>
          <w:highlight w:val="none"/>
        </w:rPr>
        <w:t>C</w:t>
      </w:r>
      <w:r>
        <w:rPr>
          <w:rFonts w:hint="eastAsia"/>
          <w:color w:val="auto"/>
          <w:highlight w:val="none"/>
        </w:rPr>
        <w:t>15砼为垫层，基础为厚0.15m的灰土垫层。</w:t>
      </w:r>
    </w:p>
    <w:p>
      <w:pPr>
        <w:ind w:firstLine="480"/>
        <w:rPr>
          <w:color w:val="auto"/>
          <w:highlight w:val="none"/>
        </w:rPr>
      </w:pPr>
      <w:r>
        <w:rPr>
          <w:rFonts w:hint="eastAsia"/>
          <w:color w:val="auto"/>
          <w:highlight w:val="none"/>
        </w:rPr>
        <w:t>为方便清水池消毒和保证水厂供水，在清水池外设置1座C30钢筋混凝土吸水井。</w:t>
      </w:r>
    </w:p>
    <w:p>
      <w:pPr>
        <w:ind w:firstLine="480"/>
        <w:rPr>
          <w:color w:val="auto"/>
          <w:highlight w:val="none"/>
        </w:rPr>
      </w:pPr>
      <w:r>
        <w:rPr>
          <w:rFonts w:hint="eastAsia"/>
          <w:color w:val="auto"/>
          <w:highlight w:val="none"/>
        </w:rPr>
        <w:t>5、废水回收池</w:t>
      </w:r>
    </w:p>
    <w:p>
      <w:pPr>
        <w:ind w:firstLine="480"/>
        <w:rPr>
          <w:color w:val="auto"/>
          <w:kern w:val="0"/>
          <w:highlight w:val="none"/>
          <w:lang w:val="zh-CN"/>
        </w:rPr>
      </w:pPr>
      <w:r>
        <w:rPr>
          <w:rFonts w:hint="eastAsia"/>
          <w:color w:val="auto"/>
          <w:kern w:val="0"/>
          <w:highlight w:val="none"/>
          <w:lang w:val="zh-CN"/>
        </w:rPr>
        <w:t>废水回收池为钢筋混凝土结构，分成两部分，一侧作污泥沉淀用，一侧作沉淀后回收用，进口处有钢筋混凝土管通向排泥渠。</w:t>
      </w:r>
    </w:p>
    <w:p>
      <w:pPr>
        <w:ind w:firstLine="480"/>
        <w:rPr>
          <w:color w:val="auto"/>
          <w:highlight w:val="none"/>
        </w:rPr>
      </w:pPr>
      <w:r>
        <w:rPr>
          <w:rFonts w:hint="eastAsia"/>
          <w:color w:val="auto"/>
          <w:highlight w:val="none"/>
        </w:rPr>
        <w:t>6、消毒设备选型</w:t>
      </w:r>
    </w:p>
    <w:p>
      <w:pPr>
        <w:ind w:firstLine="480"/>
        <w:rPr>
          <w:color w:val="auto"/>
          <w:highlight w:val="none"/>
        </w:rPr>
      </w:pPr>
      <w:r>
        <w:rPr>
          <w:rFonts w:hint="eastAsia"/>
          <w:color w:val="auto"/>
          <w:highlight w:val="none"/>
        </w:rPr>
        <w:t>根据西郊水厂消毒设备选型比选，本设计按照先进、可靠、投资省的原则，并结合我省饮水工程水质净化的实际运行经验，消毒选用全自动集成化中大型次氯酸钠发生器进行消毒处理。</w:t>
      </w:r>
    </w:p>
    <w:p>
      <w:pPr>
        <w:ind w:firstLine="480"/>
        <w:rPr>
          <w:color w:val="auto"/>
          <w:highlight w:val="none"/>
        </w:rPr>
      </w:pPr>
      <w:r>
        <w:rPr>
          <w:rFonts w:hint="eastAsia"/>
          <w:color w:val="auto"/>
          <w:highlight w:val="none"/>
        </w:rPr>
        <w:t>根据水厂最高时处理水量为1250m</w:t>
      </w:r>
      <w:r>
        <w:rPr>
          <w:rFonts w:hint="eastAsia"/>
          <w:color w:val="auto"/>
          <w:highlight w:val="none"/>
          <w:vertAlign w:val="superscript"/>
        </w:rPr>
        <w:t>3</w:t>
      </w:r>
      <w:r>
        <w:rPr>
          <w:rFonts w:hint="eastAsia"/>
          <w:color w:val="auto"/>
          <w:highlight w:val="none"/>
        </w:rPr>
        <w:t>/h，本工程选取4台RN-800型次氯酸钠发生器作为消毒设备。</w:t>
      </w:r>
    </w:p>
    <w:p>
      <w:pPr>
        <w:ind w:firstLine="480"/>
        <w:rPr>
          <w:color w:val="auto"/>
          <w:highlight w:val="none"/>
        </w:rPr>
      </w:pPr>
      <w:r>
        <w:rPr>
          <w:rFonts w:hint="eastAsia"/>
          <w:color w:val="auto"/>
          <w:highlight w:val="none"/>
        </w:rPr>
        <w:t>药剂选用次氯酸钠，消毒剂投放量根据原水水质和管网规模计算确定，要求消毒剂与水接触时间应不低于30min出厂，出厂水的游离余氯不低于0.3mg/L且不超过4.0mg/L，管网末梢水的游离余氯应不低于0.05mg/L，消毒副产物三氯甲烷应不超过0.06mg/L。加氯采用自动化控制消毒设备，在线监测液位和投加量、自动故障报警。加氯间配原料间，满足15～30 d 用量存储要求。</w:t>
      </w:r>
    </w:p>
    <w:p>
      <w:pPr>
        <w:ind w:firstLine="480"/>
        <w:rPr>
          <w:color w:val="auto"/>
          <w:highlight w:val="none"/>
        </w:rPr>
      </w:pPr>
      <w:r>
        <w:rPr>
          <w:rFonts w:hint="eastAsia"/>
          <w:color w:val="auto"/>
          <w:highlight w:val="none"/>
        </w:rPr>
        <w:t>7、泵房</w:t>
      </w:r>
    </w:p>
    <w:p>
      <w:pPr>
        <w:ind w:firstLine="480"/>
        <w:rPr>
          <w:color w:val="auto"/>
          <w:highlight w:val="none"/>
        </w:rPr>
      </w:pPr>
      <w:r>
        <w:rPr>
          <w:rFonts w:hint="eastAsia"/>
          <w:color w:val="auto"/>
          <w:highlight w:val="none"/>
        </w:rPr>
        <w:t>本工程设计泵房建筑面积340m</w:t>
      </w:r>
      <w:r>
        <w:rPr>
          <w:rFonts w:hint="eastAsia"/>
          <w:color w:val="auto"/>
          <w:highlight w:val="none"/>
          <w:vertAlign w:val="superscript"/>
        </w:rPr>
        <w:t>2</w:t>
      </w:r>
      <w:r>
        <w:rPr>
          <w:rFonts w:hint="eastAsia"/>
          <w:color w:val="auto"/>
          <w:highlight w:val="none"/>
        </w:rPr>
        <w:t>，分为控制室、值班室、泵房三部分，采用砖混结构，基础为C30钢筋混凝土条形基础，用于安置水泵、闸阀和控制柜等。砖混的砌筑等级为B级，框架等级为三级，安全等级为二级，抗震设防类别为丙类，设计使用年限为50年。</w:t>
      </w:r>
    </w:p>
    <w:p>
      <w:pPr>
        <w:ind w:firstLine="480"/>
        <w:rPr>
          <w:color w:val="auto"/>
          <w:highlight w:val="none"/>
        </w:rPr>
      </w:pPr>
      <w:r>
        <w:rPr>
          <w:rFonts w:hint="eastAsia"/>
          <w:color w:val="auto"/>
          <w:highlight w:val="none"/>
        </w:rPr>
        <w:t>8、仓库</w:t>
      </w:r>
    </w:p>
    <w:p>
      <w:pPr>
        <w:ind w:firstLine="480"/>
        <w:rPr>
          <w:color w:val="auto"/>
          <w:highlight w:val="none"/>
        </w:rPr>
      </w:pPr>
      <w:r>
        <w:rPr>
          <w:rFonts w:hint="eastAsia"/>
          <w:color w:val="auto"/>
          <w:highlight w:val="none"/>
        </w:rPr>
        <w:t>仓库为砖混结构，基础为C30钢筋混凝土条形基础。砖混的砌筑等级为B级，框架等级为三级，安全等级为二级，抗震设防类别为丙类，设计使用年限为50年。</w:t>
      </w:r>
    </w:p>
    <w:p>
      <w:pPr>
        <w:ind w:firstLine="480"/>
        <w:rPr>
          <w:color w:val="auto"/>
          <w:highlight w:val="none"/>
        </w:rPr>
      </w:pPr>
      <w:r>
        <w:rPr>
          <w:rFonts w:hint="eastAsia"/>
          <w:color w:val="auto"/>
          <w:highlight w:val="none"/>
        </w:rPr>
        <w:t>9、传达室</w:t>
      </w:r>
    </w:p>
    <w:p>
      <w:pPr>
        <w:ind w:firstLine="480"/>
        <w:rPr>
          <w:color w:val="auto"/>
          <w:highlight w:val="none"/>
        </w:rPr>
      </w:pPr>
      <w:r>
        <w:rPr>
          <w:rFonts w:hint="eastAsia"/>
          <w:color w:val="auto"/>
          <w:highlight w:val="none"/>
        </w:rPr>
        <w:t>传达室建筑面积28.6m</w:t>
      </w:r>
      <w:r>
        <w:rPr>
          <w:rFonts w:hint="eastAsia"/>
          <w:color w:val="auto"/>
          <w:highlight w:val="none"/>
          <w:vertAlign w:val="superscript"/>
        </w:rPr>
        <w:t>2</w:t>
      </w:r>
      <w:r>
        <w:rPr>
          <w:rFonts w:hint="eastAsia"/>
          <w:color w:val="auto"/>
          <w:highlight w:val="none"/>
        </w:rPr>
        <w:t>，为砖混结构，2间房，檐口高度3.15m，屋顶为钢筋混凝土屋面板挂蓝色机平瓦，外墙面下部为文化石饰面，上部贴外墙面砖。</w:t>
      </w:r>
    </w:p>
    <w:p>
      <w:pPr>
        <w:ind w:firstLine="480"/>
        <w:rPr>
          <w:color w:val="auto"/>
          <w:highlight w:val="none"/>
        </w:rPr>
      </w:pPr>
      <w:r>
        <w:rPr>
          <w:rFonts w:hint="eastAsia"/>
          <w:color w:val="auto"/>
          <w:highlight w:val="none"/>
        </w:rPr>
        <w:t>10、大门、围墙及厂区道路</w:t>
      </w:r>
    </w:p>
    <w:p>
      <w:pPr>
        <w:ind w:firstLine="480"/>
        <w:rPr>
          <w:color w:val="auto"/>
          <w:highlight w:val="none"/>
        </w:rPr>
      </w:pPr>
      <w:r>
        <w:rPr>
          <w:rFonts w:hint="eastAsia"/>
          <w:color w:val="auto"/>
          <w:highlight w:val="none"/>
        </w:rPr>
        <w:t>大门采用电动伸缩门，宽8.00m，单门暗装，不锈钢体，伸缩门门洞长3.00m，宽1.34m，高2.20m，外墙面为红色花岗岩（镜面）。</w:t>
      </w:r>
    </w:p>
    <w:p>
      <w:pPr>
        <w:ind w:firstLine="480"/>
        <w:rPr>
          <w:color w:val="auto"/>
          <w:highlight w:val="none"/>
        </w:rPr>
      </w:pPr>
      <w:r>
        <w:rPr>
          <w:rFonts w:hint="eastAsia"/>
          <w:color w:val="auto"/>
          <w:highlight w:val="none"/>
        </w:rPr>
        <w:t>围墙高2.50m，上部1.80.m采用铁艺栅栏围墙，下部0.70m采用M7.5浆砌砖结构，墙宽0.36m，基础尺寸为0.60×0.56m；每隔3.26m设一墙垛，为M7.5浆砌砖结构，墙垛尺寸为0.49×0.49×2.50m，墙垛基础深0.80m，平面尺寸为0.69×0.69m。</w:t>
      </w:r>
    </w:p>
    <w:p>
      <w:pPr>
        <w:ind w:firstLine="480"/>
        <w:rPr>
          <w:color w:val="auto"/>
          <w:highlight w:val="none"/>
        </w:rPr>
      </w:pPr>
      <w:r>
        <w:rPr>
          <w:rFonts w:hint="eastAsia"/>
          <w:color w:val="auto"/>
          <w:highlight w:val="none"/>
        </w:rPr>
        <w:t>厂区道路贯穿全厂，主要道路宽8.0m，其它道路宽6m，剩余空间全部绿化。硬化道路结构为原土夯实，上铺设30cm厚地瓜石，然后铺设18cm厚C25混凝土。</w:t>
      </w:r>
    </w:p>
    <w:p>
      <w:pPr>
        <w:ind w:firstLine="480"/>
        <w:rPr>
          <w:color w:val="auto"/>
          <w:highlight w:val="none"/>
        </w:rPr>
      </w:pPr>
      <w:r>
        <w:rPr>
          <w:rFonts w:hint="eastAsia"/>
          <w:color w:val="auto"/>
          <w:highlight w:val="none"/>
        </w:rPr>
        <w:t>11、厂区供排水系统</w:t>
      </w:r>
    </w:p>
    <w:p>
      <w:pPr>
        <w:ind w:firstLine="480"/>
        <w:rPr>
          <w:color w:val="auto"/>
          <w:highlight w:val="none"/>
        </w:rPr>
      </w:pPr>
      <w:r>
        <w:rPr>
          <w:rFonts w:hint="eastAsia"/>
          <w:color w:val="auto"/>
          <w:highlight w:val="none"/>
        </w:rPr>
        <w:t>厂区用水由清水池小型加压泵加压供给，厂区内管道采取直埋，室外管路全部采用</w:t>
      </w:r>
      <w:r>
        <w:rPr>
          <w:color w:val="auto"/>
          <w:highlight w:val="none"/>
        </w:rPr>
        <w:t>PE</w:t>
      </w:r>
      <w:r>
        <w:rPr>
          <w:rFonts w:hint="eastAsia"/>
          <w:color w:val="auto"/>
          <w:highlight w:val="none"/>
        </w:rPr>
        <w:t>管，室内均采用镀锌钢管；厂区排水分四部分：一是消毒间排水，二是清水池排水和溢水，三是生产化验以及生活污水，四是雨水及地面排水，均采用排水管最后集中排出厂区。</w:t>
      </w:r>
    </w:p>
    <w:p>
      <w:pPr>
        <w:ind w:firstLine="480"/>
        <w:rPr>
          <w:color w:val="auto"/>
          <w:highlight w:val="none"/>
        </w:rPr>
      </w:pPr>
      <w:r>
        <w:rPr>
          <w:rFonts w:hint="eastAsia"/>
          <w:color w:val="auto"/>
          <w:highlight w:val="none"/>
        </w:rPr>
        <w:t>12、厂区消防</w:t>
      </w:r>
    </w:p>
    <w:p>
      <w:pPr>
        <w:ind w:firstLine="480"/>
        <w:rPr>
          <w:color w:val="auto"/>
          <w:highlight w:val="none"/>
        </w:rPr>
      </w:pPr>
      <w:r>
        <w:rPr>
          <w:rFonts w:hint="eastAsia"/>
          <w:color w:val="auto"/>
          <w:highlight w:val="none"/>
        </w:rPr>
        <w:t>水厂内的净水构筑物是钢筋混凝土水池，多数建筑物内无易燃易爆物品，仅在加氯间和化验实有易燃化学药剂。厂区消防系统设计如下：</w:t>
      </w:r>
    </w:p>
    <w:p>
      <w:pPr>
        <w:ind w:firstLine="480"/>
        <w:rPr>
          <w:color w:val="auto"/>
          <w:highlight w:val="none"/>
        </w:rPr>
      </w:pPr>
      <w:r>
        <w:rPr>
          <w:rFonts w:hint="eastAsia" w:ascii="宋体" w:hAnsi="宋体"/>
          <w:color w:val="auto"/>
          <w:highlight w:val="none"/>
        </w:rPr>
        <w:t>①</w:t>
      </w:r>
      <w:r>
        <w:rPr>
          <w:rFonts w:hint="eastAsia"/>
          <w:color w:val="auto"/>
          <w:highlight w:val="none"/>
        </w:rPr>
        <w:t>、水厂所有建筑物按二级耐火等级设计，其墙、柱、梁、板、楼梯等均采用非燃料作材料。在总体布置上各建筑物按《建筑设计防火规范》要求，留有足够的防火间距。</w:t>
      </w:r>
    </w:p>
    <w:p>
      <w:pPr>
        <w:ind w:firstLine="480"/>
        <w:rPr>
          <w:color w:val="auto"/>
          <w:highlight w:val="none"/>
        </w:rPr>
      </w:pPr>
      <w:r>
        <w:rPr>
          <w:rFonts w:hint="eastAsia" w:ascii="宋体" w:hAnsi="宋体"/>
          <w:color w:val="auto"/>
          <w:highlight w:val="none"/>
        </w:rPr>
        <w:t>②</w:t>
      </w:r>
      <w:r>
        <w:rPr>
          <w:rFonts w:hint="eastAsia"/>
          <w:color w:val="auto"/>
          <w:highlight w:val="none"/>
        </w:rPr>
        <w:t>、室外消防栓：根据消防规范要求及强条规定设消火栓，厂内消防管径最小</w:t>
      </w:r>
      <w:r>
        <w:rPr>
          <w:color w:val="auto"/>
          <w:highlight w:val="none"/>
        </w:rPr>
        <w:t>DN100</w:t>
      </w:r>
      <w:r>
        <w:rPr>
          <w:rFonts w:hint="eastAsia"/>
          <w:color w:val="auto"/>
          <w:highlight w:val="none"/>
        </w:rPr>
        <w:t>。设计厂内给水、消防共管。消防时，停供生活用水。</w:t>
      </w:r>
    </w:p>
    <w:p>
      <w:pPr>
        <w:ind w:firstLine="480"/>
        <w:rPr>
          <w:color w:val="auto"/>
          <w:highlight w:val="none"/>
        </w:rPr>
      </w:pPr>
      <w:r>
        <w:rPr>
          <w:rFonts w:hint="eastAsia" w:ascii="宋体" w:hAnsi="宋体"/>
          <w:color w:val="auto"/>
          <w:highlight w:val="none"/>
        </w:rPr>
        <w:t>③</w:t>
      </w:r>
      <w:r>
        <w:rPr>
          <w:rFonts w:hint="eastAsia"/>
          <w:color w:val="auto"/>
          <w:highlight w:val="none"/>
        </w:rPr>
        <w:t>、消防道：水厂厂内的道路设计为环行车道。车道宽</w:t>
      </w:r>
      <w:r>
        <w:rPr>
          <w:color w:val="auto"/>
          <w:highlight w:val="none"/>
        </w:rPr>
        <w:t>5m</w:t>
      </w:r>
      <w:r>
        <w:rPr>
          <w:rFonts w:hint="eastAsia"/>
          <w:color w:val="auto"/>
          <w:highlight w:val="none"/>
        </w:rPr>
        <w:t>，可通消防车。</w:t>
      </w:r>
    </w:p>
    <w:p>
      <w:pPr>
        <w:ind w:firstLine="480"/>
        <w:rPr>
          <w:color w:val="auto"/>
          <w:highlight w:val="none"/>
        </w:rPr>
      </w:pPr>
      <w:r>
        <w:rPr>
          <w:rFonts w:hint="eastAsia" w:ascii="宋体" w:hAnsi="宋体"/>
          <w:color w:val="auto"/>
          <w:highlight w:val="none"/>
        </w:rPr>
        <w:t>④</w:t>
      </w:r>
      <w:r>
        <w:rPr>
          <w:rFonts w:hint="eastAsia"/>
          <w:color w:val="auto"/>
          <w:highlight w:val="none"/>
        </w:rPr>
        <w:t>、消防水量：各建筑物一侧布消火栓一个，服务半径</w:t>
      </w:r>
      <w:r>
        <w:rPr>
          <w:color w:val="auto"/>
          <w:highlight w:val="none"/>
        </w:rPr>
        <w:t>50m.</w:t>
      </w:r>
      <w:r>
        <w:rPr>
          <w:rFonts w:hint="eastAsia"/>
          <w:color w:val="auto"/>
          <w:highlight w:val="none"/>
        </w:rPr>
        <w:t>设一个火灾点，消防水量为</w:t>
      </w:r>
      <w:r>
        <w:rPr>
          <w:color w:val="auto"/>
          <w:highlight w:val="none"/>
        </w:rPr>
        <w:t>35L/S</w:t>
      </w:r>
      <w:r>
        <w:rPr>
          <w:rFonts w:hint="eastAsia"/>
          <w:color w:val="auto"/>
          <w:highlight w:val="none"/>
        </w:rPr>
        <w:t>。</w:t>
      </w:r>
    </w:p>
    <w:p>
      <w:pPr>
        <w:ind w:firstLine="480"/>
        <w:rPr>
          <w:color w:val="auto"/>
          <w:highlight w:val="none"/>
        </w:rPr>
      </w:pPr>
      <w:r>
        <w:rPr>
          <w:rFonts w:hint="eastAsia" w:ascii="宋体" w:hAnsi="宋体"/>
          <w:color w:val="auto"/>
          <w:highlight w:val="none"/>
        </w:rPr>
        <w:t>⑤</w:t>
      </w:r>
      <w:r>
        <w:rPr>
          <w:rFonts w:hint="eastAsia"/>
          <w:color w:val="auto"/>
          <w:highlight w:val="none"/>
        </w:rPr>
        <w:t>、建筑物室内消防措施：在建筑物内，增设手提式泡沫灭火器，放置在走道或壁挂楼梯间，易见好取，便于使用。消防电源应考虑急照明用电，应急照明电源除由低压配电系统供电外，还可通过自动切换装置，由配电间内的自流电源瓶供电，自流电源瓶应提供不少于</w:t>
      </w:r>
      <w:r>
        <w:rPr>
          <w:color w:val="auto"/>
          <w:highlight w:val="none"/>
        </w:rPr>
        <w:t>30</w:t>
      </w:r>
      <w:r>
        <w:rPr>
          <w:rFonts w:hint="eastAsia"/>
          <w:color w:val="auto"/>
          <w:highlight w:val="none"/>
        </w:rPr>
        <w:t>分钟的应急照明时间。还应设自带自流蓄电池事故自动应急灯。</w:t>
      </w:r>
    </w:p>
    <w:p>
      <w:pPr>
        <w:ind w:firstLine="480"/>
        <w:rPr>
          <w:color w:val="auto"/>
          <w:highlight w:val="none"/>
        </w:rPr>
      </w:pPr>
      <w:r>
        <w:rPr>
          <w:rFonts w:hint="eastAsia"/>
          <w:color w:val="auto"/>
          <w:highlight w:val="none"/>
        </w:rPr>
        <w:t>13、厂区防雷</w:t>
      </w:r>
    </w:p>
    <w:p>
      <w:pPr>
        <w:ind w:firstLine="480"/>
        <w:rPr>
          <w:color w:val="auto"/>
          <w:highlight w:val="none"/>
        </w:rPr>
      </w:pPr>
      <w:r>
        <w:rPr>
          <w:rFonts w:hint="eastAsia"/>
          <w:color w:val="auto"/>
          <w:highlight w:val="none"/>
        </w:rPr>
        <w:t>水厂属三类防雷建（构）筑物，建筑物设避雷带防直接雷击，高压变、配电设备装有阀型避雷器。</w:t>
      </w:r>
    </w:p>
    <w:p>
      <w:pPr>
        <w:pStyle w:val="4"/>
        <w:rPr>
          <w:color w:val="auto"/>
          <w:highlight w:val="none"/>
        </w:rPr>
      </w:pPr>
      <w:r>
        <w:rPr>
          <w:rFonts w:hint="eastAsia"/>
          <w:color w:val="auto"/>
          <w:highlight w:val="none"/>
        </w:rPr>
        <w:t>5.5.6电气设计</w:t>
      </w:r>
    </w:p>
    <w:p>
      <w:pPr>
        <w:ind w:firstLine="480"/>
        <w:rPr>
          <w:color w:val="auto"/>
          <w:highlight w:val="none"/>
        </w:rPr>
      </w:pPr>
      <w:r>
        <w:rPr>
          <w:rFonts w:hint="eastAsia"/>
          <w:color w:val="auto"/>
          <w:highlight w:val="none"/>
        </w:rPr>
        <w:t>本工程选用箱式变压器型号为S11-1250/10。</w:t>
      </w:r>
    </w:p>
    <w:p>
      <w:pPr>
        <w:pStyle w:val="4"/>
        <w:rPr>
          <w:color w:val="auto"/>
          <w:highlight w:val="none"/>
        </w:rPr>
      </w:pPr>
      <w:r>
        <w:rPr>
          <w:rFonts w:hint="eastAsia"/>
          <w:color w:val="auto"/>
          <w:highlight w:val="none"/>
        </w:rPr>
        <w:t>5.5.7定员编制</w:t>
      </w:r>
    </w:p>
    <w:p>
      <w:pPr>
        <w:ind w:firstLine="480"/>
        <w:rPr>
          <w:color w:val="auto"/>
          <w:highlight w:val="none"/>
        </w:rPr>
      </w:pPr>
      <w:r>
        <w:rPr>
          <w:rFonts w:hint="eastAsia"/>
          <w:color w:val="auto"/>
          <w:highlight w:val="none"/>
        </w:rPr>
        <w:t>根据水厂供水规模，按照《村镇供水站定岗标准》，本次新建西郊水厂定员级别为Ⅰ级。</w:t>
      </w:r>
    </w:p>
    <w:p>
      <w:pPr>
        <w:ind w:firstLine="480"/>
        <w:rPr>
          <w:color w:val="auto"/>
          <w:highlight w:val="none"/>
        </w:rPr>
      </w:pPr>
      <w:r>
        <w:rPr>
          <w:rFonts w:hint="eastAsia"/>
          <w:color w:val="auto"/>
          <w:highlight w:val="none"/>
        </w:rPr>
        <w:t>水厂岗位设置分以下</w:t>
      </w:r>
      <w:r>
        <w:rPr>
          <w:color w:val="auto"/>
          <w:highlight w:val="none"/>
        </w:rPr>
        <w:t>8</w:t>
      </w:r>
      <w:r>
        <w:rPr>
          <w:rFonts w:hint="eastAsia"/>
          <w:color w:val="auto"/>
          <w:highlight w:val="none"/>
        </w:rPr>
        <w:t>类：</w:t>
      </w:r>
    </w:p>
    <w:p>
      <w:pPr>
        <w:ind w:firstLine="480"/>
        <w:rPr>
          <w:color w:val="auto"/>
          <w:highlight w:val="none"/>
        </w:rPr>
      </w:pPr>
      <w:r>
        <w:rPr>
          <w:color w:val="auto"/>
          <w:highlight w:val="none"/>
        </w:rPr>
        <w:t>1</w:t>
      </w:r>
      <w:r>
        <w:rPr>
          <w:rFonts w:hint="eastAsia"/>
          <w:color w:val="auto"/>
          <w:highlight w:val="none"/>
        </w:rPr>
        <w:t>、单位负责类：对水厂运行、技术、财务及资产管理负总责；</w:t>
      </w:r>
    </w:p>
    <w:p>
      <w:pPr>
        <w:ind w:firstLine="480"/>
        <w:rPr>
          <w:color w:val="auto"/>
          <w:highlight w:val="none"/>
        </w:rPr>
      </w:pPr>
      <w:r>
        <w:rPr>
          <w:color w:val="auto"/>
          <w:highlight w:val="none"/>
        </w:rPr>
        <w:t>2</w:t>
      </w:r>
      <w:r>
        <w:rPr>
          <w:rFonts w:hint="eastAsia"/>
          <w:color w:val="auto"/>
          <w:highlight w:val="none"/>
        </w:rPr>
        <w:t>、行政管理类；负责行政事务、文秘、档案、人事、教育、安全生产管理；</w:t>
      </w:r>
    </w:p>
    <w:p>
      <w:pPr>
        <w:ind w:firstLine="480"/>
        <w:rPr>
          <w:color w:val="auto"/>
          <w:highlight w:val="none"/>
        </w:rPr>
      </w:pPr>
      <w:r>
        <w:rPr>
          <w:color w:val="auto"/>
          <w:highlight w:val="none"/>
        </w:rPr>
        <w:t>3</w:t>
      </w:r>
      <w:r>
        <w:rPr>
          <w:rFonts w:hint="eastAsia"/>
          <w:color w:val="auto"/>
          <w:highlight w:val="none"/>
        </w:rPr>
        <w:t>、技术管理类；负责技术、制水工艺、机电设备、计划统计、自动化管理；</w:t>
      </w:r>
    </w:p>
    <w:p>
      <w:pPr>
        <w:ind w:firstLine="480"/>
        <w:rPr>
          <w:color w:val="auto"/>
          <w:highlight w:val="none"/>
        </w:rPr>
      </w:pPr>
      <w:r>
        <w:rPr>
          <w:color w:val="auto"/>
          <w:highlight w:val="none"/>
        </w:rPr>
        <w:t>4</w:t>
      </w:r>
      <w:r>
        <w:rPr>
          <w:rFonts w:hint="eastAsia"/>
          <w:color w:val="auto"/>
          <w:highlight w:val="none"/>
        </w:rPr>
        <w:t>、财务与资产管理类；负责财务与资产、供水成本及水价、物质管理；</w:t>
      </w:r>
    </w:p>
    <w:p>
      <w:pPr>
        <w:ind w:firstLine="480"/>
        <w:rPr>
          <w:color w:val="auto"/>
          <w:highlight w:val="none"/>
        </w:rPr>
      </w:pPr>
      <w:r>
        <w:rPr>
          <w:color w:val="auto"/>
          <w:highlight w:val="none"/>
        </w:rPr>
        <w:t>5</w:t>
      </w:r>
      <w:r>
        <w:rPr>
          <w:rFonts w:hint="eastAsia"/>
          <w:color w:val="auto"/>
          <w:highlight w:val="none"/>
        </w:rPr>
        <w:t>、运行类：负责设备运行与维修、制水；</w:t>
      </w:r>
    </w:p>
    <w:p>
      <w:pPr>
        <w:ind w:firstLine="480"/>
        <w:rPr>
          <w:color w:val="auto"/>
          <w:highlight w:val="none"/>
        </w:rPr>
      </w:pPr>
      <w:r>
        <w:rPr>
          <w:color w:val="auto"/>
          <w:highlight w:val="none"/>
        </w:rPr>
        <w:t>6</w:t>
      </w:r>
      <w:r>
        <w:rPr>
          <w:rFonts w:hint="eastAsia"/>
          <w:color w:val="auto"/>
          <w:highlight w:val="none"/>
        </w:rPr>
        <w:t>、计量监测类：负责水质监测、仪表校验、计量抄表、水费计收；</w:t>
      </w:r>
    </w:p>
    <w:p>
      <w:pPr>
        <w:ind w:firstLine="480"/>
        <w:rPr>
          <w:color w:val="auto"/>
          <w:highlight w:val="none"/>
        </w:rPr>
      </w:pPr>
      <w:r>
        <w:rPr>
          <w:color w:val="auto"/>
          <w:highlight w:val="none"/>
        </w:rPr>
        <w:t>7</w:t>
      </w:r>
      <w:r>
        <w:rPr>
          <w:rFonts w:hint="eastAsia"/>
          <w:color w:val="auto"/>
          <w:highlight w:val="none"/>
        </w:rPr>
        <w:t>、安装维修类：负责管道、水表安装维修，用户服务，管道及供水巡查；</w:t>
      </w:r>
    </w:p>
    <w:p>
      <w:pPr>
        <w:ind w:firstLine="480"/>
        <w:rPr>
          <w:color w:val="auto"/>
          <w:highlight w:val="none"/>
        </w:rPr>
      </w:pPr>
      <w:r>
        <w:rPr>
          <w:color w:val="auto"/>
          <w:highlight w:val="none"/>
        </w:rPr>
        <w:t>8</w:t>
      </w:r>
      <w:r>
        <w:rPr>
          <w:rFonts w:hint="eastAsia"/>
          <w:color w:val="auto"/>
          <w:highlight w:val="none"/>
        </w:rPr>
        <w:t>、辅助类：炊事员、司机。</w:t>
      </w:r>
    </w:p>
    <w:p>
      <w:pPr>
        <w:ind w:firstLine="480"/>
        <w:rPr>
          <w:color w:val="auto"/>
          <w:highlight w:val="none"/>
        </w:rPr>
      </w:pPr>
      <w:r>
        <w:rPr>
          <w:rFonts w:hint="eastAsia"/>
          <w:color w:val="auto"/>
          <w:highlight w:val="none"/>
        </w:rPr>
        <w:t>定员级别为Ⅰ级的水厂定员人数为19人，各级水厂定员编制见下表。</w:t>
      </w:r>
    </w:p>
    <w:p>
      <w:pPr>
        <w:pStyle w:val="156"/>
        <w:rPr>
          <w:color w:val="auto"/>
          <w:highlight w:val="none"/>
        </w:rPr>
      </w:pPr>
      <w:r>
        <w:rPr>
          <w:rFonts w:hint="eastAsia"/>
          <w:color w:val="auto"/>
          <w:highlight w:val="none"/>
        </w:rPr>
        <w:t>表5.5-1               东郊水厂岗位定员汇总表</w:t>
      </w:r>
    </w:p>
    <w:tbl>
      <w:tblPr>
        <w:tblStyle w:val="33"/>
        <w:tblW w:w="476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05"/>
        <w:gridCol w:w="2008"/>
        <w:gridCol w:w="1205"/>
        <w:gridCol w:w="37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blHeader/>
          <w:jc w:val="center"/>
        </w:trPr>
        <w:tc>
          <w:tcPr>
            <w:tcW w:w="742"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岗位类别</w:t>
            </w:r>
          </w:p>
        </w:tc>
        <w:tc>
          <w:tcPr>
            <w:tcW w:w="1236"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岗位名称</w:t>
            </w:r>
          </w:p>
        </w:tc>
        <w:tc>
          <w:tcPr>
            <w:tcW w:w="742"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定员人数</w:t>
            </w:r>
          </w:p>
        </w:tc>
        <w:tc>
          <w:tcPr>
            <w:tcW w:w="2280"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742"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管理类</w:t>
            </w:r>
          </w:p>
        </w:tc>
        <w:tc>
          <w:tcPr>
            <w:tcW w:w="1236"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厂长</w:t>
            </w:r>
          </w:p>
        </w:tc>
        <w:tc>
          <w:tcPr>
            <w:tcW w:w="742"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w:t>
            </w:r>
          </w:p>
        </w:tc>
        <w:tc>
          <w:tcPr>
            <w:tcW w:w="2280"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负责全面工作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42"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办公室</w:t>
            </w:r>
          </w:p>
        </w:tc>
        <w:tc>
          <w:tcPr>
            <w:tcW w:w="1236"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工作人员</w:t>
            </w:r>
          </w:p>
        </w:tc>
        <w:tc>
          <w:tcPr>
            <w:tcW w:w="742"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3</w:t>
            </w:r>
          </w:p>
        </w:tc>
        <w:tc>
          <w:tcPr>
            <w:tcW w:w="2280"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人事、教育、安全生产，行政事务、</w:t>
            </w:r>
          </w:p>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文秘、档案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742" w:type="pct"/>
            <w:vMerge w:val="restar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技术类</w:t>
            </w:r>
          </w:p>
        </w:tc>
        <w:tc>
          <w:tcPr>
            <w:tcW w:w="1236"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总工</w:t>
            </w:r>
          </w:p>
        </w:tc>
        <w:tc>
          <w:tcPr>
            <w:tcW w:w="742"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w:t>
            </w:r>
          </w:p>
        </w:tc>
        <w:tc>
          <w:tcPr>
            <w:tcW w:w="2280"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技术总负责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42" w:type="pct"/>
            <w:vMerge w:val="continue"/>
            <w:vAlign w:val="center"/>
          </w:tcPr>
          <w:p>
            <w:pPr>
              <w:widowControl/>
              <w:spacing w:line="240" w:lineRule="auto"/>
              <w:ind w:firstLine="0" w:firstLineChars="0"/>
              <w:jc w:val="left"/>
              <w:rPr>
                <w:rFonts w:ascii="宋体" w:hAnsi="宋体"/>
                <w:color w:val="auto"/>
                <w:kern w:val="0"/>
                <w:sz w:val="20"/>
                <w:szCs w:val="20"/>
                <w:highlight w:val="none"/>
              </w:rPr>
            </w:pPr>
          </w:p>
        </w:tc>
        <w:tc>
          <w:tcPr>
            <w:tcW w:w="1236"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技术人员</w:t>
            </w:r>
          </w:p>
        </w:tc>
        <w:tc>
          <w:tcPr>
            <w:tcW w:w="742"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3</w:t>
            </w:r>
          </w:p>
        </w:tc>
        <w:tc>
          <w:tcPr>
            <w:tcW w:w="2280"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计划统计、制水工艺，机电、自动化技术。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742" w:type="pct"/>
            <w:vMerge w:val="restar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财务与资产管理类</w:t>
            </w:r>
          </w:p>
        </w:tc>
        <w:tc>
          <w:tcPr>
            <w:tcW w:w="1236"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财务科长</w:t>
            </w:r>
          </w:p>
        </w:tc>
        <w:tc>
          <w:tcPr>
            <w:tcW w:w="742"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w:t>
            </w:r>
          </w:p>
        </w:tc>
        <w:tc>
          <w:tcPr>
            <w:tcW w:w="2280"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财务及资产总负责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742" w:type="pct"/>
            <w:vMerge w:val="continue"/>
            <w:vAlign w:val="center"/>
          </w:tcPr>
          <w:p>
            <w:pPr>
              <w:widowControl/>
              <w:spacing w:line="240" w:lineRule="auto"/>
              <w:ind w:firstLine="0" w:firstLineChars="0"/>
              <w:jc w:val="left"/>
              <w:rPr>
                <w:rFonts w:ascii="宋体" w:hAnsi="宋体"/>
                <w:color w:val="auto"/>
                <w:kern w:val="0"/>
                <w:sz w:val="20"/>
                <w:szCs w:val="20"/>
                <w:highlight w:val="none"/>
              </w:rPr>
            </w:pPr>
          </w:p>
        </w:tc>
        <w:tc>
          <w:tcPr>
            <w:tcW w:w="1236"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财务人员</w:t>
            </w:r>
          </w:p>
        </w:tc>
        <w:tc>
          <w:tcPr>
            <w:tcW w:w="742"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3</w:t>
            </w:r>
          </w:p>
        </w:tc>
        <w:tc>
          <w:tcPr>
            <w:tcW w:w="2280"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出纳、成本及水价管理物质管理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742" w:type="pct"/>
            <w:vMerge w:val="restar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运行类</w:t>
            </w:r>
          </w:p>
        </w:tc>
        <w:tc>
          <w:tcPr>
            <w:tcW w:w="1236"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设备仪器仪表检修</w:t>
            </w:r>
          </w:p>
        </w:tc>
        <w:tc>
          <w:tcPr>
            <w:tcW w:w="742"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w:t>
            </w:r>
          </w:p>
        </w:tc>
        <w:tc>
          <w:tcPr>
            <w:tcW w:w="2280"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其中一人由负责人兼岗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742" w:type="pct"/>
            <w:vMerge w:val="continue"/>
            <w:vAlign w:val="center"/>
          </w:tcPr>
          <w:p>
            <w:pPr>
              <w:widowControl/>
              <w:spacing w:line="240" w:lineRule="auto"/>
              <w:ind w:firstLine="0" w:firstLineChars="0"/>
              <w:jc w:val="left"/>
              <w:rPr>
                <w:rFonts w:ascii="宋体" w:hAnsi="宋体"/>
                <w:color w:val="auto"/>
                <w:kern w:val="0"/>
                <w:sz w:val="20"/>
                <w:szCs w:val="20"/>
                <w:highlight w:val="none"/>
              </w:rPr>
            </w:pPr>
          </w:p>
        </w:tc>
        <w:tc>
          <w:tcPr>
            <w:tcW w:w="1236"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制水</w:t>
            </w:r>
          </w:p>
        </w:tc>
        <w:tc>
          <w:tcPr>
            <w:tcW w:w="742"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w:t>
            </w:r>
          </w:p>
        </w:tc>
        <w:tc>
          <w:tcPr>
            <w:tcW w:w="2280"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742"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计量</w:t>
            </w:r>
          </w:p>
        </w:tc>
        <w:tc>
          <w:tcPr>
            <w:tcW w:w="1236" w:type="pct"/>
            <w:vMerge w:val="restar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监测负责人</w:t>
            </w:r>
          </w:p>
        </w:tc>
        <w:tc>
          <w:tcPr>
            <w:tcW w:w="742" w:type="pct"/>
            <w:vMerge w:val="restar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w:t>
            </w:r>
          </w:p>
        </w:tc>
        <w:tc>
          <w:tcPr>
            <w:tcW w:w="2280" w:type="pct"/>
            <w:vMerge w:val="restar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742"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监测类</w:t>
            </w:r>
          </w:p>
        </w:tc>
        <w:tc>
          <w:tcPr>
            <w:tcW w:w="1236" w:type="pct"/>
            <w:vMerge w:val="continue"/>
            <w:vAlign w:val="center"/>
          </w:tcPr>
          <w:p>
            <w:pPr>
              <w:widowControl/>
              <w:spacing w:line="240" w:lineRule="auto"/>
              <w:ind w:firstLine="0" w:firstLineChars="0"/>
              <w:jc w:val="left"/>
              <w:rPr>
                <w:rFonts w:ascii="宋体" w:hAnsi="宋体"/>
                <w:color w:val="auto"/>
                <w:kern w:val="0"/>
                <w:sz w:val="20"/>
                <w:szCs w:val="20"/>
                <w:highlight w:val="none"/>
              </w:rPr>
            </w:pPr>
          </w:p>
        </w:tc>
        <w:tc>
          <w:tcPr>
            <w:tcW w:w="742" w:type="pct"/>
            <w:vMerge w:val="continue"/>
            <w:vAlign w:val="center"/>
          </w:tcPr>
          <w:p>
            <w:pPr>
              <w:widowControl/>
              <w:spacing w:line="240" w:lineRule="auto"/>
              <w:ind w:firstLine="0" w:firstLineChars="0"/>
              <w:jc w:val="left"/>
              <w:rPr>
                <w:color w:val="auto"/>
                <w:kern w:val="0"/>
                <w:sz w:val="20"/>
                <w:szCs w:val="20"/>
                <w:highlight w:val="none"/>
              </w:rPr>
            </w:pPr>
          </w:p>
        </w:tc>
        <w:tc>
          <w:tcPr>
            <w:tcW w:w="2280" w:type="pct"/>
            <w:vMerge w:val="continue"/>
            <w:vAlign w:val="center"/>
          </w:tcPr>
          <w:p>
            <w:pPr>
              <w:widowControl/>
              <w:spacing w:line="240" w:lineRule="auto"/>
              <w:ind w:firstLine="0" w:firstLineChars="0"/>
              <w:jc w:val="left"/>
              <w:rPr>
                <w:rFonts w:ascii="宋体" w:hAnsi="宋体"/>
                <w:color w:val="auto"/>
                <w:kern w:val="0"/>
                <w:sz w:val="20"/>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742"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安装</w:t>
            </w:r>
          </w:p>
        </w:tc>
        <w:tc>
          <w:tcPr>
            <w:tcW w:w="1236"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安装维修负责人</w:t>
            </w:r>
          </w:p>
        </w:tc>
        <w:tc>
          <w:tcPr>
            <w:tcW w:w="742"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w:t>
            </w:r>
          </w:p>
        </w:tc>
        <w:tc>
          <w:tcPr>
            <w:tcW w:w="2280"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兼岗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742"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维修类</w:t>
            </w:r>
          </w:p>
        </w:tc>
        <w:tc>
          <w:tcPr>
            <w:tcW w:w="1236"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管道设备维修</w:t>
            </w:r>
          </w:p>
        </w:tc>
        <w:tc>
          <w:tcPr>
            <w:tcW w:w="742"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2</w:t>
            </w:r>
          </w:p>
        </w:tc>
        <w:tc>
          <w:tcPr>
            <w:tcW w:w="2280"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其中一人由负责人兼岗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742"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辅助类</w:t>
            </w:r>
          </w:p>
        </w:tc>
        <w:tc>
          <w:tcPr>
            <w:tcW w:w="1236"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742"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w:t>
            </w:r>
          </w:p>
        </w:tc>
        <w:tc>
          <w:tcPr>
            <w:tcW w:w="2280"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司机、炊事员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742"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合计</w:t>
            </w:r>
          </w:p>
        </w:tc>
        <w:tc>
          <w:tcPr>
            <w:tcW w:w="1236"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742"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19</w:t>
            </w:r>
          </w:p>
        </w:tc>
        <w:tc>
          <w:tcPr>
            <w:tcW w:w="2280"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r>
    </w:tbl>
    <w:p>
      <w:pPr>
        <w:pStyle w:val="4"/>
        <w:rPr>
          <w:color w:val="auto"/>
          <w:highlight w:val="none"/>
        </w:rPr>
      </w:pPr>
      <w:r>
        <w:rPr>
          <w:rFonts w:hint="eastAsia"/>
          <w:color w:val="auto"/>
          <w:highlight w:val="none"/>
        </w:rPr>
        <w:t>5.5.7水泵选型</w:t>
      </w:r>
    </w:p>
    <w:p>
      <w:pPr>
        <w:ind w:firstLine="480"/>
        <w:rPr>
          <w:color w:val="auto"/>
          <w:highlight w:val="none"/>
        </w:rPr>
      </w:pPr>
      <w:r>
        <w:rPr>
          <w:rFonts w:hint="eastAsia"/>
          <w:color w:val="auto"/>
          <w:highlight w:val="none"/>
        </w:rPr>
        <w:t>1、最高日最高时用水量</w:t>
      </w:r>
    </w:p>
    <w:p>
      <w:pPr>
        <w:ind w:firstLine="480"/>
        <w:rPr>
          <w:color w:val="auto"/>
          <w:highlight w:val="none"/>
        </w:rPr>
      </w:pPr>
      <w:r>
        <w:rPr>
          <w:rFonts w:hint="eastAsia"/>
          <w:color w:val="auto"/>
          <w:highlight w:val="none"/>
        </w:rPr>
        <w:t>本工程最高日用水量为30000m</w:t>
      </w:r>
      <w:r>
        <w:rPr>
          <w:rFonts w:hint="eastAsia"/>
          <w:color w:val="auto"/>
          <w:highlight w:val="none"/>
          <w:vertAlign w:val="superscript"/>
        </w:rPr>
        <w:t>3</w:t>
      </w:r>
      <w:r>
        <w:rPr>
          <w:rFonts w:hint="eastAsia"/>
          <w:color w:val="auto"/>
          <w:highlight w:val="none"/>
        </w:rPr>
        <w:t>/d，时变化系数为2.0，最高日最高时用水量Qmax=2.0×30000/24=2500m</w:t>
      </w:r>
      <w:r>
        <w:rPr>
          <w:rFonts w:hint="eastAsia"/>
          <w:color w:val="auto"/>
          <w:highlight w:val="none"/>
          <w:vertAlign w:val="superscript"/>
        </w:rPr>
        <w:t>3</w:t>
      </w:r>
      <w:r>
        <w:rPr>
          <w:rFonts w:hint="eastAsia"/>
          <w:color w:val="auto"/>
          <w:highlight w:val="none"/>
        </w:rPr>
        <w:t>/h。</w:t>
      </w:r>
    </w:p>
    <w:p>
      <w:pPr>
        <w:ind w:firstLine="480"/>
        <w:rPr>
          <w:color w:val="auto"/>
          <w:highlight w:val="none"/>
        </w:rPr>
      </w:pPr>
      <w:r>
        <w:rPr>
          <w:rFonts w:hint="eastAsia"/>
          <w:color w:val="auto"/>
          <w:highlight w:val="none"/>
        </w:rPr>
        <w:t>2、出厂水压</w:t>
      </w:r>
    </w:p>
    <w:p>
      <w:pPr>
        <w:ind w:firstLine="480"/>
        <w:rPr>
          <w:color w:val="auto"/>
          <w:highlight w:val="none"/>
        </w:rPr>
      </w:pPr>
      <w:r>
        <w:rPr>
          <w:rFonts w:hint="eastAsia"/>
          <w:color w:val="auto"/>
          <w:highlight w:val="none"/>
        </w:rPr>
        <w:t xml:space="preserve">水厂水泵加压管道的出厂水压为40.0m。 </w:t>
      </w:r>
    </w:p>
    <w:p>
      <w:pPr>
        <w:ind w:firstLine="480"/>
        <w:rPr>
          <w:color w:val="auto"/>
          <w:highlight w:val="none"/>
        </w:rPr>
      </w:pPr>
      <w:r>
        <w:rPr>
          <w:rFonts w:hint="eastAsia"/>
          <w:color w:val="auto"/>
          <w:highlight w:val="none"/>
        </w:rPr>
        <w:t>3、水泵选型</w:t>
      </w:r>
    </w:p>
    <w:p>
      <w:pPr>
        <w:ind w:firstLine="480"/>
        <w:rPr>
          <w:color w:val="auto"/>
          <w:highlight w:val="none"/>
        </w:rPr>
      </w:pPr>
      <w:r>
        <w:rPr>
          <w:rFonts w:hint="eastAsia"/>
          <w:color w:val="auto"/>
          <w:highlight w:val="none"/>
        </w:rPr>
        <w:t>水泵选型在满足工况要求的前提下，尽量选用技术先进、质量可靠，工作效率较高的节能型产品。</w:t>
      </w:r>
    </w:p>
    <w:p>
      <w:pPr>
        <w:ind w:firstLine="480"/>
        <w:rPr>
          <w:color w:val="auto"/>
          <w:highlight w:val="none"/>
        </w:rPr>
      </w:pPr>
      <w:r>
        <w:rPr>
          <w:rFonts w:hint="eastAsia"/>
          <w:color w:val="auto"/>
          <w:highlight w:val="none"/>
        </w:rPr>
        <w:t>考虑经济运行，设计采用同型号多泵并联工作方式，选取4台</w:t>
      </w:r>
      <w:r>
        <w:rPr>
          <w:color w:val="auto"/>
          <w:highlight w:val="none"/>
        </w:rPr>
        <w:t>ISW</w:t>
      </w:r>
      <w:r>
        <w:rPr>
          <w:rFonts w:hint="eastAsia"/>
          <w:color w:val="auto"/>
          <w:highlight w:val="none"/>
        </w:rPr>
        <w:t>3</w:t>
      </w:r>
      <w:r>
        <w:rPr>
          <w:color w:val="auto"/>
          <w:highlight w:val="none"/>
        </w:rPr>
        <w:t>00-</w:t>
      </w:r>
      <w:r>
        <w:rPr>
          <w:rFonts w:hint="eastAsia"/>
          <w:color w:val="auto"/>
          <w:highlight w:val="none"/>
        </w:rPr>
        <w:t>5</w:t>
      </w:r>
      <w:r>
        <w:rPr>
          <w:color w:val="auto"/>
          <w:highlight w:val="none"/>
        </w:rPr>
        <w:t>00</w:t>
      </w:r>
      <w:r>
        <w:rPr>
          <w:rFonts w:hint="eastAsia"/>
          <w:color w:val="auto"/>
          <w:highlight w:val="none"/>
        </w:rPr>
        <w:t>A离心泵，4用1备，水泵安放于二级泵房内，单台流量675m</w:t>
      </w:r>
      <w:r>
        <w:rPr>
          <w:rFonts w:hint="eastAsia"/>
          <w:color w:val="auto"/>
          <w:highlight w:val="none"/>
          <w:vertAlign w:val="superscript"/>
        </w:rPr>
        <w:t>3</w:t>
      </w:r>
      <w:r>
        <w:rPr>
          <w:rFonts w:hint="eastAsia"/>
          <w:color w:val="auto"/>
          <w:highlight w:val="none"/>
        </w:rPr>
        <w:t>/h，扬程70m，单台水泵配套功率200kw，配套电机总功率800kw。</w:t>
      </w:r>
    </w:p>
    <w:p>
      <w:pPr>
        <w:pStyle w:val="4"/>
        <w:rPr>
          <w:color w:val="auto"/>
          <w:highlight w:val="none"/>
        </w:rPr>
      </w:pPr>
      <w:r>
        <w:rPr>
          <w:rFonts w:hint="eastAsia"/>
          <w:color w:val="auto"/>
          <w:highlight w:val="none"/>
        </w:rPr>
        <w:t>5.5.8供水管理中心</w:t>
      </w:r>
    </w:p>
    <w:p>
      <w:pPr>
        <w:ind w:firstLine="480"/>
        <w:rPr>
          <w:color w:val="auto"/>
          <w:highlight w:val="none"/>
        </w:rPr>
      </w:pPr>
      <w:r>
        <w:rPr>
          <w:rFonts w:hint="eastAsia"/>
          <w:color w:val="auto"/>
          <w:highlight w:val="none"/>
        </w:rPr>
        <w:t>峄城区供水管理中心位于东郊水厂内，包括水质检测中心和信息化管理中心，水质检测中心负责对各供水工程的水源地、出厂水、末梢水进行水质检测，当地水性疾病相关资料的收集和分析，监测信息报告系统的运行及信息发布，对供水工程基本情况包括水源类型，供水方式，供水范围，供水人口、饮用水污染事件等基本信息的收集等，确保广大人民群众的饮水水质安全；信息化系统由信息采集传输系统、计算机网络系统、系统运行环境、数据库系统、安全保障系统、业务应用系统和监控中心等部分组成，具备水厂、水源地视频安全监测，水厂自控及调度，监测点信息采集及上传等功能。</w:t>
      </w:r>
    </w:p>
    <w:p>
      <w:pPr>
        <w:pStyle w:val="5"/>
        <w:rPr>
          <w:color w:val="auto"/>
          <w:highlight w:val="none"/>
        </w:rPr>
      </w:pPr>
      <w:r>
        <w:rPr>
          <w:rFonts w:hint="eastAsia"/>
          <w:color w:val="auto"/>
          <w:highlight w:val="none"/>
        </w:rPr>
        <w:t>5.7.8.1水质监测中心</w:t>
      </w:r>
    </w:p>
    <w:p>
      <w:pPr>
        <w:pStyle w:val="5"/>
        <w:rPr>
          <w:color w:val="auto"/>
          <w:highlight w:val="none"/>
        </w:rPr>
      </w:pPr>
      <w:r>
        <w:rPr>
          <w:rFonts w:hint="eastAsia"/>
          <w:color w:val="auto"/>
          <w:highlight w:val="none"/>
        </w:rPr>
        <w:t>5.7.8.1.1建设水质检测中心的必要性</w:t>
      </w:r>
    </w:p>
    <w:p>
      <w:pPr>
        <w:ind w:firstLine="480"/>
        <w:rPr>
          <w:color w:val="auto"/>
          <w:highlight w:val="none"/>
        </w:rPr>
      </w:pPr>
      <w:r>
        <w:rPr>
          <w:rFonts w:hint="eastAsia"/>
          <w:color w:val="auto"/>
          <w:highlight w:val="none"/>
        </w:rPr>
        <w:t>水对人的生命和健康至关重要。目前，全球每六人中有一人不能持续获得安全饮用水，发展中国家</w:t>
      </w:r>
      <w:r>
        <w:rPr>
          <w:color w:val="auto"/>
          <w:highlight w:val="none"/>
        </w:rPr>
        <w:t>80%</w:t>
      </w:r>
      <w:r>
        <w:rPr>
          <w:rFonts w:hint="eastAsia"/>
          <w:color w:val="auto"/>
          <w:highlight w:val="none"/>
        </w:rPr>
        <w:t>的发病及死亡与水有关。在我国，通过饮水发生和传播的疾病有五十多种。要减少疾病，提高健康水平，行之有效的措施就是使所有人获得足量安全的饮用水，并通过安全的饮用水供给，改善卫生条件，提高生活质量。因此，建立区级水质检测中心，及时掌握和发现饮用水水质动态，是保障农民群众身体健康、基本公共服务均等化、应急保障工作的需要。</w:t>
      </w:r>
    </w:p>
    <w:p>
      <w:pPr>
        <w:pStyle w:val="5"/>
        <w:rPr>
          <w:color w:val="auto"/>
          <w:highlight w:val="none"/>
        </w:rPr>
      </w:pPr>
      <w:r>
        <w:rPr>
          <w:rFonts w:hint="eastAsia"/>
          <w:color w:val="auto"/>
          <w:highlight w:val="none"/>
        </w:rPr>
        <w:t>5.5.8.1.2编制依据</w:t>
      </w:r>
    </w:p>
    <w:p>
      <w:pPr>
        <w:ind w:firstLine="480"/>
        <w:rPr>
          <w:color w:val="auto"/>
          <w:highlight w:val="none"/>
        </w:rPr>
      </w:pPr>
      <w:r>
        <w:rPr>
          <w:rFonts w:hint="eastAsia"/>
          <w:color w:val="auto"/>
          <w:highlight w:val="none"/>
        </w:rPr>
        <w:t>1、法律依据</w:t>
      </w:r>
    </w:p>
    <w:p>
      <w:pPr>
        <w:ind w:firstLine="480"/>
        <w:rPr>
          <w:color w:val="auto"/>
          <w:highlight w:val="none"/>
        </w:rPr>
      </w:pPr>
      <w:r>
        <w:rPr>
          <w:rFonts w:hint="eastAsia"/>
          <w:color w:val="auto"/>
          <w:highlight w:val="none"/>
        </w:rPr>
        <w:t>（1）《中华人民共和国水法》（2002）；</w:t>
      </w:r>
    </w:p>
    <w:p>
      <w:pPr>
        <w:ind w:firstLine="480"/>
        <w:rPr>
          <w:color w:val="auto"/>
          <w:highlight w:val="none"/>
        </w:rPr>
      </w:pPr>
      <w:r>
        <w:rPr>
          <w:rFonts w:hint="eastAsia"/>
          <w:color w:val="auto"/>
          <w:highlight w:val="none"/>
        </w:rPr>
        <w:t>（2）《中华人民共和国环境保护法》（1989）；</w:t>
      </w:r>
    </w:p>
    <w:p>
      <w:pPr>
        <w:ind w:firstLine="480"/>
        <w:rPr>
          <w:color w:val="auto"/>
          <w:highlight w:val="none"/>
        </w:rPr>
      </w:pPr>
      <w:r>
        <w:rPr>
          <w:rFonts w:hint="eastAsia"/>
          <w:color w:val="auto"/>
          <w:highlight w:val="none"/>
        </w:rPr>
        <w:t>（3）《饮用水水源保护区污染防治管理规定》（1989）；</w:t>
      </w:r>
    </w:p>
    <w:p>
      <w:pPr>
        <w:ind w:firstLine="480"/>
        <w:rPr>
          <w:color w:val="auto"/>
          <w:highlight w:val="none"/>
        </w:rPr>
      </w:pPr>
      <w:r>
        <w:rPr>
          <w:rFonts w:hint="eastAsia"/>
          <w:color w:val="auto"/>
          <w:highlight w:val="none"/>
        </w:rPr>
        <w:t>（4）《生活饮用水卫生监督管理方法》（1996）。</w:t>
      </w:r>
    </w:p>
    <w:p>
      <w:pPr>
        <w:ind w:firstLine="480"/>
        <w:rPr>
          <w:color w:val="auto"/>
          <w:highlight w:val="none"/>
        </w:rPr>
      </w:pPr>
      <w:r>
        <w:rPr>
          <w:rFonts w:hint="eastAsia"/>
          <w:color w:val="auto"/>
          <w:highlight w:val="none"/>
        </w:rPr>
        <w:t>2、相关文件</w:t>
      </w:r>
    </w:p>
    <w:p>
      <w:pPr>
        <w:ind w:firstLine="480"/>
        <w:rPr>
          <w:color w:val="auto"/>
          <w:highlight w:val="none"/>
        </w:rPr>
      </w:pPr>
      <w:r>
        <w:rPr>
          <w:rFonts w:hint="eastAsia"/>
          <w:color w:val="auto"/>
          <w:highlight w:val="none"/>
        </w:rPr>
        <w:t>（1）国务院办公室《关于加强饮用水安全保障工作的通知》（国办发[2005]45号）；</w:t>
      </w:r>
    </w:p>
    <w:p>
      <w:pPr>
        <w:ind w:firstLine="480"/>
        <w:rPr>
          <w:color w:val="auto"/>
          <w:highlight w:val="none"/>
        </w:rPr>
      </w:pPr>
      <w:r>
        <w:rPr>
          <w:rFonts w:hint="eastAsia"/>
          <w:color w:val="auto"/>
          <w:highlight w:val="none"/>
        </w:rPr>
        <w:t>（2）发改委、水利部、卫生部《关于加强农村饮水安全工程建设和运行管理工作的通知》（发改农经[2007]1752号）；</w:t>
      </w:r>
    </w:p>
    <w:p>
      <w:pPr>
        <w:ind w:firstLine="480"/>
        <w:rPr>
          <w:color w:val="auto"/>
          <w:highlight w:val="none"/>
        </w:rPr>
      </w:pPr>
      <w:r>
        <w:rPr>
          <w:rFonts w:hint="eastAsia"/>
          <w:color w:val="auto"/>
          <w:highlight w:val="none"/>
        </w:rPr>
        <w:t>（3）卫生部、发改委、水利部《关于加强农村饮水安全工程卫生学评价和水质卫生监测工作的通知》（卫疾控发[2008]3号）；</w:t>
      </w:r>
    </w:p>
    <w:p>
      <w:pPr>
        <w:ind w:firstLine="480"/>
        <w:rPr>
          <w:color w:val="auto"/>
          <w:highlight w:val="none"/>
        </w:rPr>
      </w:pPr>
      <w:r>
        <w:rPr>
          <w:rFonts w:hint="eastAsia"/>
          <w:color w:val="auto"/>
          <w:highlight w:val="none"/>
        </w:rPr>
        <w:t>（4）财政部、水利部《关于印发&lt;农村饮水安全项目建设资金管理办法&gt;的通知》（财建[2007]17号）；</w:t>
      </w:r>
    </w:p>
    <w:p>
      <w:pPr>
        <w:ind w:firstLine="480"/>
        <w:rPr>
          <w:color w:val="auto"/>
          <w:highlight w:val="none"/>
        </w:rPr>
      </w:pPr>
      <w:r>
        <w:rPr>
          <w:rFonts w:hint="eastAsia"/>
          <w:color w:val="auto"/>
          <w:highlight w:val="none"/>
        </w:rPr>
        <w:t>（5）卫生部关于印发《农村饮用水水质卫生监测管理办法（试行）》的通知（全爱卫办发[2009]5号）；</w:t>
      </w:r>
    </w:p>
    <w:p>
      <w:pPr>
        <w:ind w:firstLine="480"/>
        <w:rPr>
          <w:color w:val="auto"/>
          <w:highlight w:val="none"/>
        </w:rPr>
      </w:pPr>
      <w:r>
        <w:rPr>
          <w:rFonts w:hint="eastAsia"/>
          <w:color w:val="auto"/>
          <w:highlight w:val="none"/>
        </w:rPr>
        <w:t>（6）水利部、卫生部、发改委《关于进一步加强农村饮水安全工程水质保障工作的通知》（水农[2010]439号）；</w:t>
      </w:r>
    </w:p>
    <w:p>
      <w:pPr>
        <w:ind w:firstLine="480"/>
        <w:rPr>
          <w:color w:val="auto"/>
          <w:highlight w:val="none"/>
        </w:rPr>
      </w:pPr>
      <w:r>
        <w:rPr>
          <w:rFonts w:hint="eastAsia"/>
          <w:color w:val="auto"/>
          <w:highlight w:val="none"/>
        </w:rPr>
        <w:t>（7）水利部《关于进一步加强农村饮水安全工程建设和运行管理工作的通知》（水农[2011]197号）。</w:t>
      </w:r>
    </w:p>
    <w:p>
      <w:pPr>
        <w:ind w:firstLine="480"/>
        <w:rPr>
          <w:color w:val="auto"/>
          <w:highlight w:val="none"/>
        </w:rPr>
      </w:pPr>
      <w:r>
        <w:rPr>
          <w:rFonts w:hint="eastAsia"/>
          <w:color w:val="auto"/>
          <w:highlight w:val="none"/>
        </w:rPr>
        <w:t>3、相关规程规范及技术标准</w:t>
      </w:r>
    </w:p>
    <w:p>
      <w:pPr>
        <w:ind w:firstLine="480"/>
        <w:rPr>
          <w:color w:val="auto"/>
          <w:highlight w:val="none"/>
        </w:rPr>
      </w:pPr>
      <w:r>
        <w:rPr>
          <w:rFonts w:hint="eastAsia"/>
          <w:color w:val="auto"/>
          <w:highlight w:val="none"/>
        </w:rPr>
        <w:t>（1）《地下水质量标准》（GB/T 14848-93）；</w:t>
      </w:r>
    </w:p>
    <w:p>
      <w:pPr>
        <w:ind w:firstLine="480"/>
        <w:rPr>
          <w:color w:val="auto"/>
          <w:highlight w:val="none"/>
        </w:rPr>
      </w:pPr>
      <w:r>
        <w:rPr>
          <w:rFonts w:hint="eastAsia"/>
          <w:color w:val="auto"/>
          <w:highlight w:val="none"/>
        </w:rPr>
        <w:t>（2）《地表水环境质量标准》（GB3838-2002）；</w:t>
      </w:r>
    </w:p>
    <w:p>
      <w:pPr>
        <w:ind w:firstLine="480"/>
        <w:rPr>
          <w:color w:val="auto"/>
          <w:highlight w:val="none"/>
        </w:rPr>
      </w:pPr>
      <w:r>
        <w:rPr>
          <w:rFonts w:hint="eastAsia"/>
          <w:color w:val="auto"/>
          <w:highlight w:val="none"/>
        </w:rPr>
        <w:t>（3）《生活饮用水卫生标准》（GB5749-2006）；</w:t>
      </w:r>
    </w:p>
    <w:p>
      <w:pPr>
        <w:ind w:firstLine="480"/>
        <w:rPr>
          <w:color w:val="auto"/>
          <w:highlight w:val="none"/>
        </w:rPr>
      </w:pPr>
      <w:r>
        <w:rPr>
          <w:rFonts w:hint="eastAsia"/>
          <w:color w:val="auto"/>
          <w:highlight w:val="none"/>
        </w:rPr>
        <w:t>（4）《生活饮用水标准检验方法》（GB5750-2006）。</w:t>
      </w:r>
    </w:p>
    <w:p>
      <w:pPr>
        <w:pStyle w:val="5"/>
        <w:rPr>
          <w:color w:val="auto"/>
          <w:highlight w:val="none"/>
        </w:rPr>
      </w:pPr>
      <w:r>
        <w:rPr>
          <w:rFonts w:hint="eastAsia"/>
          <w:color w:val="auto"/>
          <w:highlight w:val="none"/>
        </w:rPr>
        <w:t>5.5.8.1.3水质检测指标</w:t>
      </w:r>
    </w:p>
    <w:p>
      <w:pPr>
        <w:ind w:firstLine="480"/>
        <w:rPr>
          <w:color w:val="auto"/>
          <w:highlight w:val="none"/>
        </w:rPr>
      </w:pPr>
      <w:r>
        <w:rPr>
          <w:rFonts w:hint="eastAsia"/>
          <w:color w:val="auto"/>
          <w:highlight w:val="none"/>
        </w:rPr>
        <w:t>1、地下水源检测项目</w:t>
      </w:r>
    </w:p>
    <w:p>
      <w:pPr>
        <w:ind w:firstLine="480"/>
        <w:rPr>
          <w:color w:val="auto"/>
          <w:highlight w:val="none"/>
        </w:rPr>
      </w:pPr>
      <w:r>
        <w:rPr>
          <w:rFonts w:hint="eastAsia"/>
          <w:color w:val="auto"/>
          <w:highlight w:val="none"/>
        </w:rPr>
        <w:t>地下水源的检测项目包括《地下水质量标准》（GB/T 14848-93）中的色度、浑浊度、嗅和味、肉眼可见物、pH、溶解性总固体、总硬度、氨氮、硝酸盐、亚硝酸盐、挥发酚、阴离子合成洗涤剂、氰化物、砷、汞、硒、镉、六价铬、铅、铍、钡、镍、氟化物、碘化物、铁、锰、铜、锌、钼、钴、高锰酸盐指数、硫酸盐、氯化物、滴滴涕、六六六、细菌总数、总大肠菌群、总α放射性、总β放射性等39项。</w:t>
      </w:r>
    </w:p>
    <w:p>
      <w:pPr>
        <w:ind w:firstLine="480"/>
        <w:rPr>
          <w:color w:val="auto"/>
          <w:highlight w:val="none"/>
        </w:rPr>
      </w:pPr>
      <w:r>
        <w:rPr>
          <w:rFonts w:hint="eastAsia"/>
          <w:color w:val="auto"/>
          <w:highlight w:val="none"/>
        </w:rPr>
        <w:t>2、生活饮用水检测项目</w:t>
      </w:r>
    </w:p>
    <w:p>
      <w:pPr>
        <w:ind w:firstLine="480"/>
        <w:rPr>
          <w:color w:val="auto"/>
          <w:highlight w:val="none"/>
        </w:rPr>
      </w:pPr>
      <w:r>
        <w:rPr>
          <w:color w:val="auto"/>
          <w:highlight w:val="none"/>
        </w:rPr>
        <w:t>按照《生活饮用水卫生标准》（GB5749-2006）对水质进行分析评价。检测指标包括：</w:t>
      </w:r>
    </w:p>
    <w:p>
      <w:pPr>
        <w:ind w:firstLine="480"/>
        <w:rPr>
          <w:color w:val="auto"/>
          <w:highlight w:val="none"/>
        </w:rPr>
      </w:pPr>
      <w:r>
        <w:rPr>
          <w:rFonts w:hint="eastAsia"/>
          <w:color w:val="auto"/>
          <w:highlight w:val="none"/>
        </w:rPr>
        <w:t>（</w:t>
      </w:r>
      <w:r>
        <w:rPr>
          <w:color w:val="auto"/>
          <w:highlight w:val="none"/>
        </w:rPr>
        <w:t>1</w:t>
      </w:r>
      <w:r>
        <w:rPr>
          <w:rFonts w:hint="eastAsia"/>
          <w:color w:val="auto"/>
          <w:highlight w:val="none"/>
        </w:rPr>
        <w:t>）</w:t>
      </w:r>
      <w:r>
        <w:rPr>
          <w:color w:val="auto"/>
          <w:highlight w:val="none"/>
        </w:rPr>
        <w:t>感官性状和一般化学指标17项：色度（度）、浑浊度（NTU）、臭和味（描述）、肉眼可见物、pH、铝（mg/L）、铁（mg/L）、锰（mg/L）、铜（mg/L）、锌（mg/L）、氯化物（mg/L）、硫酸盐（mg/L）、溶解性总固体、总硬度（mg/L以CaCO3计）、耗氧量（mg/L）、挥发酚类（以苯酚计，mg/L）、阴离子合成洗涤剂（mg/L）。</w:t>
      </w:r>
    </w:p>
    <w:p>
      <w:pPr>
        <w:ind w:firstLine="480"/>
        <w:rPr>
          <w:color w:val="auto"/>
          <w:highlight w:val="none"/>
        </w:rPr>
      </w:pPr>
      <w:r>
        <w:rPr>
          <w:rFonts w:hint="eastAsia"/>
          <w:color w:val="auto"/>
          <w:highlight w:val="none"/>
        </w:rPr>
        <w:t>（</w:t>
      </w:r>
      <w:r>
        <w:rPr>
          <w:color w:val="auto"/>
          <w:highlight w:val="none"/>
        </w:rPr>
        <w:t>2</w:t>
      </w:r>
      <w:r>
        <w:rPr>
          <w:rFonts w:hint="eastAsia"/>
          <w:color w:val="auto"/>
          <w:highlight w:val="none"/>
        </w:rPr>
        <w:t>）</w:t>
      </w:r>
      <w:r>
        <w:rPr>
          <w:color w:val="auto"/>
          <w:highlight w:val="none"/>
        </w:rPr>
        <w:t>毒理指标15项：砷（mg/L）、镉（mg/L）、铬（六价，mg/L）、铅（mg/L）、汞（mg/L）、硒（mg/L）、氰化物、氟化物（mg/L）、硝酸盐（以N计）（mg/L）、三氯甲烷（mg/L）、四氯化碳（mg/L）、溴酸盐（使用臭氧时，mg/L）、甲醛（使用臭氧时，mg/L）、亚氯酸盐（使用次氯酸钠消毒时，mg/L）、氯酸盐（使用复合次氯酸钠消毒时，mg/L）。</w:t>
      </w:r>
    </w:p>
    <w:p>
      <w:pPr>
        <w:ind w:firstLine="480"/>
        <w:rPr>
          <w:color w:val="auto"/>
          <w:highlight w:val="none"/>
        </w:rPr>
      </w:pPr>
      <w:r>
        <w:rPr>
          <w:rFonts w:hint="eastAsia"/>
          <w:color w:val="auto"/>
          <w:highlight w:val="none"/>
        </w:rPr>
        <w:t>（</w:t>
      </w:r>
      <w:r>
        <w:rPr>
          <w:color w:val="auto"/>
          <w:highlight w:val="none"/>
        </w:rPr>
        <w:t>3</w:t>
      </w:r>
      <w:r>
        <w:rPr>
          <w:rFonts w:hint="eastAsia"/>
          <w:color w:val="auto"/>
          <w:highlight w:val="none"/>
        </w:rPr>
        <w:t>）</w:t>
      </w:r>
      <w:r>
        <w:rPr>
          <w:color w:val="auto"/>
          <w:highlight w:val="none"/>
        </w:rPr>
        <w:t>微生物学指标4项：菌落总数（CFU/mL）、总大肠菌群（MPN /100mL）、耐热大肠菌群（MPN /100mL）、大肠埃希氏菌（MPN /100mL）。</w:t>
      </w:r>
    </w:p>
    <w:p>
      <w:pPr>
        <w:ind w:firstLine="480"/>
        <w:rPr>
          <w:color w:val="auto"/>
          <w:highlight w:val="none"/>
        </w:rPr>
      </w:pPr>
      <w:r>
        <w:rPr>
          <w:rFonts w:hint="eastAsia"/>
          <w:color w:val="auto"/>
          <w:highlight w:val="none"/>
        </w:rPr>
        <w:t>（</w:t>
      </w:r>
      <w:r>
        <w:rPr>
          <w:color w:val="auto"/>
          <w:highlight w:val="none"/>
        </w:rPr>
        <w:t>4</w:t>
      </w:r>
      <w:r>
        <w:rPr>
          <w:rFonts w:hint="eastAsia"/>
          <w:color w:val="auto"/>
          <w:highlight w:val="none"/>
        </w:rPr>
        <w:t>）</w:t>
      </w:r>
      <w:r>
        <w:rPr>
          <w:color w:val="auto"/>
          <w:highlight w:val="none"/>
        </w:rPr>
        <w:t>与消毒有关的指标4项：应根据水消毒所用消毒剂的种类选择检测指标，游离余氯（mg/L）、臭氧（mg/L）、次氯酸钠（mg/L）、一氯胺（总氯，mg/L）。</w:t>
      </w:r>
    </w:p>
    <w:p>
      <w:pPr>
        <w:ind w:firstLine="480"/>
        <w:rPr>
          <w:color w:val="auto"/>
          <w:highlight w:val="none"/>
        </w:rPr>
      </w:pPr>
      <w:r>
        <w:rPr>
          <w:rFonts w:hint="eastAsia"/>
          <w:color w:val="auto"/>
          <w:highlight w:val="none"/>
        </w:rPr>
        <w:t>（</w:t>
      </w:r>
      <w:r>
        <w:rPr>
          <w:color w:val="auto"/>
          <w:highlight w:val="none"/>
        </w:rPr>
        <w:t>5</w:t>
      </w:r>
      <w:r>
        <w:rPr>
          <w:rFonts w:hint="eastAsia"/>
          <w:color w:val="auto"/>
          <w:highlight w:val="none"/>
        </w:rPr>
        <w:t>）</w:t>
      </w:r>
      <w:r>
        <w:rPr>
          <w:color w:val="auto"/>
          <w:highlight w:val="none"/>
        </w:rPr>
        <w:t>放射性指标2项：总α放射性、总β放射性。</w:t>
      </w:r>
    </w:p>
    <w:p>
      <w:pPr>
        <w:pStyle w:val="5"/>
        <w:rPr>
          <w:color w:val="auto"/>
          <w:highlight w:val="none"/>
        </w:rPr>
      </w:pPr>
      <w:r>
        <w:rPr>
          <w:rFonts w:hint="eastAsia"/>
          <w:color w:val="auto"/>
          <w:highlight w:val="none"/>
        </w:rPr>
        <w:t>5.5.8.1.4水质检测中心建设</w:t>
      </w:r>
    </w:p>
    <w:p>
      <w:pPr>
        <w:ind w:firstLine="480"/>
        <w:rPr>
          <w:color w:val="auto"/>
          <w:highlight w:val="none"/>
        </w:rPr>
      </w:pPr>
      <w:r>
        <w:rPr>
          <w:rFonts w:hint="eastAsia"/>
          <w:color w:val="auto"/>
          <w:highlight w:val="none"/>
        </w:rPr>
        <w:t>水质检测是确保饮水安全的重要手段，也是供水管理的重要环节。根据不同的水源地形式，科学布设测验点，制定合理的测验方案，开展科学的检测程序，及时公示测验结果，同时针对检测结果提出关于保护或提高饮用水质的建设性意见。</w:t>
      </w:r>
    </w:p>
    <w:p>
      <w:pPr>
        <w:ind w:firstLine="480"/>
        <w:rPr>
          <w:color w:val="auto"/>
          <w:highlight w:val="none"/>
        </w:rPr>
      </w:pPr>
      <w:r>
        <w:rPr>
          <w:rFonts w:hint="eastAsia"/>
          <w:color w:val="auto"/>
          <w:highlight w:val="none"/>
        </w:rPr>
        <w:t>1、建设原则</w:t>
      </w:r>
    </w:p>
    <w:p>
      <w:pPr>
        <w:ind w:firstLine="480"/>
        <w:rPr>
          <w:color w:val="auto"/>
          <w:highlight w:val="none"/>
        </w:rPr>
      </w:pPr>
      <w:r>
        <w:rPr>
          <w:rFonts w:hint="eastAsia"/>
          <w:color w:val="auto"/>
          <w:highlight w:val="none"/>
        </w:rPr>
        <w:t>（1）按照国家设计监督局对实验室认可规范中有关环境条件的要求，应选择远离生活区的区域建设或改建。同时应根据峄城区水厂和源水分布情况，选择近距离覆盖面积最广的地方建设水质实验室，以提高突发性水质事故处理的快速反应能力。</w:t>
      </w:r>
    </w:p>
    <w:p>
      <w:pPr>
        <w:ind w:firstLine="480"/>
        <w:rPr>
          <w:color w:val="auto"/>
          <w:highlight w:val="none"/>
        </w:rPr>
      </w:pPr>
      <w:r>
        <w:rPr>
          <w:rFonts w:hint="eastAsia"/>
          <w:color w:val="auto"/>
          <w:highlight w:val="none"/>
        </w:rPr>
        <w:t>（2）饮水安全水质检测中心的建设原则是功能既要满足农村饮水水质检测的需要，又要考虑21世纪水质检测的发展要求，要科学合理、经济实用、美观大方。在仪器装备、实验环境、安全防护和建筑装修等方面，体现出高起点、高水平的检测中心的模式。</w:t>
      </w:r>
    </w:p>
    <w:p>
      <w:pPr>
        <w:ind w:firstLine="480"/>
        <w:rPr>
          <w:color w:val="auto"/>
          <w:highlight w:val="none"/>
        </w:rPr>
      </w:pPr>
      <w:r>
        <w:rPr>
          <w:rFonts w:hint="eastAsia"/>
          <w:color w:val="auto"/>
          <w:highlight w:val="none"/>
        </w:rPr>
        <w:t>（3）根据检测项目及不同种类的仪器设备的具体要求，建立合理的实验室。实验室应与办公室隔开，与实验室无关的物品，不得在实验室内存放；与实验无关的活动，不得在实验室内进行。实验室内，仪器室与预处理应分开。在一间实验室内，会造成相互干扰的检测项目也要分隔开等。</w:t>
      </w:r>
    </w:p>
    <w:p>
      <w:pPr>
        <w:ind w:firstLine="480"/>
        <w:rPr>
          <w:color w:val="auto"/>
          <w:highlight w:val="none"/>
        </w:rPr>
      </w:pPr>
      <w:r>
        <w:rPr>
          <w:rFonts w:hint="eastAsia"/>
          <w:color w:val="auto"/>
          <w:highlight w:val="none"/>
        </w:rPr>
        <w:t>2、功能划分</w:t>
      </w:r>
    </w:p>
    <w:p>
      <w:pPr>
        <w:ind w:firstLine="480"/>
        <w:rPr>
          <w:color w:val="auto"/>
          <w:highlight w:val="none"/>
        </w:rPr>
      </w:pPr>
      <w:r>
        <w:rPr>
          <w:rFonts w:hint="eastAsia"/>
          <w:color w:val="auto"/>
          <w:highlight w:val="none"/>
        </w:rPr>
        <w:t>实验室规划与设计要符合保护人员、环境的要求，平面布局和流程要科学合理、流程简捷、洁污分明、层次清析。尽可能做到人流物流分开、严重污染的区域与洁净区域设立缓冲区，同时达到去污有效，能有效地切断感染途径，降低感染率。</w:t>
      </w:r>
    </w:p>
    <w:p>
      <w:pPr>
        <w:ind w:firstLine="480"/>
        <w:rPr>
          <w:color w:val="auto"/>
          <w:highlight w:val="none"/>
        </w:rPr>
      </w:pPr>
      <w:r>
        <w:rPr>
          <w:rFonts w:hint="eastAsia"/>
          <w:color w:val="auto"/>
          <w:highlight w:val="none"/>
        </w:rPr>
        <w:t>实验室规划与设计要符合保护人员、环境的要求，平面布局和流程要科学合理、流程简捷、洁污分明、层次清析。尽可能做到人流物流分开、严重污染的区域与洁净区域设立缓冲区，同时达到去污有效，能有效地切断感染途径，降低感染率。</w:t>
      </w:r>
    </w:p>
    <w:p>
      <w:pPr>
        <w:ind w:firstLine="480"/>
        <w:rPr>
          <w:color w:val="auto"/>
          <w:highlight w:val="none"/>
        </w:rPr>
      </w:pPr>
      <w:r>
        <w:rPr>
          <w:rFonts w:hint="eastAsia"/>
          <w:color w:val="auto"/>
          <w:highlight w:val="none"/>
        </w:rPr>
        <w:t>水质检测中心站共分为九个功能区：天平室、药品室、生化室、小仪器室、放射性检测室、纯水制备室、理化前处理室、大型仪器室、办公室等。</w:t>
      </w:r>
    </w:p>
    <w:p>
      <w:pPr>
        <w:spacing w:line="240" w:lineRule="auto"/>
        <w:ind w:firstLine="0" w:firstLineChars="0"/>
        <w:jc w:val="left"/>
        <w:rPr>
          <w:b/>
          <w:color w:val="auto"/>
          <w:highlight w:val="none"/>
        </w:rPr>
      </w:pPr>
      <w:r>
        <w:rPr>
          <w:rFonts w:hint="eastAsia"/>
          <w:b/>
          <w:color w:val="auto"/>
          <w:highlight w:val="none"/>
        </w:rPr>
        <w:t>表5.5-2                    实验场所简介</w:t>
      </w:r>
    </w:p>
    <w:tbl>
      <w:tblPr>
        <w:tblStyle w:val="33"/>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19"/>
        <w:gridCol w:w="1498"/>
        <w:gridCol w:w="2294"/>
        <w:gridCol w:w="40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7" w:hRule="atLeast"/>
          <w:tblHeader/>
        </w:trPr>
        <w:tc>
          <w:tcPr>
            <w:tcW w:w="422" w:type="pct"/>
            <w:vAlign w:val="center"/>
          </w:tcPr>
          <w:p>
            <w:pPr>
              <w:spacing w:line="240" w:lineRule="auto"/>
              <w:ind w:firstLine="0" w:firstLineChars="0"/>
              <w:jc w:val="center"/>
              <w:rPr>
                <w:color w:val="auto"/>
                <w:sz w:val="20"/>
                <w:szCs w:val="20"/>
                <w:highlight w:val="none"/>
              </w:rPr>
            </w:pPr>
            <w:r>
              <w:rPr>
                <w:color w:val="auto"/>
                <w:sz w:val="20"/>
                <w:szCs w:val="20"/>
                <w:highlight w:val="none"/>
              </w:rPr>
              <w:t>序号</w:t>
            </w:r>
          </w:p>
        </w:tc>
        <w:tc>
          <w:tcPr>
            <w:tcW w:w="879" w:type="pct"/>
            <w:vAlign w:val="center"/>
          </w:tcPr>
          <w:p>
            <w:pPr>
              <w:spacing w:line="240" w:lineRule="auto"/>
              <w:ind w:firstLine="0" w:firstLineChars="0"/>
              <w:jc w:val="center"/>
              <w:rPr>
                <w:color w:val="auto"/>
                <w:sz w:val="20"/>
                <w:szCs w:val="20"/>
                <w:highlight w:val="none"/>
              </w:rPr>
            </w:pPr>
            <w:r>
              <w:rPr>
                <w:color w:val="auto"/>
                <w:sz w:val="20"/>
                <w:szCs w:val="20"/>
                <w:highlight w:val="none"/>
              </w:rPr>
              <w:t>科室</w:t>
            </w:r>
          </w:p>
        </w:tc>
        <w:tc>
          <w:tcPr>
            <w:tcW w:w="1346" w:type="pct"/>
            <w:vAlign w:val="center"/>
          </w:tcPr>
          <w:p>
            <w:pPr>
              <w:spacing w:line="240" w:lineRule="auto"/>
              <w:ind w:firstLine="0" w:firstLineChars="0"/>
              <w:jc w:val="center"/>
              <w:rPr>
                <w:color w:val="auto"/>
                <w:sz w:val="20"/>
                <w:szCs w:val="20"/>
                <w:highlight w:val="none"/>
              </w:rPr>
            </w:pPr>
            <w:r>
              <w:rPr>
                <w:color w:val="auto"/>
                <w:sz w:val="20"/>
                <w:szCs w:val="20"/>
                <w:highlight w:val="none"/>
              </w:rPr>
              <w:t>功能</w:t>
            </w:r>
          </w:p>
        </w:tc>
        <w:tc>
          <w:tcPr>
            <w:tcW w:w="2353" w:type="pct"/>
            <w:vAlign w:val="center"/>
          </w:tcPr>
          <w:p>
            <w:pPr>
              <w:spacing w:line="240" w:lineRule="auto"/>
              <w:ind w:firstLine="0" w:firstLineChars="0"/>
              <w:jc w:val="center"/>
              <w:rPr>
                <w:color w:val="auto"/>
                <w:sz w:val="20"/>
                <w:szCs w:val="20"/>
                <w:highlight w:val="none"/>
              </w:rPr>
            </w:pPr>
            <w:r>
              <w:rPr>
                <w:color w:val="auto"/>
                <w:sz w:val="20"/>
                <w:szCs w:val="20"/>
                <w:highlight w:val="none"/>
              </w:rPr>
              <w:t>所用仪器及设施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3" w:hRule="atLeast"/>
        </w:trPr>
        <w:tc>
          <w:tcPr>
            <w:tcW w:w="422" w:type="pct"/>
            <w:vAlign w:val="center"/>
          </w:tcPr>
          <w:p>
            <w:pPr>
              <w:spacing w:line="240" w:lineRule="auto"/>
              <w:ind w:firstLine="0" w:firstLineChars="0"/>
              <w:jc w:val="center"/>
              <w:rPr>
                <w:rFonts w:hAnsi="宋体"/>
                <w:color w:val="auto"/>
                <w:sz w:val="20"/>
                <w:szCs w:val="20"/>
                <w:highlight w:val="none"/>
              </w:rPr>
            </w:pPr>
            <w:r>
              <w:rPr>
                <w:rFonts w:hAnsi="宋体"/>
                <w:color w:val="auto"/>
                <w:sz w:val="20"/>
                <w:szCs w:val="20"/>
                <w:highlight w:val="none"/>
              </w:rPr>
              <w:t>1</w:t>
            </w:r>
          </w:p>
        </w:tc>
        <w:tc>
          <w:tcPr>
            <w:tcW w:w="879" w:type="pct"/>
            <w:vAlign w:val="center"/>
          </w:tcPr>
          <w:p>
            <w:pPr>
              <w:spacing w:line="240" w:lineRule="auto"/>
              <w:ind w:firstLine="0" w:firstLineChars="0"/>
              <w:jc w:val="center"/>
              <w:rPr>
                <w:rFonts w:hAnsi="宋体"/>
                <w:color w:val="auto"/>
                <w:sz w:val="20"/>
                <w:szCs w:val="20"/>
                <w:highlight w:val="none"/>
              </w:rPr>
            </w:pPr>
            <w:r>
              <w:rPr>
                <w:rFonts w:hAnsi="宋体"/>
                <w:color w:val="auto"/>
                <w:sz w:val="20"/>
                <w:szCs w:val="20"/>
                <w:highlight w:val="none"/>
              </w:rPr>
              <w:t>天平室</w:t>
            </w:r>
          </w:p>
        </w:tc>
        <w:tc>
          <w:tcPr>
            <w:tcW w:w="1346" w:type="pct"/>
            <w:vAlign w:val="center"/>
          </w:tcPr>
          <w:p>
            <w:pPr>
              <w:spacing w:line="240" w:lineRule="auto"/>
              <w:ind w:firstLine="0" w:firstLineChars="0"/>
              <w:jc w:val="center"/>
              <w:rPr>
                <w:rFonts w:hAnsi="宋体"/>
                <w:color w:val="auto"/>
                <w:sz w:val="20"/>
                <w:szCs w:val="20"/>
                <w:highlight w:val="none"/>
              </w:rPr>
            </w:pPr>
            <w:r>
              <w:rPr>
                <w:rFonts w:hAnsi="宋体"/>
                <w:color w:val="auto"/>
                <w:sz w:val="20"/>
                <w:szCs w:val="20"/>
                <w:highlight w:val="none"/>
              </w:rPr>
              <w:t>药品、试剂的称量</w:t>
            </w:r>
          </w:p>
        </w:tc>
        <w:tc>
          <w:tcPr>
            <w:tcW w:w="2353" w:type="pct"/>
            <w:vAlign w:val="center"/>
          </w:tcPr>
          <w:p>
            <w:pPr>
              <w:spacing w:line="240" w:lineRule="auto"/>
              <w:ind w:firstLine="0" w:firstLineChars="0"/>
              <w:jc w:val="center"/>
              <w:rPr>
                <w:rFonts w:hAnsi="宋体"/>
                <w:color w:val="auto"/>
                <w:sz w:val="20"/>
                <w:szCs w:val="20"/>
                <w:highlight w:val="none"/>
              </w:rPr>
            </w:pPr>
            <w:r>
              <w:rPr>
                <w:rFonts w:hAnsi="宋体"/>
                <w:color w:val="auto"/>
                <w:sz w:val="20"/>
                <w:szCs w:val="20"/>
                <w:highlight w:val="none"/>
              </w:rPr>
              <w:t>分析天平、天平台及试验台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5" w:hRule="atLeast"/>
        </w:trPr>
        <w:tc>
          <w:tcPr>
            <w:tcW w:w="422" w:type="pct"/>
            <w:vAlign w:val="center"/>
          </w:tcPr>
          <w:p>
            <w:pPr>
              <w:spacing w:line="240" w:lineRule="auto"/>
              <w:ind w:firstLine="0" w:firstLineChars="0"/>
              <w:jc w:val="center"/>
              <w:rPr>
                <w:rFonts w:hAnsi="宋体"/>
                <w:color w:val="auto"/>
                <w:sz w:val="20"/>
                <w:szCs w:val="20"/>
                <w:highlight w:val="none"/>
              </w:rPr>
            </w:pPr>
            <w:r>
              <w:rPr>
                <w:rFonts w:hAnsi="宋体"/>
                <w:color w:val="auto"/>
                <w:sz w:val="20"/>
                <w:szCs w:val="20"/>
                <w:highlight w:val="none"/>
              </w:rPr>
              <w:t>2</w:t>
            </w:r>
          </w:p>
        </w:tc>
        <w:tc>
          <w:tcPr>
            <w:tcW w:w="879" w:type="pct"/>
            <w:vAlign w:val="center"/>
          </w:tcPr>
          <w:p>
            <w:pPr>
              <w:spacing w:line="240" w:lineRule="auto"/>
              <w:ind w:firstLine="0" w:firstLineChars="0"/>
              <w:jc w:val="center"/>
              <w:rPr>
                <w:rFonts w:hAnsi="宋体"/>
                <w:color w:val="auto"/>
                <w:sz w:val="20"/>
                <w:szCs w:val="20"/>
                <w:highlight w:val="none"/>
              </w:rPr>
            </w:pPr>
            <w:r>
              <w:rPr>
                <w:rFonts w:hAnsi="宋体"/>
                <w:color w:val="auto"/>
                <w:sz w:val="20"/>
                <w:szCs w:val="20"/>
                <w:highlight w:val="none"/>
              </w:rPr>
              <w:t>药品室</w:t>
            </w:r>
          </w:p>
        </w:tc>
        <w:tc>
          <w:tcPr>
            <w:tcW w:w="1346" w:type="pct"/>
            <w:vAlign w:val="center"/>
          </w:tcPr>
          <w:p>
            <w:pPr>
              <w:spacing w:line="240" w:lineRule="auto"/>
              <w:ind w:firstLine="0" w:firstLineChars="0"/>
              <w:jc w:val="center"/>
              <w:rPr>
                <w:rFonts w:hAnsi="宋体"/>
                <w:color w:val="auto"/>
                <w:sz w:val="20"/>
                <w:szCs w:val="20"/>
                <w:highlight w:val="none"/>
              </w:rPr>
            </w:pPr>
            <w:r>
              <w:rPr>
                <w:rFonts w:hAnsi="宋体"/>
                <w:color w:val="auto"/>
                <w:sz w:val="20"/>
                <w:szCs w:val="20"/>
                <w:highlight w:val="none"/>
              </w:rPr>
              <w:t>药品、试剂的存储</w:t>
            </w:r>
          </w:p>
        </w:tc>
        <w:tc>
          <w:tcPr>
            <w:tcW w:w="2353" w:type="pct"/>
            <w:vAlign w:val="center"/>
          </w:tcPr>
          <w:p>
            <w:pPr>
              <w:spacing w:line="240" w:lineRule="auto"/>
              <w:ind w:firstLine="0" w:firstLineChars="0"/>
              <w:jc w:val="center"/>
              <w:rPr>
                <w:rFonts w:hAnsi="宋体"/>
                <w:color w:val="auto"/>
                <w:sz w:val="20"/>
                <w:szCs w:val="20"/>
                <w:highlight w:val="none"/>
              </w:rPr>
            </w:pPr>
            <w:r>
              <w:rPr>
                <w:rFonts w:hAnsi="宋体"/>
                <w:color w:val="auto"/>
                <w:sz w:val="20"/>
                <w:szCs w:val="20"/>
                <w:highlight w:val="none"/>
              </w:rPr>
              <w:t>药品柜、空调、冰箱、排气扇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vAlign w:val="center"/>
          </w:tcPr>
          <w:p>
            <w:pPr>
              <w:spacing w:line="240" w:lineRule="auto"/>
              <w:ind w:firstLine="0" w:firstLineChars="0"/>
              <w:jc w:val="center"/>
              <w:rPr>
                <w:rFonts w:hAnsi="宋体"/>
                <w:color w:val="auto"/>
                <w:sz w:val="20"/>
                <w:szCs w:val="20"/>
                <w:highlight w:val="none"/>
              </w:rPr>
            </w:pPr>
            <w:r>
              <w:rPr>
                <w:rFonts w:hAnsi="宋体"/>
                <w:color w:val="auto"/>
                <w:sz w:val="20"/>
                <w:szCs w:val="20"/>
                <w:highlight w:val="none"/>
              </w:rPr>
              <w:t>3</w:t>
            </w:r>
          </w:p>
        </w:tc>
        <w:tc>
          <w:tcPr>
            <w:tcW w:w="879" w:type="pct"/>
            <w:vAlign w:val="center"/>
          </w:tcPr>
          <w:p>
            <w:pPr>
              <w:spacing w:line="240" w:lineRule="auto"/>
              <w:ind w:firstLine="0" w:firstLineChars="0"/>
              <w:jc w:val="center"/>
              <w:rPr>
                <w:rFonts w:hAnsi="宋体"/>
                <w:color w:val="auto"/>
                <w:sz w:val="20"/>
                <w:szCs w:val="20"/>
                <w:highlight w:val="none"/>
              </w:rPr>
            </w:pPr>
            <w:r>
              <w:rPr>
                <w:rFonts w:hAnsi="宋体"/>
                <w:color w:val="auto"/>
                <w:sz w:val="20"/>
                <w:szCs w:val="20"/>
                <w:highlight w:val="none"/>
              </w:rPr>
              <w:t>生化室</w:t>
            </w:r>
          </w:p>
        </w:tc>
        <w:tc>
          <w:tcPr>
            <w:tcW w:w="1346" w:type="pct"/>
            <w:vAlign w:val="center"/>
          </w:tcPr>
          <w:p>
            <w:pPr>
              <w:spacing w:line="240" w:lineRule="auto"/>
              <w:ind w:firstLine="0" w:firstLineChars="0"/>
              <w:jc w:val="center"/>
              <w:rPr>
                <w:rFonts w:hAnsi="宋体"/>
                <w:color w:val="auto"/>
                <w:sz w:val="20"/>
                <w:szCs w:val="20"/>
                <w:highlight w:val="none"/>
              </w:rPr>
            </w:pPr>
            <w:r>
              <w:rPr>
                <w:rFonts w:hAnsi="宋体"/>
                <w:color w:val="auto"/>
                <w:sz w:val="20"/>
                <w:szCs w:val="20"/>
                <w:highlight w:val="none"/>
              </w:rPr>
              <w:t>微生物4项指标的检测</w:t>
            </w:r>
          </w:p>
        </w:tc>
        <w:tc>
          <w:tcPr>
            <w:tcW w:w="2353" w:type="pct"/>
            <w:vAlign w:val="center"/>
          </w:tcPr>
          <w:p>
            <w:pPr>
              <w:spacing w:line="240" w:lineRule="auto"/>
              <w:ind w:firstLine="0" w:firstLineChars="0"/>
              <w:jc w:val="center"/>
              <w:rPr>
                <w:rFonts w:hAnsi="宋体"/>
                <w:color w:val="auto"/>
                <w:sz w:val="20"/>
                <w:szCs w:val="20"/>
                <w:highlight w:val="none"/>
              </w:rPr>
            </w:pPr>
            <w:r>
              <w:rPr>
                <w:rFonts w:hAnsi="宋体"/>
                <w:color w:val="auto"/>
                <w:sz w:val="20"/>
                <w:szCs w:val="20"/>
                <w:highlight w:val="none"/>
              </w:rPr>
              <w:t>无菌操作台、恒温培养箱、干燥箱、电炉、显微镜、试验台、空调等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vAlign w:val="center"/>
          </w:tcPr>
          <w:p>
            <w:pPr>
              <w:spacing w:line="240" w:lineRule="auto"/>
              <w:ind w:firstLine="0" w:firstLineChars="0"/>
              <w:jc w:val="center"/>
              <w:rPr>
                <w:rFonts w:hAnsi="宋体"/>
                <w:color w:val="auto"/>
                <w:sz w:val="20"/>
                <w:szCs w:val="20"/>
                <w:highlight w:val="none"/>
              </w:rPr>
            </w:pPr>
            <w:r>
              <w:rPr>
                <w:rFonts w:hAnsi="宋体"/>
                <w:color w:val="auto"/>
                <w:sz w:val="20"/>
                <w:szCs w:val="20"/>
                <w:highlight w:val="none"/>
              </w:rPr>
              <w:t>4</w:t>
            </w:r>
          </w:p>
        </w:tc>
        <w:tc>
          <w:tcPr>
            <w:tcW w:w="879" w:type="pct"/>
            <w:vAlign w:val="center"/>
          </w:tcPr>
          <w:p>
            <w:pPr>
              <w:spacing w:line="240" w:lineRule="auto"/>
              <w:ind w:firstLine="0" w:firstLineChars="0"/>
              <w:jc w:val="center"/>
              <w:rPr>
                <w:rFonts w:hAnsi="宋体"/>
                <w:color w:val="auto"/>
                <w:sz w:val="20"/>
                <w:szCs w:val="20"/>
                <w:highlight w:val="none"/>
              </w:rPr>
            </w:pPr>
            <w:r>
              <w:rPr>
                <w:rFonts w:hAnsi="宋体"/>
                <w:color w:val="auto"/>
                <w:sz w:val="20"/>
                <w:szCs w:val="20"/>
                <w:highlight w:val="none"/>
              </w:rPr>
              <w:t>小仪器室</w:t>
            </w:r>
          </w:p>
        </w:tc>
        <w:tc>
          <w:tcPr>
            <w:tcW w:w="1346" w:type="pct"/>
            <w:vAlign w:val="center"/>
          </w:tcPr>
          <w:p>
            <w:pPr>
              <w:spacing w:line="240" w:lineRule="auto"/>
              <w:ind w:firstLine="0" w:firstLineChars="0"/>
              <w:jc w:val="center"/>
              <w:rPr>
                <w:rFonts w:hAnsi="宋体"/>
                <w:color w:val="auto"/>
                <w:sz w:val="20"/>
                <w:szCs w:val="20"/>
                <w:highlight w:val="none"/>
              </w:rPr>
            </w:pPr>
            <w:r>
              <w:rPr>
                <w:rFonts w:hAnsi="宋体"/>
                <w:color w:val="auto"/>
                <w:sz w:val="20"/>
                <w:szCs w:val="20"/>
                <w:highlight w:val="none"/>
              </w:rPr>
              <w:t>PH、电导率、浊度、余氯的检测</w:t>
            </w:r>
          </w:p>
        </w:tc>
        <w:tc>
          <w:tcPr>
            <w:tcW w:w="2353" w:type="pct"/>
            <w:vAlign w:val="center"/>
          </w:tcPr>
          <w:p>
            <w:pPr>
              <w:spacing w:line="240" w:lineRule="auto"/>
              <w:ind w:firstLine="0" w:firstLineChars="0"/>
              <w:jc w:val="center"/>
              <w:rPr>
                <w:rFonts w:hAnsi="宋体"/>
                <w:color w:val="auto"/>
                <w:sz w:val="20"/>
                <w:szCs w:val="20"/>
                <w:highlight w:val="none"/>
              </w:rPr>
            </w:pPr>
            <w:r>
              <w:rPr>
                <w:rFonts w:hAnsi="宋体"/>
                <w:color w:val="auto"/>
                <w:sz w:val="20"/>
                <w:szCs w:val="20"/>
                <w:highlight w:val="none"/>
              </w:rPr>
              <w:t>PH计、电导率仪、浊度仪、余氯仪、空调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vAlign w:val="center"/>
          </w:tcPr>
          <w:p>
            <w:pPr>
              <w:spacing w:line="240" w:lineRule="auto"/>
              <w:ind w:firstLine="0" w:firstLineChars="0"/>
              <w:jc w:val="center"/>
              <w:rPr>
                <w:rFonts w:hAnsi="宋体"/>
                <w:color w:val="auto"/>
                <w:sz w:val="20"/>
                <w:szCs w:val="20"/>
                <w:highlight w:val="none"/>
              </w:rPr>
            </w:pPr>
            <w:r>
              <w:rPr>
                <w:rFonts w:hAnsi="宋体"/>
                <w:color w:val="auto"/>
                <w:sz w:val="20"/>
                <w:szCs w:val="20"/>
                <w:highlight w:val="none"/>
              </w:rPr>
              <w:t>5</w:t>
            </w:r>
          </w:p>
        </w:tc>
        <w:tc>
          <w:tcPr>
            <w:tcW w:w="879" w:type="pct"/>
            <w:vAlign w:val="center"/>
          </w:tcPr>
          <w:p>
            <w:pPr>
              <w:spacing w:line="240" w:lineRule="auto"/>
              <w:ind w:firstLine="0" w:firstLineChars="0"/>
              <w:jc w:val="center"/>
              <w:rPr>
                <w:rFonts w:hAnsi="宋体"/>
                <w:color w:val="auto"/>
                <w:sz w:val="20"/>
                <w:szCs w:val="20"/>
                <w:highlight w:val="none"/>
              </w:rPr>
            </w:pPr>
            <w:r>
              <w:rPr>
                <w:rFonts w:hAnsi="宋体"/>
                <w:color w:val="auto"/>
                <w:sz w:val="20"/>
                <w:szCs w:val="20"/>
                <w:highlight w:val="none"/>
              </w:rPr>
              <w:t>放射性检测室</w:t>
            </w:r>
          </w:p>
        </w:tc>
        <w:tc>
          <w:tcPr>
            <w:tcW w:w="1346" w:type="pct"/>
            <w:vAlign w:val="center"/>
          </w:tcPr>
          <w:p>
            <w:pPr>
              <w:spacing w:line="240" w:lineRule="auto"/>
              <w:ind w:firstLine="0" w:firstLineChars="0"/>
              <w:jc w:val="center"/>
              <w:rPr>
                <w:rFonts w:hAnsi="宋体"/>
                <w:color w:val="auto"/>
                <w:sz w:val="20"/>
                <w:szCs w:val="20"/>
                <w:highlight w:val="none"/>
              </w:rPr>
            </w:pPr>
            <w:r>
              <w:rPr>
                <w:rFonts w:hAnsi="宋体"/>
                <w:color w:val="auto"/>
                <w:sz w:val="20"/>
                <w:szCs w:val="20"/>
                <w:highlight w:val="none"/>
              </w:rPr>
              <w:t>总α、总β放射性指标的检测</w:t>
            </w:r>
          </w:p>
        </w:tc>
        <w:tc>
          <w:tcPr>
            <w:tcW w:w="2353" w:type="pct"/>
            <w:vAlign w:val="center"/>
          </w:tcPr>
          <w:p>
            <w:pPr>
              <w:spacing w:line="240" w:lineRule="auto"/>
              <w:ind w:firstLine="0" w:firstLineChars="0"/>
              <w:jc w:val="center"/>
              <w:rPr>
                <w:rFonts w:hAnsi="宋体"/>
                <w:color w:val="auto"/>
                <w:sz w:val="20"/>
                <w:szCs w:val="20"/>
                <w:highlight w:val="none"/>
              </w:rPr>
            </w:pPr>
            <w:r>
              <w:rPr>
                <w:rFonts w:hAnsi="宋体"/>
                <w:color w:val="auto"/>
                <w:sz w:val="20"/>
                <w:szCs w:val="20"/>
                <w:highlight w:val="none"/>
              </w:rPr>
              <w:t>放射性检测仪、马弗炉、调温板、空调、高温台、试验台等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3" w:hRule="atLeast"/>
        </w:trPr>
        <w:tc>
          <w:tcPr>
            <w:tcW w:w="422" w:type="pct"/>
            <w:vAlign w:val="center"/>
          </w:tcPr>
          <w:p>
            <w:pPr>
              <w:spacing w:line="240" w:lineRule="auto"/>
              <w:ind w:firstLine="0" w:firstLineChars="0"/>
              <w:jc w:val="center"/>
              <w:rPr>
                <w:rFonts w:hAnsi="宋体"/>
                <w:color w:val="auto"/>
                <w:sz w:val="20"/>
                <w:szCs w:val="20"/>
                <w:highlight w:val="none"/>
              </w:rPr>
            </w:pPr>
            <w:r>
              <w:rPr>
                <w:rFonts w:hAnsi="宋体"/>
                <w:color w:val="auto"/>
                <w:sz w:val="20"/>
                <w:szCs w:val="20"/>
                <w:highlight w:val="none"/>
              </w:rPr>
              <w:t>6</w:t>
            </w:r>
          </w:p>
        </w:tc>
        <w:tc>
          <w:tcPr>
            <w:tcW w:w="879" w:type="pct"/>
            <w:vAlign w:val="center"/>
          </w:tcPr>
          <w:p>
            <w:pPr>
              <w:spacing w:line="240" w:lineRule="auto"/>
              <w:ind w:firstLine="0" w:firstLineChars="0"/>
              <w:jc w:val="center"/>
              <w:rPr>
                <w:rFonts w:hAnsi="宋体"/>
                <w:color w:val="auto"/>
                <w:sz w:val="20"/>
                <w:szCs w:val="20"/>
                <w:highlight w:val="none"/>
              </w:rPr>
            </w:pPr>
            <w:r>
              <w:rPr>
                <w:rFonts w:hAnsi="宋体"/>
                <w:color w:val="auto"/>
                <w:sz w:val="20"/>
                <w:szCs w:val="20"/>
                <w:highlight w:val="none"/>
              </w:rPr>
              <w:t>纯水制备室</w:t>
            </w:r>
          </w:p>
        </w:tc>
        <w:tc>
          <w:tcPr>
            <w:tcW w:w="1346" w:type="pct"/>
            <w:vAlign w:val="center"/>
          </w:tcPr>
          <w:p>
            <w:pPr>
              <w:spacing w:line="240" w:lineRule="auto"/>
              <w:ind w:firstLine="0" w:firstLineChars="0"/>
              <w:jc w:val="center"/>
              <w:rPr>
                <w:rFonts w:hAnsi="宋体"/>
                <w:color w:val="auto"/>
                <w:sz w:val="20"/>
                <w:szCs w:val="20"/>
                <w:highlight w:val="none"/>
              </w:rPr>
            </w:pPr>
            <w:r>
              <w:rPr>
                <w:rFonts w:hAnsi="宋体"/>
                <w:color w:val="auto"/>
                <w:sz w:val="20"/>
                <w:szCs w:val="20"/>
                <w:highlight w:val="none"/>
              </w:rPr>
              <w:t>纯水、超纯水的制备</w:t>
            </w:r>
          </w:p>
        </w:tc>
        <w:tc>
          <w:tcPr>
            <w:tcW w:w="2353" w:type="pct"/>
            <w:vAlign w:val="center"/>
          </w:tcPr>
          <w:p>
            <w:pPr>
              <w:spacing w:line="240" w:lineRule="auto"/>
              <w:ind w:firstLine="0" w:firstLineChars="0"/>
              <w:jc w:val="center"/>
              <w:rPr>
                <w:rFonts w:hAnsi="宋体"/>
                <w:color w:val="auto"/>
                <w:sz w:val="20"/>
                <w:szCs w:val="20"/>
                <w:highlight w:val="none"/>
              </w:rPr>
            </w:pPr>
            <w:r>
              <w:rPr>
                <w:rFonts w:hAnsi="宋体"/>
                <w:color w:val="auto"/>
                <w:sz w:val="20"/>
                <w:szCs w:val="20"/>
                <w:highlight w:val="none"/>
              </w:rPr>
              <w:t>超纯水机、试验台、储水桶等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2" w:type="pct"/>
            <w:vAlign w:val="center"/>
          </w:tcPr>
          <w:p>
            <w:pPr>
              <w:spacing w:line="240" w:lineRule="auto"/>
              <w:ind w:firstLine="0" w:firstLineChars="0"/>
              <w:jc w:val="center"/>
              <w:rPr>
                <w:rFonts w:hAnsi="宋体"/>
                <w:color w:val="auto"/>
                <w:sz w:val="20"/>
                <w:szCs w:val="20"/>
                <w:highlight w:val="none"/>
              </w:rPr>
            </w:pPr>
            <w:r>
              <w:rPr>
                <w:rFonts w:hAnsi="宋体"/>
                <w:color w:val="auto"/>
                <w:sz w:val="20"/>
                <w:szCs w:val="20"/>
                <w:highlight w:val="none"/>
              </w:rPr>
              <w:t>7</w:t>
            </w:r>
          </w:p>
        </w:tc>
        <w:tc>
          <w:tcPr>
            <w:tcW w:w="879" w:type="pct"/>
            <w:vAlign w:val="center"/>
          </w:tcPr>
          <w:p>
            <w:pPr>
              <w:spacing w:line="240" w:lineRule="auto"/>
              <w:ind w:firstLine="0" w:firstLineChars="0"/>
              <w:jc w:val="center"/>
              <w:rPr>
                <w:rFonts w:hAnsi="宋体"/>
                <w:color w:val="auto"/>
                <w:sz w:val="20"/>
                <w:szCs w:val="20"/>
                <w:highlight w:val="none"/>
              </w:rPr>
            </w:pPr>
            <w:r>
              <w:rPr>
                <w:rFonts w:hAnsi="宋体"/>
                <w:color w:val="auto"/>
                <w:sz w:val="20"/>
                <w:szCs w:val="20"/>
                <w:highlight w:val="none"/>
              </w:rPr>
              <w:t>理化前处理室</w:t>
            </w:r>
          </w:p>
        </w:tc>
        <w:tc>
          <w:tcPr>
            <w:tcW w:w="1346" w:type="pct"/>
            <w:vAlign w:val="center"/>
          </w:tcPr>
          <w:p>
            <w:pPr>
              <w:spacing w:line="240" w:lineRule="auto"/>
              <w:ind w:firstLine="0" w:firstLineChars="0"/>
              <w:jc w:val="center"/>
              <w:rPr>
                <w:rFonts w:hAnsi="宋体"/>
                <w:color w:val="auto"/>
                <w:sz w:val="20"/>
                <w:szCs w:val="20"/>
                <w:highlight w:val="none"/>
              </w:rPr>
            </w:pPr>
            <w:r>
              <w:rPr>
                <w:rFonts w:hAnsi="宋体"/>
                <w:color w:val="auto"/>
                <w:sz w:val="20"/>
                <w:szCs w:val="20"/>
                <w:highlight w:val="none"/>
              </w:rPr>
              <w:t>17项理化指标的检测</w:t>
            </w:r>
          </w:p>
        </w:tc>
        <w:tc>
          <w:tcPr>
            <w:tcW w:w="2353" w:type="pct"/>
            <w:vAlign w:val="center"/>
          </w:tcPr>
          <w:p>
            <w:pPr>
              <w:spacing w:line="240" w:lineRule="auto"/>
              <w:ind w:firstLine="0" w:firstLineChars="0"/>
              <w:jc w:val="center"/>
              <w:rPr>
                <w:rFonts w:hAnsi="宋体"/>
                <w:color w:val="auto"/>
                <w:sz w:val="20"/>
                <w:szCs w:val="20"/>
                <w:highlight w:val="none"/>
              </w:rPr>
            </w:pPr>
            <w:r>
              <w:rPr>
                <w:rFonts w:hAnsi="宋体"/>
                <w:color w:val="auto"/>
                <w:sz w:val="20"/>
                <w:szCs w:val="20"/>
                <w:highlight w:val="none"/>
              </w:rPr>
              <w:t>紫外分光光度计、水浴锅、通风柜、试验台、空调等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2" w:hRule="atLeast"/>
        </w:trPr>
        <w:tc>
          <w:tcPr>
            <w:tcW w:w="422" w:type="pct"/>
            <w:vAlign w:val="center"/>
          </w:tcPr>
          <w:p>
            <w:pPr>
              <w:spacing w:line="240" w:lineRule="auto"/>
              <w:ind w:firstLine="0" w:firstLineChars="0"/>
              <w:jc w:val="center"/>
              <w:rPr>
                <w:rFonts w:hAnsi="宋体"/>
                <w:color w:val="auto"/>
                <w:sz w:val="20"/>
                <w:szCs w:val="20"/>
                <w:highlight w:val="none"/>
              </w:rPr>
            </w:pPr>
            <w:r>
              <w:rPr>
                <w:rFonts w:hAnsi="宋体"/>
                <w:color w:val="auto"/>
                <w:sz w:val="20"/>
                <w:szCs w:val="20"/>
                <w:highlight w:val="none"/>
              </w:rPr>
              <w:t>8</w:t>
            </w:r>
          </w:p>
        </w:tc>
        <w:tc>
          <w:tcPr>
            <w:tcW w:w="879" w:type="pct"/>
            <w:vAlign w:val="center"/>
          </w:tcPr>
          <w:p>
            <w:pPr>
              <w:spacing w:line="240" w:lineRule="auto"/>
              <w:ind w:firstLine="0" w:firstLineChars="0"/>
              <w:jc w:val="center"/>
              <w:rPr>
                <w:rFonts w:hAnsi="宋体"/>
                <w:color w:val="auto"/>
                <w:sz w:val="20"/>
                <w:szCs w:val="20"/>
                <w:highlight w:val="none"/>
              </w:rPr>
            </w:pPr>
            <w:r>
              <w:rPr>
                <w:rFonts w:hAnsi="宋体"/>
                <w:color w:val="auto"/>
                <w:sz w:val="20"/>
                <w:szCs w:val="20"/>
                <w:highlight w:val="none"/>
              </w:rPr>
              <w:t>大型仪器室</w:t>
            </w:r>
          </w:p>
        </w:tc>
        <w:tc>
          <w:tcPr>
            <w:tcW w:w="1346" w:type="pct"/>
            <w:vAlign w:val="center"/>
          </w:tcPr>
          <w:p>
            <w:pPr>
              <w:spacing w:line="240" w:lineRule="auto"/>
              <w:ind w:firstLine="0" w:firstLineChars="0"/>
              <w:jc w:val="center"/>
              <w:rPr>
                <w:rFonts w:hAnsi="宋体"/>
                <w:color w:val="auto"/>
                <w:sz w:val="20"/>
                <w:szCs w:val="20"/>
                <w:highlight w:val="none"/>
              </w:rPr>
            </w:pPr>
            <w:r>
              <w:rPr>
                <w:rFonts w:hAnsi="宋体"/>
                <w:color w:val="auto"/>
                <w:sz w:val="20"/>
                <w:szCs w:val="20"/>
                <w:highlight w:val="none"/>
              </w:rPr>
              <w:t>金属、阴离子、有机物等17项指标的检测</w:t>
            </w:r>
          </w:p>
        </w:tc>
        <w:tc>
          <w:tcPr>
            <w:tcW w:w="2353" w:type="pct"/>
            <w:vAlign w:val="center"/>
          </w:tcPr>
          <w:p>
            <w:pPr>
              <w:spacing w:line="240" w:lineRule="auto"/>
              <w:ind w:firstLine="0" w:firstLineChars="0"/>
              <w:jc w:val="center"/>
              <w:rPr>
                <w:rFonts w:hAnsi="宋体"/>
                <w:color w:val="auto"/>
                <w:sz w:val="20"/>
                <w:szCs w:val="20"/>
                <w:highlight w:val="none"/>
              </w:rPr>
            </w:pPr>
            <w:r>
              <w:rPr>
                <w:rFonts w:hAnsi="宋体"/>
                <w:color w:val="auto"/>
                <w:sz w:val="20"/>
                <w:szCs w:val="20"/>
                <w:highlight w:val="none"/>
              </w:rPr>
              <w:t>原子吸收、原子荧光、离子色谱、气相色谱、试验台、气瓶柜、器皿柜、空调等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1" w:hRule="atLeast"/>
        </w:trPr>
        <w:tc>
          <w:tcPr>
            <w:tcW w:w="422" w:type="pct"/>
            <w:vAlign w:val="center"/>
          </w:tcPr>
          <w:p>
            <w:pPr>
              <w:spacing w:line="240" w:lineRule="auto"/>
              <w:ind w:firstLine="0" w:firstLineChars="0"/>
              <w:jc w:val="center"/>
              <w:rPr>
                <w:rFonts w:hAnsi="宋体"/>
                <w:color w:val="auto"/>
                <w:sz w:val="20"/>
                <w:szCs w:val="20"/>
                <w:highlight w:val="none"/>
              </w:rPr>
            </w:pPr>
            <w:r>
              <w:rPr>
                <w:rFonts w:hAnsi="宋体"/>
                <w:color w:val="auto"/>
                <w:sz w:val="20"/>
                <w:szCs w:val="20"/>
                <w:highlight w:val="none"/>
              </w:rPr>
              <w:t>9</w:t>
            </w:r>
          </w:p>
        </w:tc>
        <w:tc>
          <w:tcPr>
            <w:tcW w:w="879" w:type="pct"/>
            <w:vAlign w:val="center"/>
          </w:tcPr>
          <w:p>
            <w:pPr>
              <w:spacing w:line="240" w:lineRule="auto"/>
              <w:ind w:firstLine="0" w:firstLineChars="0"/>
              <w:jc w:val="center"/>
              <w:rPr>
                <w:rFonts w:hAnsi="宋体"/>
                <w:color w:val="auto"/>
                <w:sz w:val="20"/>
                <w:szCs w:val="20"/>
                <w:highlight w:val="none"/>
              </w:rPr>
            </w:pPr>
            <w:r>
              <w:rPr>
                <w:rFonts w:hAnsi="宋体"/>
                <w:color w:val="auto"/>
                <w:sz w:val="20"/>
                <w:szCs w:val="20"/>
                <w:highlight w:val="none"/>
              </w:rPr>
              <w:t>办公室</w:t>
            </w:r>
          </w:p>
        </w:tc>
        <w:tc>
          <w:tcPr>
            <w:tcW w:w="1346" w:type="pct"/>
            <w:vAlign w:val="center"/>
          </w:tcPr>
          <w:p>
            <w:pPr>
              <w:spacing w:line="240" w:lineRule="auto"/>
              <w:ind w:firstLine="0" w:firstLineChars="0"/>
              <w:jc w:val="center"/>
              <w:rPr>
                <w:rFonts w:hAnsi="宋体"/>
                <w:color w:val="auto"/>
                <w:sz w:val="20"/>
                <w:szCs w:val="20"/>
                <w:highlight w:val="none"/>
              </w:rPr>
            </w:pPr>
            <w:r>
              <w:rPr>
                <w:rFonts w:hAnsi="宋体"/>
                <w:color w:val="auto"/>
                <w:sz w:val="20"/>
                <w:szCs w:val="20"/>
                <w:highlight w:val="none"/>
              </w:rPr>
              <w:t>化验室人员办公、文件的存放</w:t>
            </w:r>
          </w:p>
        </w:tc>
        <w:tc>
          <w:tcPr>
            <w:tcW w:w="2353" w:type="pct"/>
            <w:vAlign w:val="center"/>
          </w:tcPr>
          <w:p>
            <w:pPr>
              <w:spacing w:line="240" w:lineRule="auto"/>
              <w:ind w:firstLine="0" w:firstLineChars="0"/>
              <w:jc w:val="center"/>
              <w:rPr>
                <w:rFonts w:hAnsi="宋体"/>
                <w:color w:val="auto"/>
                <w:sz w:val="20"/>
                <w:szCs w:val="20"/>
                <w:highlight w:val="none"/>
              </w:rPr>
            </w:pPr>
            <w:r>
              <w:rPr>
                <w:rFonts w:hAnsi="宋体"/>
                <w:color w:val="auto"/>
                <w:sz w:val="20"/>
                <w:szCs w:val="20"/>
                <w:highlight w:val="none"/>
              </w:rPr>
              <w:t>办公桌椅、电脑、沙发、空调等</w:t>
            </w:r>
          </w:p>
        </w:tc>
      </w:tr>
    </w:tbl>
    <w:p>
      <w:pPr>
        <w:ind w:firstLine="480"/>
        <w:rPr>
          <w:color w:val="auto"/>
          <w:highlight w:val="none"/>
        </w:rPr>
      </w:pPr>
      <w:r>
        <w:rPr>
          <w:rFonts w:hint="eastAsia"/>
          <w:color w:val="auto"/>
          <w:highlight w:val="none"/>
        </w:rPr>
        <w:t>3、主要检测设备</w:t>
      </w:r>
    </w:p>
    <w:p>
      <w:pPr>
        <w:ind w:firstLine="480"/>
        <w:rPr>
          <w:color w:val="auto"/>
          <w:highlight w:val="none"/>
        </w:rPr>
      </w:pPr>
      <w:r>
        <w:rPr>
          <w:rFonts w:hint="eastAsia"/>
          <w:color w:val="auto"/>
          <w:highlight w:val="none"/>
        </w:rPr>
        <w:t>开展上述42项水质检测指标都可根据《生活饮用水标准检验方法》</w:t>
      </w:r>
      <w:r>
        <w:rPr>
          <w:color w:val="auto"/>
          <w:highlight w:val="none"/>
        </w:rPr>
        <w:t>（GB5750-2006）</w:t>
      </w:r>
      <w:r>
        <w:rPr>
          <w:rFonts w:hint="eastAsia"/>
          <w:color w:val="auto"/>
          <w:highlight w:val="none"/>
        </w:rPr>
        <w:t>的检测方法进行选择，在进行具体选择方法时应考虑建设目的、经费预算等情况，故执行以下几点原则：</w:t>
      </w:r>
    </w:p>
    <w:p>
      <w:pPr>
        <w:ind w:firstLine="480"/>
        <w:rPr>
          <w:color w:val="auto"/>
          <w:highlight w:val="none"/>
        </w:rPr>
      </w:pPr>
      <w:r>
        <w:rPr>
          <w:rFonts w:hint="eastAsia"/>
          <w:color w:val="auto"/>
          <w:highlight w:val="none"/>
        </w:rPr>
        <w:t>（</w:t>
      </w:r>
      <w:r>
        <w:rPr>
          <w:color w:val="auto"/>
          <w:highlight w:val="none"/>
        </w:rPr>
        <w:t>1</w:t>
      </w:r>
      <w:r>
        <w:rPr>
          <w:rFonts w:hint="eastAsia"/>
          <w:color w:val="auto"/>
          <w:highlight w:val="none"/>
        </w:rPr>
        <w:t>）检测方法技术成熟、容易掌握。</w:t>
      </w:r>
    </w:p>
    <w:p>
      <w:pPr>
        <w:ind w:firstLine="480"/>
        <w:rPr>
          <w:color w:val="auto"/>
          <w:highlight w:val="none"/>
        </w:rPr>
      </w:pPr>
      <w:r>
        <w:rPr>
          <w:rFonts w:hint="eastAsia"/>
          <w:color w:val="auto"/>
          <w:highlight w:val="none"/>
        </w:rPr>
        <w:t>（2）检测过程少用剧毒药剂，少产生剧毒物质。</w:t>
      </w:r>
    </w:p>
    <w:p>
      <w:pPr>
        <w:ind w:firstLine="480"/>
        <w:rPr>
          <w:color w:val="auto"/>
          <w:highlight w:val="none"/>
        </w:rPr>
      </w:pPr>
      <w:r>
        <w:rPr>
          <w:rFonts w:hint="eastAsia"/>
          <w:color w:val="auto"/>
          <w:highlight w:val="none"/>
        </w:rPr>
        <w:t>（</w:t>
      </w:r>
      <w:r>
        <w:rPr>
          <w:color w:val="auto"/>
          <w:highlight w:val="none"/>
        </w:rPr>
        <w:t>3</w:t>
      </w:r>
      <w:r>
        <w:rPr>
          <w:rFonts w:hint="eastAsia"/>
          <w:color w:val="auto"/>
          <w:highlight w:val="none"/>
        </w:rPr>
        <w:t>）仪器设备技术成熟、检测结果稳定。</w:t>
      </w:r>
    </w:p>
    <w:p>
      <w:pPr>
        <w:ind w:firstLine="480"/>
        <w:rPr>
          <w:color w:val="auto"/>
          <w:highlight w:val="none"/>
        </w:rPr>
      </w:pPr>
      <w:r>
        <w:rPr>
          <w:rFonts w:hint="eastAsia"/>
          <w:color w:val="auto"/>
          <w:highlight w:val="none"/>
        </w:rPr>
        <w:t>（</w:t>
      </w:r>
      <w:r>
        <w:rPr>
          <w:color w:val="auto"/>
          <w:highlight w:val="none"/>
        </w:rPr>
        <w:t>4</w:t>
      </w:r>
      <w:r>
        <w:rPr>
          <w:rFonts w:hint="eastAsia"/>
          <w:color w:val="auto"/>
          <w:highlight w:val="none"/>
        </w:rPr>
        <w:t>）设备尽可能通用，节约实验场地，便于操作人员一机多用。</w:t>
      </w:r>
    </w:p>
    <w:p>
      <w:pPr>
        <w:ind w:firstLine="480"/>
        <w:rPr>
          <w:color w:val="auto"/>
          <w:highlight w:val="none"/>
        </w:rPr>
      </w:pPr>
      <w:r>
        <w:rPr>
          <w:rFonts w:hint="eastAsia"/>
          <w:color w:val="auto"/>
          <w:highlight w:val="none"/>
        </w:rPr>
        <w:t>（</w:t>
      </w:r>
      <w:r>
        <w:rPr>
          <w:color w:val="auto"/>
          <w:highlight w:val="none"/>
        </w:rPr>
        <w:t>5</w:t>
      </w:r>
      <w:r>
        <w:rPr>
          <w:rFonts w:hint="eastAsia"/>
          <w:color w:val="auto"/>
          <w:highlight w:val="none"/>
        </w:rPr>
        <w:t>）所选设备应当价格便宜，优先选用国产成熟产品。</w:t>
      </w:r>
    </w:p>
    <w:p>
      <w:pPr>
        <w:ind w:firstLine="480"/>
        <w:rPr>
          <w:color w:val="auto"/>
          <w:highlight w:val="none"/>
        </w:rPr>
      </w:pPr>
      <w:r>
        <w:rPr>
          <w:rFonts w:hint="eastAsia"/>
          <w:color w:val="auto"/>
          <w:highlight w:val="none"/>
        </w:rPr>
        <w:t>根据上述原则，建设方案筛选的各项水质指标拟釆用的分析方法和仪器设备如下表所示。</w:t>
      </w:r>
    </w:p>
    <w:p>
      <w:pPr>
        <w:spacing w:line="240" w:lineRule="auto"/>
        <w:ind w:firstLine="0" w:firstLineChars="0"/>
        <w:jc w:val="left"/>
        <w:rPr>
          <w:b/>
          <w:color w:val="auto"/>
          <w:highlight w:val="none"/>
        </w:rPr>
      </w:pPr>
      <w:r>
        <w:rPr>
          <w:rFonts w:hint="eastAsia"/>
          <w:b/>
          <w:color w:val="auto"/>
          <w:highlight w:val="none"/>
        </w:rPr>
        <w:t>表5.5-3                    42项水质监测设备表</w:t>
      </w:r>
    </w:p>
    <w:tbl>
      <w:tblPr>
        <w:tblStyle w:val="33"/>
        <w:tblW w:w="8800" w:type="dxa"/>
        <w:tblInd w:w="93"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80"/>
        <w:gridCol w:w="2460"/>
        <w:gridCol w:w="1080"/>
        <w:gridCol w:w="1080"/>
        <w:gridCol w:w="31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blHeader/>
        </w:trPr>
        <w:tc>
          <w:tcPr>
            <w:tcW w:w="1080" w:type="dxa"/>
            <w:shd w:val="clear" w:color="auto" w:fill="auto"/>
            <w:vAlign w:val="center"/>
          </w:tcPr>
          <w:p>
            <w:pPr>
              <w:widowControl/>
              <w:spacing w:line="240" w:lineRule="auto"/>
              <w:ind w:firstLine="0" w:firstLineChars="0"/>
              <w:jc w:val="center"/>
              <w:rPr>
                <w:bCs/>
                <w:color w:val="auto"/>
                <w:kern w:val="0"/>
                <w:sz w:val="20"/>
                <w:szCs w:val="20"/>
                <w:highlight w:val="none"/>
              </w:rPr>
            </w:pPr>
            <w:r>
              <w:rPr>
                <w:rFonts w:hint="eastAsia" w:ascii="宋体" w:hAnsi="宋体"/>
                <w:bCs/>
                <w:color w:val="auto"/>
                <w:kern w:val="0"/>
                <w:sz w:val="20"/>
                <w:szCs w:val="20"/>
                <w:highlight w:val="none"/>
              </w:rPr>
              <w:t>序号</w:t>
            </w:r>
          </w:p>
        </w:tc>
        <w:tc>
          <w:tcPr>
            <w:tcW w:w="2460" w:type="dxa"/>
            <w:shd w:val="clear" w:color="auto" w:fill="auto"/>
            <w:vAlign w:val="center"/>
          </w:tcPr>
          <w:p>
            <w:pPr>
              <w:widowControl/>
              <w:spacing w:line="240" w:lineRule="auto"/>
              <w:ind w:firstLine="0" w:firstLineChars="0"/>
              <w:jc w:val="center"/>
              <w:rPr>
                <w:bCs/>
                <w:color w:val="auto"/>
                <w:kern w:val="0"/>
                <w:sz w:val="20"/>
                <w:szCs w:val="20"/>
                <w:highlight w:val="none"/>
              </w:rPr>
            </w:pPr>
            <w:r>
              <w:rPr>
                <w:rFonts w:hint="eastAsia" w:ascii="宋体" w:hAnsi="宋体"/>
                <w:bCs/>
                <w:color w:val="auto"/>
                <w:kern w:val="0"/>
                <w:sz w:val="20"/>
                <w:szCs w:val="20"/>
                <w:highlight w:val="none"/>
              </w:rPr>
              <w:t>名称</w:t>
            </w:r>
          </w:p>
        </w:tc>
        <w:tc>
          <w:tcPr>
            <w:tcW w:w="1080" w:type="dxa"/>
            <w:shd w:val="clear" w:color="auto" w:fill="auto"/>
            <w:vAlign w:val="center"/>
          </w:tcPr>
          <w:p>
            <w:pPr>
              <w:widowControl/>
              <w:spacing w:line="240" w:lineRule="auto"/>
              <w:ind w:firstLine="0" w:firstLineChars="0"/>
              <w:jc w:val="center"/>
              <w:rPr>
                <w:bCs/>
                <w:color w:val="auto"/>
                <w:kern w:val="0"/>
                <w:sz w:val="20"/>
                <w:szCs w:val="20"/>
                <w:highlight w:val="none"/>
              </w:rPr>
            </w:pPr>
            <w:r>
              <w:rPr>
                <w:rFonts w:hint="eastAsia" w:ascii="宋体" w:hAnsi="宋体"/>
                <w:bCs/>
                <w:color w:val="auto"/>
                <w:kern w:val="0"/>
                <w:sz w:val="20"/>
                <w:szCs w:val="20"/>
                <w:highlight w:val="none"/>
              </w:rPr>
              <w:t>单位</w:t>
            </w:r>
          </w:p>
        </w:tc>
        <w:tc>
          <w:tcPr>
            <w:tcW w:w="1080" w:type="dxa"/>
            <w:shd w:val="clear" w:color="auto" w:fill="auto"/>
            <w:vAlign w:val="center"/>
          </w:tcPr>
          <w:p>
            <w:pPr>
              <w:widowControl/>
              <w:spacing w:line="240" w:lineRule="auto"/>
              <w:ind w:firstLine="0" w:firstLineChars="0"/>
              <w:jc w:val="center"/>
              <w:rPr>
                <w:bCs/>
                <w:color w:val="auto"/>
                <w:kern w:val="0"/>
                <w:sz w:val="20"/>
                <w:szCs w:val="20"/>
                <w:highlight w:val="none"/>
              </w:rPr>
            </w:pPr>
            <w:r>
              <w:rPr>
                <w:rFonts w:hint="eastAsia" w:ascii="宋体" w:hAnsi="宋体"/>
                <w:bCs/>
                <w:color w:val="auto"/>
                <w:kern w:val="0"/>
                <w:sz w:val="20"/>
                <w:szCs w:val="20"/>
                <w:highlight w:val="none"/>
              </w:rPr>
              <w:t>数量</w:t>
            </w:r>
          </w:p>
        </w:tc>
        <w:tc>
          <w:tcPr>
            <w:tcW w:w="3100" w:type="dxa"/>
            <w:shd w:val="clear" w:color="auto" w:fill="auto"/>
            <w:vAlign w:val="center"/>
          </w:tcPr>
          <w:p>
            <w:pPr>
              <w:widowControl/>
              <w:spacing w:line="240" w:lineRule="auto"/>
              <w:ind w:firstLine="0" w:firstLineChars="0"/>
              <w:jc w:val="center"/>
              <w:rPr>
                <w:bCs/>
                <w:color w:val="auto"/>
                <w:kern w:val="0"/>
                <w:sz w:val="20"/>
                <w:szCs w:val="20"/>
                <w:highlight w:val="none"/>
              </w:rPr>
            </w:pPr>
            <w:r>
              <w:rPr>
                <w:rFonts w:hint="eastAsia" w:ascii="宋体" w:hAnsi="宋体"/>
                <w:bCs/>
                <w:color w:val="auto"/>
                <w:kern w:val="0"/>
                <w:sz w:val="20"/>
                <w:szCs w:val="20"/>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w:t>
            </w:r>
          </w:p>
        </w:tc>
        <w:tc>
          <w:tcPr>
            <w:tcW w:w="246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次氯酸钠测试仪</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台</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w:t>
            </w:r>
          </w:p>
        </w:tc>
        <w:tc>
          <w:tcPr>
            <w:tcW w:w="310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次氯酸钠测量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2</w:t>
            </w:r>
          </w:p>
        </w:tc>
        <w:tc>
          <w:tcPr>
            <w:tcW w:w="246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浊度仪</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台</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w:t>
            </w:r>
          </w:p>
        </w:tc>
        <w:tc>
          <w:tcPr>
            <w:tcW w:w="310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浊度测量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3</w:t>
            </w:r>
          </w:p>
        </w:tc>
        <w:tc>
          <w:tcPr>
            <w:tcW w:w="246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超净工作台</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台</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w:t>
            </w:r>
          </w:p>
        </w:tc>
        <w:tc>
          <w:tcPr>
            <w:tcW w:w="310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微生物检测基础条件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4</w:t>
            </w:r>
          </w:p>
        </w:tc>
        <w:tc>
          <w:tcPr>
            <w:tcW w:w="246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隔水式恒温培养箱</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台</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w:t>
            </w:r>
          </w:p>
        </w:tc>
        <w:tc>
          <w:tcPr>
            <w:tcW w:w="310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微生物检测基础条件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5</w:t>
            </w:r>
          </w:p>
        </w:tc>
        <w:tc>
          <w:tcPr>
            <w:tcW w:w="246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数显鼓风干燥箱</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台</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2</w:t>
            </w:r>
          </w:p>
        </w:tc>
        <w:tc>
          <w:tcPr>
            <w:tcW w:w="310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微生物检测基础条件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6</w:t>
            </w:r>
          </w:p>
        </w:tc>
        <w:tc>
          <w:tcPr>
            <w:tcW w:w="246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电热恒温培养箱</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台</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w:t>
            </w:r>
          </w:p>
        </w:tc>
        <w:tc>
          <w:tcPr>
            <w:tcW w:w="310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微生物检测基础条件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7</w:t>
            </w:r>
          </w:p>
        </w:tc>
        <w:tc>
          <w:tcPr>
            <w:tcW w:w="246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显微镜</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台</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w:t>
            </w:r>
          </w:p>
        </w:tc>
        <w:tc>
          <w:tcPr>
            <w:tcW w:w="310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微生物检测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8</w:t>
            </w:r>
          </w:p>
        </w:tc>
        <w:tc>
          <w:tcPr>
            <w:tcW w:w="246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紫外可见分光光度计</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台</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w:t>
            </w:r>
          </w:p>
        </w:tc>
        <w:tc>
          <w:tcPr>
            <w:tcW w:w="3100" w:type="dxa"/>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铝、铬（六价）、氰化物检测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9</w:t>
            </w:r>
          </w:p>
        </w:tc>
        <w:tc>
          <w:tcPr>
            <w:tcW w:w="246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电子天平（万分之一精度）</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台</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w:t>
            </w:r>
          </w:p>
        </w:tc>
        <w:tc>
          <w:tcPr>
            <w:tcW w:w="310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称量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10</w:t>
            </w:r>
          </w:p>
        </w:tc>
        <w:tc>
          <w:tcPr>
            <w:tcW w:w="246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托盘天平</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台</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w:t>
            </w:r>
          </w:p>
        </w:tc>
        <w:tc>
          <w:tcPr>
            <w:tcW w:w="310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称量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11</w:t>
            </w:r>
          </w:p>
        </w:tc>
        <w:tc>
          <w:tcPr>
            <w:tcW w:w="246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酸度计</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台</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w:t>
            </w:r>
          </w:p>
        </w:tc>
        <w:tc>
          <w:tcPr>
            <w:tcW w:w="310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pH</w:t>
            </w:r>
            <w:r>
              <w:rPr>
                <w:rFonts w:hint="eastAsia" w:ascii="宋体" w:hAnsi="宋体"/>
                <w:color w:val="auto"/>
                <w:kern w:val="0"/>
                <w:sz w:val="20"/>
                <w:szCs w:val="20"/>
                <w:highlight w:val="none"/>
              </w:rPr>
              <w:t>测量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12</w:t>
            </w:r>
          </w:p>
        </w:tc>
        <w:tc>
          <w:tcPr>
            <w:tcW w:w="246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气相色谱仪</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台</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w:t>
            </w:r>
          </w:p>
        </w:tc>
        <w:tc>
          <w:tcPr>
            <w:tcW w:w="3100" w:type="dxa"/>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三氯甲烷、四氯化碳测量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13</w:t>
            </w:r>
          </w:p>
        </w:tc>
        <w:tc>
          <w:tcPr>
            <w:tcW w:w="246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原子吸收分光光度计</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台</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w:t>
            </w:r>
          </w:p>
        </w:tc>
        <w:tc>
          <w:tcPr>
            <w:tcW w:w="3100" w:type="dxa"/>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铁、锰、铜、锌、镉、铅检测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14</w:t>
            </w:r>
          </w:p>
        </w:tc>
        <w:tc>
          <w:tcPr>
            <w:tcW w:w="246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原子荧光分光光度计</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台</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w:t>
            </w:r>
          </w:p>
        </w:tc>
        <w:tc>
          <w:tcPr>
            <w:tcW w:w="310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汞、砷、硒检测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trPr>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15</w:t>
            </w:r>
          </w:p>
        </w:tc>
        <w:tc>
          <w:tcPr>
            <w:tcW w:w="246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离子色谱仪</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台</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w:t>
            </w:r>
          </w:p>
        </w:tc>
        <w:tc>
          <w:tcPr>
            <w:tcW w:w="3100" w:type="dxa"/>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硝酸盐、溴酸盐、氯酸盐、亚氯酸盐、氯化物、硫酸盐检测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16</w:t>
            </w:r>
          </w:p>
        </w:tc>
        <w:tc>
          <w:tcPr>
            <w:tcW w:w="246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低本底放射性测定仪</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台</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w:t>
            </w:r>
          </w:p>
        </w:tc>
        <w:tc>
          <w:tcPr>
            <w:tcW w:w="310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放射性检测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17</w:t>
            </w:r>
          </w:p>
        </w:tc>
        <w:tc>
          <w:tcPr>
            <w:tcW w:w="246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纯水机</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台</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w:t>
            </w:r>
          </w:p>
        </w:tc>
        <w:tc>
          <w:tcPr>
            <w:tcW w:w="310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纯水制备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18</w:t>
            </w:r>
          </w:p>
        </w:tc>
        <w:tc>
          <w:tcPr>
            <w:tcW w:w="246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菌落计数器</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台</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w:t>
            </w:r>
          </w:p>
        </w:tc>
        <w:tc>
          <w:tcPr>
            <w:tcW w:w="310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微生物检测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19</w:t>
            </w:r>
          </w:p>
        </w:tc>
        <w:tc>
          <w:tcPr>
            <w:tcW w:w="246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水浴锅</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台</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2</w:t>
            </w:r>
          </w:p>
        </w:tc>
        <w:tc>
          <w:tcPr>
            <w:tcW w:w="3100" w:type="dxa"/>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耗氧量、溶解性总固体等检测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20</w:t>
            </w:r>
          </w:p>
        </w:tc>
        <w:tc>
          <w:tcPr>
            <w:tcW w:w="246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砂芯过滤器</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台</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2</w:t>
            </w:r>
          </w:p>
        </w:tc>
        <w:tc>
          <w:tcPr>
            <w:tcW w:w="310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过滤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21</w:t>
            </w:r>
          </w:p>
        </w:tc>
        <w:tc>
          <w:tcPr>
            <w:tcW w:w="246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高压蒸汽灭菌锅</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台</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2</w:t>
            </w:r>
          </w:p>
        </w:tc>
        <w:tc>
          <w:tcPr>
            <w:tcW w:w="310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微生物检测基础条件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22</w:t>
            </w:r>
          </w:p>
        </w:tc>
        <w:tc>
          <w:tcPr>
            <w:tcW w:w="246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电导率仪</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台</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w:t>
            </w:r>
          </w:p>
        </w:tc>
        <w:tc>
          <w:tcPr>
            <w:tcW w:w="310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电导率检测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23</w:t>
            </w:r>
          </w:p>
        </w:tc>
        <w:tc>
          <w:tcPr>
            <w:tcW w:w="246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循环水真空泵</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台</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w:t>
            </w:r>
          </w:p>
        </w:tc>
        <w:tc>
          <w:tcPr>
            <w:tcW w:w="310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实验室基础设备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24</w:t>
            </w:r>
          </w:p>
        </w:tc>
        <w:tc>
          <w:tcPr>
            <w:tcW w:w="246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冰箱</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台</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w:t>
            </w:r>
          </w:p>
        </w:tc>
        <w:tc>
          <w:tcPr>
            <w:tcW w:w="310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实验室基础设备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25</w:t>
            </w:r>
          </w:p>
        </w:tc>
        <w:tc>
          <w:tcPr>
            <w:tcW w:w="246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电热套</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台</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4</w:t>
            </w:r>
          </w:p>
        </w:tc>
        <w:tc>
          <w:tcPr>
            <w:tcW w:w="310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加热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26</w:t>
            </w:r>
          </w:p>
        </w:tc>
        <w:tc>
          <w:tcPr>
            <w:tcW w:w="246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电炉</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台</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2</w:t>
            </w:r>
          </w:p>
        </w:tc>
        <w:tc>
          <w:tcPr>
            <w:tcW w:w="310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加热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27</w:t>
            </w:r>
          </w:p>
        </w:tc>
        <w:tc>
          <w:tcPr>
            <w:tcW w:w="246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超声波清洗器</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台</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w:t>
            </w:r>
          </w:p>
        </w:tc>
        <w:tc>
          <w:tcPr>
            <w:tcW w:w="310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清洗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28</w:t>
            </w:r>
          </w:p>
        </w:tc>
        <w:tc>
          <w:tcPr>
            <w:tcW w:w="246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控温电热板</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台</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w:t>
            </w:r>
          </w:p>
        </w:tc>
        <w:tc>
          <w:tcPr>
            <w:tcW w:w="310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加热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29</w:t>
            </w:r>
          </w:p>
        </w:tc>
        <w:tc>
          <w:tcPr>
            <w:tcW w:w="246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马弗炉</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台</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w:t>
            </w:r>
          </w:p>
        </w:tc>
        <w:tc>
          <w:tcPr>
            <w:tcW w:w="310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放射性检测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30</w:t>
            </w:r>
          </w:p>
        </w:tc>
        <w:tc>
          <w:tcPr>
            <w:tcW w:w="246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玻璃器皿</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宗</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w:t>
            </w:r>
          </w:p>
        </w:tc>
        <w:tc>
          <w:tcPr>
            <w:tcW w:w="310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实验室基础配件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31</w:t>
            </w:r>
          </w:p>
        </w:tc>
        <w:tc>
          <w:tcPr>
            <w:tcW w:w="246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试验台及通风系统</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套</w:t>
            </w:r>
          </w:p>
        </w:tc>
        <w:tc>
          <w:tcPr>
            <w:tcW w:w="1080" w:type="dxa"/>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w:t>
            </w:r>
          </w:p>
        </w:tc>
        <w:tc>
          <w:tcPr>
            <w:tcW w:w="3100" w:type="dxa"/>
            <w:shd w:val="clear" w:color="auto" w:fill="auto"/>
            <w:vAlign w:val="center"/>
          </w:tcPr>
          <w:p>
            <w:pPr>
              <w:widowControl/>
              <w:spacing w:line="240" w:lineRule="auto"/>
              <w:ind w:firstLine="0" w:firstLineChars="0"/>
              <w:jc w:val="center"/>
              <w:rPr>
                <w:color w:val="auto"/>
                <w:kern w:val="0"/>
                <w:sz w:val="20"/>
                <w:szCs w:val="20"/>
                <w:highlight w:val="none"/>
              </w:rPr>
            </w:pPr>
            <w:r>
              <w:rPr>
                <w:rFonts w:hint="eastAsia" w:ascii="宋体" w:hAnsi="宋体"/>
                <w:color w:val="auto"/>
                <w:kern w:val="0"/>
                <w:sz w:val="20"/>
                <w:szCs w:val="20"/>
                <w:highlight w:val="none"/>
              </w:rPr>
              <w:t>实验室基础设备</w:t>
            </w:r>
          </w:p>
        </w:tc>
      </w:tr>
    </w:tbl>
    <w:p>
      <w:pPr>
        <w:ind w:firstLine="480"/>
        <w:rPr>
          <w:color w:val="auto"/>
          <w:highlight w:val="none"/>
        </w:rPr>
      </w:pPr>
      <w:r>
        <w:rPr>
          <w:rFonts w:hint="eastAsia"/>
          <w:color w:val="auto"/>
          <w:highlight w:val="none"/>
        </w:rPr>
        <w:t>4、人员配备要求</w:t>
      </w:r>
    </w:p>
    <w:p>
      <w:pPr>
        <w:kinsoku w:val="0"/>
        <w:overflowPunct w:val="0"/>
        <w:ind w:firstLine="480"/>
        <w:textAlignment w:val="baseline"/>
        <w:rPr>
          <w:color w:val="auto"/>
          <w:highlight w:val="none"/>
        </w:rPr>
      </w:pPr>
      <w:r>
        <w:rPr>
          <w:rFonts w:hint="eastAsia"/>
          <w:color w:val="auto"/>
          <w:highlight w:val="none"/>
        </w:rPr>
        <w:t>为确保检测中心建成后的正常运行，应为检测中心进行相应人员的配置及培训。检测人员应具有卫生检验或分析化学类等相关专业大专以上学历且经过培训取得资质证书，方能上岗。水质检测记录和异常情况报告等资料应归档保存。</w:t>
      </w:r>
    </w:p>
    <w:p>
      <w:pPr>
        <w:ind w:firstLine="480"/>
        <w:rPr>
          <w:color w:val="auto"/>
          <w:highlight w:val="none"/>
        </w:rPr>
      </w:pPr>
      <w:r>
        <w:rPr>
          <w:rFonts w:hint="eastAsia"/>
          <w:color w:val="auto"/>
          <w:highlight w:val="none"/>
        </w:rPr>
        <w:t>化验人员应定期进行技术能力培训，提高自身技术水平，同时应对检测方法、检测项目有充分理解，合理进行统筹安排。实验室主任要具备一定的管理经验，制定合理的实验室管理规章制度；要求化验人员具有相关化验和检测的知识，掌握各种仪器原理以及使用方法和分析方法，具备一定的数据分析和处理的能力，并检查和维护实验室设备，掌握精密仪器的维护方法，保证所有仪器和设备的正常运行</w:t>
      </w:r>
    </w:p>
    <w:p>
      <w:pPr>
        <w:kinsoku w:val="0"/>
        <w:overflowPunct w:val="0"/>
        <w:spacing w:line="240" w:lineRule="auto"/>
        <w:ind w:firstLine="0" w:firstLineChars="0"/>
        <w:jc w:val="left"/>
        <w:textAlignment w:val="baseline"/>
        <w:rPr>
          <w:b/>
          <w:color w:val="auto"/>
          <w:highlight w:val="none"/>
        </w:rPr>
      </w:pPr>
      <w:r>
        <w:rPr>
          <w:rFonts w:hint="eastAsia"/>
          <w:b/>
          <w:color w:val="auto"/>
          <w:highlight w:val="none"/>
        </w:rPr>
        <w:t>表5.5-4                       人员配置表</w:t>
      </w: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13"/>
        <w:gridCol w:w="1391"/>
        <w:gridCol w:w="57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1" w:hRule="atLeast"/>
          <w:jc w:val="center"/>
        </w:trPr>
        <w:tc>
          <w:tcPr>
            <w:tcW w:w="829" w:type="pct"/>
            <w:vAlign w:val="center"/>
          </w:tcPr>
          <w:p>
            <w:pPr>
              <w:widowControl/>
              <w:spacing w:line="240" w:lineRule="auto"/>
              <w:ind w:firstLine="0" w:firstLineChars="0"/>
              <w:jc w:val="center"/>
              <w:rPr>
                <w:bCs/>
                <w:color w:val="auto"/>
                <w:sz w:val="20"/>
                <w:szCs w:val="20"/>
                <w:highlight w:val="none"/>
              </w:rPr>
            </w:pPr>
            <w:r>
              <w:rPr>
                <w:bCs/>
                <w:color w:val="auto"/>
                <w:sz w:val="20"/>
                <w:szCs w:val="20"/>
                <w:highlight w:val="none"/>
              </w:rPr>
              <w:t>人员配制</w:t>
            </w:r>
          </w:p>
        </w:tc>
        <w:tc>
          <w:tcPr>
            <w:tcW w:w="816" w:type="pct"/>
            <w:vAlign w:val="center"/>
          </w:tcPr>
          <w:p>
            <w:pPr>
              <w:widowControl/>
              <w:spacing w:line="240" w:lineRule="auto"/>
              <w:ind w:firstLine="0" w:firstLineChars="0"/>
              <w:jc w:val="center"/>
              <w:rPr>
                <w:bCs/>
                <w:color w:val="auto"/>
                <w:sz w:val="20"/>
                <w:szCs w:val="20"/>
                <w:highlight w:val="none"/>
              </w:rPr>
            </w:pPr>
            <w:r>
              <w:rPr>
                <w:bCs/>
                <w:color w:val="auto"/>
                <w:sz w:val="20"/>
                <w:szCs w:val="20"/>
                <w:highlight w:val="none"/>
              </w:rPr>
              <w:t>人 数(人)</w:t>
            </w:r>
          </w:p>
        </w:tc>
        <w:tc>
          <w:tcPr>
            <w:tcW w:w="3355" w:type="pct"/>
            <w:vAlign w:val="center"/>
          </w:tcPr>
          <w:p>
            <w:pPr>
              <w:widowControl/>
              <w:spacing w:line="240" w:lineRule="auto"/>
              <w:ind w:firstLine="0" w:firstLineChars="0"/>
              <w:jc w:val="center"/>
              <w:rPr>
                <w:bCs/>
                <w:color w:val="auto"/>
                <w:sz w:val="20"/>
                <w:szCs w:val="20"/>
                <w:highlight w:val="none"/>
              </w:rPr>
            </w:pPr>
            <w:r>
              <w:rPr>
                <w:bCs/>
                <w:color w:val="auto"/>
                <w:sz w:val="20"/>
                <w:szCs w:val="20"/>
                <w:highlight w:val="none"/>
              </w:rPr>
              <w:t>工作职责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9" w:hRule="atLeast"/>
          <w:jc w:val="center"/>
        </w:trPr>
        <w:tc>
          <w:tcPr>
            <w:tcW w:w="829" w:type="pct"/>
            <w:vAlign w:val="center"/>
          </w:tcPr>
          <w:p>
            <w:pPr>
              <w:widowControl/>
              <w:spacing w:line="240" w:lineRule="auto"/>
              <w:ind w:firstLine="0" w:firstLineChars="0"/>
              <w:jc w:val="center"/>
              <w:rPr>
                <w:color w:val="auto"/>
                <w:sz w:val="20"/>
                <w:szCs w:val="20"/>
                <w:highlight w:val="none"/>
              </w:rPr>
            </w:pPr>
            <w:r>
              <w:rPr>
                <w:color w:val="auto"/>
                <w:sz w:val="20"/>
                <w:szCs w:val="20"/>
                <w:highlight w:val="none"/>
              </w:rPr>
              <w:t>实验室主任</w:t>
            </w:r>
          </w:p>
        </w:tc>
        <w:tc>
          <w:tcPr>
            <w:tcW w:w="816" w:type="pct"/>
            <w:vAlign w:val="center"/>
          </w:tcPr>
          <w:p>
            <w:pPr>
              <w:widowControl/>
              <w:spacing w:line="240" w:lineRule="auto"/>
              <w:ind w:firstLine="0" w:firstLineChars="0"/>
              <w:jc w:val="center"/>
              <w:rPr>
                <w:color w:val="auto"/>
                <w:sz w:val="20"/>
                <w:szCs w:val="20"/>
                <w:highlight w:val="none"/>
              </w:rPr>
            </w:pPr>
            <w:r>
              <w:rPr>
                <w:color w:val="auto"/>
                <w:sz w:val="20"/>
                <w:szCs w:val="20"/>
                <w:highlight w:val="none"/>
              </w:rPr>
              <w:t>1</w:t>
            </w:r>
          </w:p>
        </w:tc>
        <w:tc>
          <w:tcPr>
            <w:tcW w:w="3355" w:type="pct"/>
            <w:vAlign w:val="center"/>
          </w:tcPr>
          <w:p>
            <w:pPr>
              <w:widowControl/>
              <w:spacing w:line="240" w:lineRule="auto"/>
              <w:ind w:firstLine="0" w:firstLineChars="0"/>
              <w:jc w:val="center"/>
              <w:rPr>
                <w:color w:val="auto"/>
                <w:sz w:val="20"/>
                <w:szCs w:val="20"/>
                <w:highlight w:val="none"/>
              </w:rPr>
            </w:pPr>
            <w:r>
              <w:rPr>
                <w:color w:val="auto"/>
                <w:sz w:val="20"/>
                <w:szCs w:val="20"/>
                <w:highlight w:val="none"/>
              </w:rPr>
              <w:t>制定实验室管理规章制度和实验室人员的教育、培训和技能目标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79" w:hRule="atLeast"/>
          <w:jc w:val="center"/>
        </w:trPr>
        <w:tc>
          <w:tcPr>
            <w:tcW w:w="829" w:type="pct"/>
            <w:vAlign w:val="center"/>
          </w:tcPr>
          <w:p>
            <w:pPr>
              <w:widowControl/>
              <w:spacing w:line="240" w:lineRule="auto"/>
              <w:ind w:firstLine="0" w:firstLineChars="0"/>
              <w:jc w:val="center"/>
              <w:rPr>
                <w:color w:val="auto"/>
                <w:sz w:val="20"/>
                <w:szCs w:val="20"/>
                <w:highlight w:val="none"/>
              </w:rPr>
            </w:pPr>
            <w:r>
              <w:rPr>
                <w:color w:val="auto"/>
                <w:sz w:val="20"/>
                <w:szCs w:val="20"/>
                <w:highlight w:val="none"/>
              </w:rPr>
              <w:t>化验员</w:t>
            </w:r>
          </w:p>
        </w:tc>
        <w:tc>
          <w:tcPr>
            <w:tcW w:w="816" w:type="pct"/>
            <w:vAlign w:val="center"/>
          </w:tcPr>
          <w:p>
            <w:pPr>
              <w:widowControl/>
              <w:spacing w:line="240" w:lineRule="auto"/>
              <w:ind w:firstLine="0" w:firstLineChars="0"/>
              <w:jc w:val="center"/>
              <w:rPr>
                <w:color w:val="auto"/>
                <w:sz w:val="20"/>
                <w:szCs w:val="20"/>
                <w:highlight w:val="none"/>
              </w:rPr>
            </w:pPr>
            <w:r>
              <w:rPr>
                <w:color w:val="auto"/>
                <w:sz w:val="20"/>
                <w:szCs w:val="20"/>
                <w:highlight w:val="none"/>
              </w:rPr>
              <w:t>2</w:t>
            </w:r>
          </w:p>
        </w:tc>
        <w:tc>
          <w:tcPr>
            <w:tcW w:w="3355" w:type="pct"/>
            <w:vAlign w:val="center"/>
          </w:tcPr>
          <w:p>
            <w:pPr>
              <w:widowControl/>
              <w:spacing w:line="240" w:lineRule="auto"/>
              <w:ind w:firstLine="0" w:firstLineChars="0"/>
              <w:jc w:val="center"/>
              <w:rPr>
                <w:color w:val="auto"/>
                <w:sz w:val="20"/>
                <w:szCs w:val="20"/>
                <w:highlight w:val="none"/>
              </w:rPr>
            </w:pPr>
            <w:r>
              <w:rPr>
                <w:color w:val="auto"/>
                <w:sz w:val="20"/>
                <w:szCs w:val="20"/>
                <w:highlight w:val="none"/>
              </w:rPr>
              <w:t>进行实验操作，并掌握仪器的正确操作方法，记录和分析实验数据，并对设备进行维护和管理</w:t>
            </w:r>
          </w:p>
        </w:tc>
      </w:tr>
    </w:tbl>
    <w:p>
      <w:pPr>
        <w:pStyle w:val="5"/>
        <w:rPr>
          <w:color w:val="auto"/>
          <w:highlight w:val="none"/>
        </w:rPr>
      </w:pPr>
      <w:r>
        <w:rPr>
          <w:rFonts w:hint="eastAsia"/>
          <w:color w:val="auto"/>
          <w:highlight w:val="none"/>
        </w:rPr>
        <w:t>5.5.8.2信息化管理中心</w:t>
      </w:r>
    </w:p>
    <w:p>
      <w:pPr>
        <w:ind w:firstLine="480"/>
        <w:rPr>
          <w:color w:val="auto"/>
          <w:highlight w:val="none"/>
        </w:rPr>
      </w:pPr>
      <w:r>
        <w:rPr>
          <w:rFonts w:hint="eastAsia"/>
          <w:color w:val="auto"/>
          <w:highlight w:val="none"/>
        </w:rPr>
        <w:t>峄城区按照《山东省农村饮水安全信息化系统建设指南》的要求，根据峄城区实际情况，在全区内按照区、供水工程两级系统的结构进行建设峄城区饮水安全管理信息系统，各级饮水安全管理信息系统的部署应符合峄城区政务数据中心、水利数据中心的统一规划。各级农水业务主管部门和信息化主管部门负责本级饮水安全管理信息系统的实施、运行和维护。各级在进行饮水安全管理信息系统建设时，应按照《饮水安全管理信息系统建设技术要求》的规定，严格遵守《饮水安全管理信息系统数据库标准》的格式，以便实现枣庄市、峄城区饮水安全管理信息系统及工程信息化及自动化系统之间的互联互通和信息共享。</w:t>
      </w:r>
    </w:p>
    <w:p>
      <w:pPr>
        <w:ind w:firstLine="480"/>
        <w:rPr>
          <w:color w:val="auto"/>
          <w:highlight w:val="none"/>
        </w:rPr>
      </w:pPr>
      <w:r>
        <w:rPr>
          <w:rFonts w:hint="eastAsia"/>
          <w:color w:val="auto"/>
          <w:highlight w:val="none"/>
        </w:rPr>
        <w:t>根据《山东省农村饮水安全信息化系统建设指南》的要求，本次共建设1个区级饮水安全信息化及自动化系统，按照供水工程覆盖范围建设供水工程饮水安全信息化及自动化系统，实现区、供水工程两级系统之间信息资源的共享和可靠交换。</w:t>
      </w:r>
    </w:p>
    <w:p>
      <w:pPr>
        <w:pStyle w:val="5"/>
        <w:rPr>
          <w:color w:val="auto"/>
          <w:highlight w:val="none"/>
        </w:rPr>
      </w:pPr>
      <w:r>
        <w:rPr>
          <w:rFonts w:hint="eastAsia"/>
          <w:color w:val="auto"/>
          <w:highlight w:val="none"/>
        </w:rPr>
        <w:t>5.5.8.2.1</w:t>
      </w:r>
      <w:r>
        <w:rPr>
          <w:color w:val="auto"/>
          <w:highlight w:val="none"/>
        </w:rPr>
        <w:t>系统构成</w:t>
      </w:r>
    </w:p>
    <w:p>
      <w:pPr>
        <w:ind w:firstLine="480"/>
        <w:rPr>
          <w:color w:val="auto"/>
          <w:highlight w:val="none"/>
        </w:rPr>
      </w:pPr>
      <w:r>
        <w:rPr>
          <w:rFonts w:hint="eastAsia"/>
          <w:color w:val="auto"/>
          <w:highlight w:val="none"/>
        </w:rPr>
        <w:t>水厂与信息中心的数据、图像传输采用Internet网络，这样既保证了运行调度的可靠性，又保证了图像传输的实时性。各监测点与信息中心采用中国移动GPRS网络进行数据上传，保证了数据采集的实时性和可靠性，该工程信息化系统的构成见下图。</w:t>
      </w:r>
    </w:p>
    <w:p>
      <w:pPr>
        <w:ind w:firstLine="0" w:firstLineChars="0"/>
        <w:jc w:val="center"/>
        <w:rPr>
          <w:color w:val="auto"/>
          <w:highlight w:val="none"/>
        </w:rPr>
      </w:pPr>
      <w:r>
        <w:rPr>
          <w:color w:val="auto"/>
          <w:highlight w:val="none"/>
        </w:rPr>
        <w:drawing>
          <wp:inline distT="0" distB="0" distL="0" distR="0">
            <wp:extent cx="4039870" cy="37211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040191" cy="3720863"/>
                    </a:xfrm>
                    <a:prstGeom prst="rect">
                      <a:avLst/>
                    </a:prstGeom>
                    <a:noFill/>
                    <a:ln>
                      <a:noFill/>
                    </a:ln>
                  </pic:spPr>
                </pic:pic>
              </a:graphicData>
            </a:graphic>
          </wp:inline>
        </w:drawing>
      </w:r>
    </w:p>
    <w:p>
      <w:pPr>
        <w:ind w:firstLine="0" w:firstLineChars="0"/>
        <w:jc w:val="center"/>
        <w:rPr>
          <w:b/>
          <w:color w:val="auto"/>
          <w:highlight w:val="none"/>
        </w:rPr>
      </w:pPr>
      <w:r>
        <w:rPr>
          <w:rFonts w:hint="eastAsia"/>
          <w:b/>
          <w:color w:val="auto"/>
          <w:highlight w:val="none"/>
        </w:rPr>
        <w:t>图5.5-1  信息化管理系统构成图</w:t>
      </w:r>
    </w:p>
    <w:p>
      <w:pPr>
        <w:ind w:firstLine="480"/>
        <w:rPr>
          <w:color w:val="auto"/>
          <w:highlight w:val="none"/>
        </w:rPr>
      </w:pPr>
      <w:r>
        <w:rPr>
          <w:rFonts w:hint="eastAsia"/>
          <w:color w:val="auto"/>
          <w:highlight w:val="none"/>
        </w:rPr>
        <w:t>1、总体技术架构</w:t>
      </w:r>
    </w:p>
    <w:p>
      <w:pPr>
        <w:ind w:firstLine="480"/>
        <w:rPr>
          <w:color w:val="auto"/>
          <w:highlight w:val="none"/>
        </w:rPr>
      </w:pPr>
      <w:r>
        <w:rPr>
          <w:rFonts w:hint="eastAsia"/>
          <w:color w:val="auto"/>
          <w:highlight w:val="none"/>
        </w:rPr>
        <w:t>系统由信息采集传输系统、计算机网络系统、系统运行环境、数据库系统、安全保障系统、业务应用系统和监控中心等部分组成。业务应用系统基于ASP.NET平台开发，采用B/S结构，完全基于最新标准的技术实现，不仅可以满足目前的业务需求，同时对于系统的扩展提供了良好的基础。总体技术架构如下图所示。</w:t>
      </w:r>
    </w:p>
    <w:p>
      <w:pPr>
        <w:ind w:firstLine="0" w:firstLineChars="0"/>
        <w:rPr>
          <w:color w:val="auto"/>
          <w:highlight w:val="none"/>
        </w:rPr>
      </w:pPr>
      <w:r>
        <w:rPr>
          <w:color w:val="auto"/>
          <w:highlight w:val="none"/>
        </w:rPr>
        <w:drawing>
          <wp:inline distT="0" distB="0" distL="0" distR="0">
            <wp:extent cx="5270500" cy="30861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70500" cy="3086100"/>
                    </a:xfrm>
                    <a:prstGeom prst="rect">
                      <a:avLst/>
                    </a:prstGeom>
                    <a:noFill/>
                    <a:ln>
                      <a:noFill/>
                    </a:ln>
                  </pic:spPr>
                </pic:pic>
              </a:graphicData>
            </a:graphic>
          </wp:inline>
        </w:drawing>
      </w:r>
    </w:p>
    <w:p>
      <w:pPr>
        <w:ind w:firstLine="0" w:firstLineChars="0"/>
        <w:jc w:val="center"/>
        <w:rPr>
          <w:b/>
          <w:color w:val="auto"/>
          <w:highlight w:val="none"/>
        </w:rPr>
      </w:pPr>
      <w:r>
        <w:rPr>
          <w:rFonts w:hint="eastAsia"/>
          <w:b/>
          <w:color w:val="auto"/>
          <w:highlight w:val="none"/>
        </w:rPr>
        <w:t>图5.5-2 总体技术架构图</w:t>
      </w:r>
    </w:p>
    <w:p>
      <w:pPr>
        <w:ind w:firstLine="480"/>
        <w:rPr>
          <w:color w:val="auto"/>
          <w:highlight w:val="none"/>
        </w:rPr>
      </w:pPr>
      <w:r>
        <w:rPr>
          <w:rFonts w:hint="eastAsia"/>
          <w:color w:val="auto"/>
          <w:highlight w:val="none"/>
        </w:rPr>
        <w:t>2、系统主要功能</w:t>
      </w:r>
    </w:p>
    <w:p>
      <w:pPr>
        <w:ind w:firstLine="480"/>
        <w:rPr>
          <w:color w:val="auto"/>
          <w:highlight w:val="none"/>
        </w:rPr>
      </w:pPr>
      <w:r>
        <w:rPr>
          <w:rFonts w:hint="eastAsia"/>
          <w:color w:val="auto"/>
          <w:highlight w:val="none"/>
        </w:rPr>
        <w:t>供水工程</w:t>
      </w:r>
      <w:r>
        <w:rPr>
          <w:color w:val="auto"/>
          <w:highlight w:val="none"/>
        </w:rPr>
        <w:t>自动化调度系统本着</w:t>
      </w:r>
      <w:r>
        <w:rPr>
          <w:rFonts w:hint="eastAsia"/>
          <w:color w:val="auto"/>
          <w:highlight w:val="none"/>
        </w:rPr>
        <w:t>“</w:t>
      </w:r>
      <w:r>
        <w:rPr>
          <w:color w:val="auto"/>
          <w:highlight w:val="none"/>
        </w:rPr>
        <w:t>安全可靠、先进实用、实时开放</w:t>
      </w:r>
      <w:r>
        <w:rPr>
          <w:rFonts w:hint="eastAsia"/>
          <w:color w:val="auto"/>
          <w:highlight w:val="none"/>
        </w:rPr>
        <w:t>”</w:t>
      </w:r>
      <w:r>
        <w:rPr>
          <w:color w:val="auto"/>
          <w:highlight w:val="none"/>
        </w:rPr>
        <w:t>的设计思想，采用分层、分布、分散式结构，实现</w:t>
      </w:r>
      <w:r>
        <w:rPr>
          <w:rFonts w:hint="eastAsia"/>
          <w:color w:val="auto"/>
          <w:highlight w:val="none"/>
        </w:rPr>
        <w:t>水厂水泵、配电等设备的监视、</w:t>
      </w:r>
      <w:r>
        <w:rPr>
          <w:color w:val="auto"/>
          <w:highlight w:val="none"/>
        </w:rPr>
        <w:t>监控、对</w:t>
      </w:r>
      <w:r>
        <w:rPr>
          <w:rFonts w:hint="eastAsia"/>
          <w:color w:val="auto"/>
          <w:highlight w:val="none"/>
        </w:rPr>
        <w:t>进村</w:t>
      </w:r>
      <w:r>
        <w:rPr>
          <w:color w:val="auto"/>
          <w:highlight w:val="none"/>
        </w:rPr>
        <w:t>输水管路压力</w:t>
      </w:r>
      <w:r>
        <w:rPr>
          <w:rFonts w:hint="eastAsia"/>
          <w:color w:val="auto"/>
          <w:highlight w:val="none"/>
        </w:rPr>
        <w:t>、流量</w:t>
      </w:r>
      <w:r>
        <w:rPr>
          <w:color w:val="auto"/>
          <w:highlight w:val="none"/>
        </w:rPr>
        <w:t>的实时监测、对水池水位的实时监测，在保证整个系统安全可靠运行的前提下，降低运行管理费用，达到</w:t>
      </w:r>
      <w:r>
        <w:rPr>
          <w:rFonts w:hint="eastAsia"/>
          <w:color w:val="auto"/>
          <w:highlight w:val="none"/>
        </w:rPr>
        <w:t>“</w:t>
      </w:r>
      <w:r>
        <w:rPr>
          <w:color w:val="auto"/>
          <w:highlight w:val="none"/>
        </w:rPr>
        <w:t>无人或少人值守</w:t>
      </w:r>
      <w:r>
        <w:rPr>
          <w:rFonts w:hint="eastAsia"/>
          <w:color w:val="auto"/>
          <w:highlight w:val="none"/>
        </w:rPr>
        <w:t>”</w:t>
      </w:r>
      <w:r>
        <w:rPr>
          <w:color w:val="auto"/>
          <w:highlight w:val="none"/>
        </w:rPr>
        <w:t>的目标。</w:t>
      </w:r>
    </w:p>
    <w:p>
      <w:pPr>
        <w:ind w:firstLine="480"/>
        <w:rPr>
          <w:color w:val="auto"/>
          <w:highlight w:val="none"/>
        </w:rPr>
      </w:pPr>
      <w:r>
        <w:rPr>
          <w:color w:val="auto"/>
          <w:highlight w:val="none"/>
        </w:rPr>
        <w:t>工程采用分段分层集中控制方式，</w:t>
      </w:r>
      <w:r>
        <w:rPr>
          <w:rFonts w:hint="eastAsia"/>
          <w:color w:val="auto"/>
          <w:highlight w:val="none"/>
        </w:rPr>
        <w:t>主要实现以下设计功能：</w:t>
      </w:r>
    </w:p>
    <w:p>
      <w:pPr>
        <w:ind w:firstLine="480"/>
        <w:rPr>
          <w:color w:val="auto"/>
          <w:highlight w:val="none"/>
        </w:rPr>
      </w:pPr>
      <w:r>
        <w:rPr>
          <w:rFonts w:hint="eastAsia"/>
          <w:color w:val="auto"/>
          <w:highlight w:val="none"/>
        </w:rPr>
        <w:t>（1）建立水厂自控及调度系统，安装组态监控软件，实现对现场设备运行的实时监控和自动化运行控制，实现生产过程的自动化、智能化和信息化，与上级管理部门的信息化系统接口。水厂自控调度系统主要包含以下监控画面：供水系统整体工艺流程监控界面、管网测压测流点监控界面、水源地工艺流程监控分界面、水厂工艺流程监控分界面、配电系统监控分界面、实时及历史曲线、值班报表、运行数据对比分析、报警处理、登陆管理、收费管理等。</w:t>
      </w:r>
    </w:p>
    <w:p>
      <w:pPr>
        <w:ind w:firstLine="480"/>
        <w:rPr>
          <w:color w:val="auto"/>
          <w:highlight w:val="none"/>
        </w:rPr>
      </w:pPr>
      <w:r>
        <w:rPr>
          <w:rFonts w:hint="eastAsia"/>
          <w:color w:val="auto"/>
          <w:highlight w:val="none"/>
        </w:rPr>
        <w:t>（2）在水厂、水源地泵房建立视频安全监控系统（已有视频监控系统的水厂，摄像机尽量采用原有的，更换硬盘录像机以做到视频数据的上传），视频监控工作站可实现对所有监控点的图像浏览、录像存储、录像浏览、远程设置等功能。</w:t>
      </w:r>
    </w:p>
    <w:p>
      <w:pPr>
        <w:ind w:firstLine="480"/>
        <w:rPr>
          <w:color w:val="auto"/>
          <w:highlight w:val="none"/>
        </w:rPr>
      </w:pPr>
      <w:r>
        <w:rPr>
          <w:rFonts w:hint="eastAsia"/>
          <w:color w:val="auto"/>
          <w:highlight w:val="none"/>
        </w:rPr>
        <w:t>（3）建立GPRS数据传输网络，针对取水大用户监测点分布比较分散的特点，对比分析无线传输、公网传输和光纤传输的建设、运行费用，设计采用移动通讯公司的GPRS无线通讯网络进行数据传输。</w:t>
      </w:r>
    </w:p>
    <w:p>
      <w:pPr>
        <w:ind w:firstLine="480"/>
        <w:rPr>
          <w:color w:val="auto"/>
          <w:highlight w:val="none"/>
        </w:rPr>
      </w:pPr>
      <w:r>
        <w:rPr>
          <w:rFonts w:hint="eastAsia"/>
          <w:color w:val="auto"/>
          <w:highlight w:val="none"/>
        </w:rPr>
        <w:t>（4）建立水厂信息化系统，在通讯网络、自控系统建立的基础上，对水厂运行的数据进行综合分析，计算出每台设备的效率（吨水耗电）、运行工况、流量平衡分析、泵阀的运行管理分析，达到节能降耗、合理调度的目标。</w:t>
      </w:r>
    </w:p>
    <w:p>
      <w:pPr>
        <w:ind w:firstLine="480"/>
        <w:rPr>
          <w:color w:val="auto"/>
          <w:highlight w:val="none"/>
        </w:rPr>
      </w:pPr>
      <w:r>
        <w:rPr>
          <w:rFonts w:hint="eastAsia"/>
          <w:color w:val="auto"/>
          <w:highlight w:val="none"/>
        </w:rPr>
        <w:t>3、系统特色</w:t>
      </w:r>
    </w:p>
    <w:p>
      <w:pPr>
        <w:ind w:firstLine="480"/>
        <w:rPr>
          <w:color w:val="auto"/>
          <w:highlight w:val="none"/>
        </w:rPr>
      </w:pPr>
      <w:bookmarkStart w:id="40" w:name="_Toc233620092"/>
      <w:bookmarkStart w:id="41" w:name="_Toc286665275"/>
      <w:r>
        <w:rPr>
          <w:rFonts w:hint="eastAsia"/>
          <w:color w:val="auto"/>
          <w:highlight w:val="none"/>
        </w:rPr>
        <w:t>（1）通讯系统特色</w:t>
      </w:r>
      <w:bookmarkEnd w:id="40"/>
      <w:bookmarkEnd w:id="41"/>
    </w:p>
    <w:p>
      <w:pPr>
        <w:ind w:firstLine="480"/>
        <w:rPr>
          <w:color w:val="auto"/>
          <w:highlight w:val="none"/>
        </w:rPr>
      </w:pPr>
      <w:r>
        <w:rPr>
          <w:rFonts w:hint="eastAsia"/>
          <w:color w:val="auto"/>
          <w:highlight w:val="none"/>
        </w:rPr>
        <w:t>本系统水厂内PLC与中控系统的通讯采用工业总线，水厂与水厂之间数据传输、图像传输采用internet网络，水厂与测流点之间数据传输采用中国移动通讯公司的GPRS通讯网络，通讯系统设计</w:t>
      </w:r>
      <w:r>
        <w:rPr>
          <w:color w:val="auto"/>
          <w:highlight w:val="none"/>
        </w:rPr>
        <w:t>可以归纳为如下特</w:t>
      </w:r>
      <w:r>
        <w:rPr>
          <w:rFonts w:hint="eastAsia"/>
          <w:color w:val="auto"/>
          <w:highlight w:val="none"/>
        </w:rPr>
        <w:t>色</w:t>
      </w:r>
      <w:r>
        <w:rPr>
          <w:color w:val="auto"/>
          <w:highlight w:val="none"/>
        </w:rPr>
        <w:t>：</w:t>
      </w:r>
    </w:p>
    <w:p>
      <w:pPr>
        <w:ind w:firstLine="480"/>
        <w:rPr>
          <w:color w:val="auto"/>
          <w:highlight w:val="none"/>
        </w:rPr>
      </w:pPr>
      <w:r>
        <w:rPr>
          <w:color w:val="auto"/>
          <w:highlight w:val="none"/>
        </w:rPr>
        <w:fldChar w:fldCharType="begin"/>
      </w:r>
      <w:r>
        <w:rPr>
          <w:color w:val="auto"/>
          <w:highlight w:val="none"/>
        </w:rPr>
        <w:instrText xml:space="preserve"> = 1 \* GB3 </w:instrText>
      </w:r>
      <w:r>
        <w:rPr>
          <w:color w:val="auto"/>
          <w:highlight w:val="none"/>
        </w:rPr>
        <w:fldChar w:fldCharType="separate"/>
      </w:r>
      <w:r>
        <w:rPr>
          <w:rFonts w:hint="eastAsia"/>
          <w:color w:val="auto"/>
          <w:highlight w:val="none"/>
        </w:rPr>
        <w:t>①</w:t>
      </w:r>
      <w:r>
        <w:rPr>
          <w:color w:val="auto"/>
          <w:highlight w:val="none"/>
        </w:rPr>
        <w:fldChar w:fldCharType="end"/>
      </w:r>
      <w:r>
        <w:rPr>
          <w:rFonts w:hint="eastAsia"/>
          <w:color w:val="auto"/>
          <w:highlight w:val="none"/>
        </w:rPr>
        <w:t>配置灵活，采用大容量以太网与无线GPRS相结合，既保证了系统的实时性，有节省了用户的投资和运行费用。</w:t>
      </w:r>
    </w:p>
    <w:p>
      <w:pPr>
        <w:ind w:firstLine="480"/>
        <w:rPr>
          <w:color w:val="auto"/>
          <w:highlight w:val="none"/>
        </w:rPr>
      </w:pPr>
      <w:r>
        <w:rPr>
          <w:color w:val="auto"/>
          <w:highlight w:val="none"/>
        </w:rPr>
        <w:fldChar w:fldCharType="begin"/>
      </w:r>
      <w:r>
        <w:rPr>
          <w:color w:val="auto"/>
          <w:highlight w:val="none"/>
        </w:rPr>
        <w:instrText xml:space="preserve"> = 2 \* GB3 </w:instrText>
      </w:r>
      <w:r>
        <w:rPr>
          <w:color w:val="auto"/>
          <w:highlight w:val="none"/>
        </w:rPr>
        <w:fldChar w:fldCharType="separate"/>
      </w:r>
      <w:r>
        <w:rPr>
          <w:rFonts w:hint="eastAsia"/>
          <w:color w:val="auto"/>
          <w:highlight w:val="none"/>
        </w:rPr>
        <w:t>②</w:t>
      </w:r>
      <w:r>
        <w:rPr>
          <w:color w:val="auto"/>
          <w:highlight w:val="none"/>
        </w:rPr>
        <w:fldChar w:fldCharType="end"/>
      </w:r>
      <w:r>
        <w:rPr>
          <w:color w:val="auto"/>
          <w:highlight w:val="none"/>
        </w:rPr>
        <w:t>GPRS</w:t>
      </w:r>
      <w:r>
        <w:rPr>
          <w:rFonts w:hint="eastAsia"/>
          <w:color w:val="auto"/>
          <w:highlight w:val="none"/>
        </w:rPr>
        <w:t>资费便宜，计费合理。能更好地支持频繁或少量突发型数据业务。</w:t>
      </w:r>
    </w:p>
    <w:p>
      <w:pPr>
        <w:ind w:firstLine="480"/>
        <w:rPr>
          <w:color w:val="auto"/>
          <w:highlight w:val="none"/>
        </w:rPr>
      </w:pPr>
      <w:r>
        <w:rPr>
          <w:color w:val="auto"/>
          <w:highlight w:val="none"/>
        </w:rPr>
        <w:t>GPRS</w:t>
      </w:r>
      <w:r>
        <w:rPr>
          <w:rFonts w:hint="eastAsia"/>
          <w:color w:val="auto"/>
          <w:highlight w:val="none"/>
        </w:rPr>
        <w:t>网络接入速度快，提供了与现有数据网的无缝连接，通信质量稳定可靠，永不掉线。</w:t>
      </w:r>
    </w:p>
    <w:p>
      <w:pPr>
        <w:ind w:firstLine="480"/>
        <w:rPr>
          <w:color w:val="auto"/>
          <w:highlight w:val="none"/>
        </w:rPr>
      </w:pPr>
      <w:r>
        <w:rPr>
          <w:color w:val="auto"/>
          <w:highlight w:val="none"/>
        </w:rPr>
        <w:fldChar w:fldCharType="begin"/>
      </w:r>
      <w:r>
        <w:rPr>
          <w:color w:val="auto"/>
          <w:highlight w:val="none"/>
        </w:rPr>
        <w:instrText xml:space="preserve"> = 3 \* GB3 </w:instrText>
      </w:r>
      <w:r>
        <w:rPr>
          <w:color w:val="auto"/>
          <w:highlight w:val="none"/>
        </w:rPr>
        <w:fldChar w:fldCharType="separate"/>
      </w:r>
      <w:r>
        <w:rPr>
          <w:rFonts w:hint="eastAsia"/>
          <w:color w:val="auto"/>
          <w:highlight w:val="none"/>
        </w:rPr>
        <w:t>③</w:t>
      </w:r>
      <w:r>
        <w:rPr>
          <w:color w:val="auto"/>
          <w:highlight w:val="none"/>
        </w:rPr>
        <w:fldChar w:fldCharType="end"/>
      </w:r>
      <w:r>
        <w:rPr>
          <w:rFonts w:hint="eastAsia"/>
          <w:color w:val="auto"/>
          <w:highlight w:val="none"/>
        </w:rPr>
        <w:t>采用internet网络进行数据的传输，保证了数据传输的实时性和稳定性。</w:t>
      </w:r>
    </w:p>
    <w:p>
      <w:pPr>
        <w:ind w:firstLine="480"/>
        <w:rPr>
          <w:color w:val="auto"/>
          <w:highlight w:val="none"/>
        </w:rPr>
      </w:pPr>
      <w:r>
        <w:rPr>
          <w:color w:val="auto"/>
          <w:highlight w:val="none"/>
        </w:rPr>
        <w:fldChar w:fldCharType="begin"/>
      </w:r>
      <w:r>
        <w:rPr>
          <w:color w:val="auto"/>
          <w:highlight w:val="none"/>
        </w:rPr>
        <w:instrText xml:space="preserve"> = 4 \* GB3 </w:instrText>
      </w:r>
      <w:r>
        <w:rPr>
          <w:color w:val="auto"/>
          <w:highlight w:val="none"/>
        </w:rPr>
        <w:fldChar w:fldCharType="separate"/>
      </w:r>
      <w:r>
        <w:rPr>
          <w:rFonts w:hint="eastAsia"/>
          <w:color w:val="auto"/>
          <w:highlight w:val="none"/>
        </w:rPr>
        <w:t>④</w:t>
      </w:r>
      <w:r>
        <w:rPr>
          <w:color w:val="auto"/>
          <w:highlight w:val="none"/>
        </w:rPr>
        <w:fldChar w:fldCharType="end"/>
      </w:r>
      <w:r>
        <w:rPr>
          <w:rFonts w:hint="eastAsia"/>
          <w:color w:val="auto"/>
          <w:highlight w:val="none"/>
        </w:rPr>
        <w:t>覆盖好。与很多无线数据网络（集群，双向传呼，</w:t>
      </w:r>
      <w:r>
        <w:rPr>
          <w:color w:val="auto"/>
          <w:highlight w:val="none"/>
        </w:rPr>
        <w:t>CDPD</w:t>
      </w:r>
      <w:r>
        <w:rPr>
          <w:rFonts w:hint="eastAsia"/>
          <w:color w:val="auto"/>
          <w:highlight w:val="none"/>
        </w:rPr>
        <w:t>，</w:t>
      </w:r>
      <w:r>
        <w:rPr>
          <w:color w:val="auto"/>
          <w:highlight w:val="none"/>
        </w:rPr>
        <w:t>CDMA</w:t>
      </w:r>
      <w:r>
        <w:rPr>
          <w:rFonts w:hint="eastAsia"/>
          <w:color w:val="auto"/>
          <w:highlight w:val="none"/>
        </w:rPr>
        <w:t>）比较，其网络覆盖是最好的。</w:t>
      </w:r>
    </w:p>
    <w:p>
      <w:pPr>
        <w:ind w:firstLine="480"/>
        <w:rPr>
          <w:color w:val="auto"/>
          <w:highlight w:val="none"/>
        </w:rPr>
      </w:pPr>
      <w:r>
        <w:rPr>
          <w:color w:val="auto"/>
          <w:highlight w:val="none"/>
        </w:rPr>
        <w:fldChar w:fldCharType="begin"/>
      </w:r>
      <w:r>
        <w:rPr>
          <w:color w:val="auto"/>
          <w:highlight w:val="none"/>
        </w:rPr>
        <w:instrText xml:space="preserve"> = 5 \* GB3 </w:instrText>
      </w:r>
      <w:r>
        <w:rPr>
          <w:color w:val="auto"/>
          <w:highlight w:val="none"/>
        </w:rPr>
        <w:fldChar w:fldCharType="separate"/>
      </w:r>
      <w:r>
        <w:rPr>
          <w:rFonts w:hint="eastAsia"/>
          <w:color w:val="auto"/>
          <w:highlight w:val="none"/>
        </w:rPr>
        <w:t>⑤</w:t>
      </w:r>
      <w:r>
        <w:rPr>
          <w:color w:val="auto"/>
          <w:highlight w:val="none"/>
        </w:rPr>
        <w:fldChar w:fldCharType="end"/>
      </w:r>
      <w:r>
        <w:rPr>
          <w:rFonts w:hint="eastAsia"/>
          <w:color w:val="auto"/>
          <w:highlight w:val="none"/>
        </w:rPr>
        <w:t>GPRS基本不需维护。建设新的用户点无需进行拉线、埋线等工作。</w:t>
      </w:r>
    </w:p>
    <w:p>
      <w:pPr>
        <w:ind w:firstLine="480"/>
        <w:rPr>
          <w:color w:val="auto"/>
          <w:highlight w:val="none"/>
        </w:rPr>
      </w:pPr>
      <w:bookmarkStart w:id="42" w:name="_Toc233620093"/>
      <w:bookmarkStart w:id="43" w:name="_Toc286665276"/>
      <w:r>
        <w:rPr>
          <w:rFonts w:hint="eastAsia"/>
          <w:color w:val="auto"/>
          <w:highlight w:val="none"/>
        </w:rPr>
        <w:t>（2）自控系统特色</w:t>
      </w:r>
      <w:bookmarkEnd w:id="42"/>
      <w:bookmarkEnd w:id="43"/>
    </w:p>
    <w:p>
      <w:pPr>
        <w:ind w:firstLine="480"/>
        <w:rPr>
          <w:color w:val="auto"/>
          <w:highlight w:val="none"/>
        </w:rPr>
      </w:pPr>
      <w:r>
        <w:rPr>
          <w:color w:val="auto"/>
          <w:highlight w:val="none"/>
        </w:rPr>
        <w:fldChar w:fldCharType="begin"/>
      </w:r>
      <w:r>
        <w:rPr>
          <w:color w:val="auto"/>
          <w:highlight w:val="none"/>
        </w:rPr>
        <w:instrText xml:space="preserve"> = 1 \* GB3 </w:instrText>
      </w:r>
      <w:r>
        <w:rPr>
          <w:color w:val="auto"/>
          <w:highlight w:val="none"/>
        </w:rPr>
        <w:fldChar w:fldCharType="separate"/>
      </w:r>
      <w:r>
        <w:rPr>
          <w:rFonts w:hint="eastAsia"/>
          <w:color w:val="auto"/>
          <w:highlight w:val="none"/>
        </w:rPr>
        <w:t>①</w:t>
      </w:r>
      <w:r>
        <w:rPr>
          <w:color w:val="auto"/>
          <w:highlight w:val="none"/>
        </w:rPr>
        <w:fldChar w:fldCharType="end"/>
      </w:r>
      <w:r>
        <w:rPr>
          <w:rFonts w:hint="eastAsia"/>
          <w:color w:val="auto"/>
          <w:highlight w:val="none"/>
        </w:rPr>
        <w:t>KINGVIEW 组态软件是通过产品鉴定的规范产品，经得起理论与实践的考验。</w:t>
      </w:r>
    </w:p>
    <w:p>
      <w:pPr>
        <w:ind w:firstLine="480"/>
        <w:rPr>
          <w:color w:val="auto"/>
          <w:highlight w:val="none"/>
        </w:rPr>
      </w:pPr>
      <w:r>
        <w:rPr>
          <w:color w:val="auto"/>
          <w:highlight w:val="none"/>
        </w:rPr>
        <w:fldChar w:fldCharType="begin"/>
      </w:r>
      <w:r>
        <w:rPr>
          <w:color w:val="auto"/>
          <w:highlight w:val="none"/>
        </w:rPr>
        <w:instrText xml:space="preserve"> = 2 \* GB3 </w:instrText>
      </w:r>
      <w:r>
        <w:rPr>
          <w:color w:val="auto"/>
          <w:highlight w:val="none"/>
        </w:rPr>
        <w:fldChar w:fldCharType="separate"/>
      </w:r>
      <w:r>
        <w:rPr>
          <w:rFonts w:hint="eastAsia"/>
          <w:color w:val="auto"/>
          <w:highlight w:val="none"/>
        </w:rPr>
        <w:t>②</w:t>
      </w:r>
      <w:r>
        <w:rPr>
          <w:color w:val="auto"/>
          <w:highlight w:val="none"/>
        </w:rPr>
        <w:fldChar w:fldCharType="end"/>
      </w:r>
      <w:r>
        <w:rPr>
          <w:rFonts w:hint="eastAsia"/>
          <w:color w:val="auto"/>
          <w:highlight w:val="none"/>
        </w:rPr>
        <w:t>良好的可扩展性，方案既迎合当前需要，又为未来扩展做了充分准备。</w:t>
      </w:r>
    </w:p>
    <w:p>
      <w:pPr>
        <w:ind w:firstLine="480"/>
        <w:rPr>
          <w:color w:val="auto"/>
          <w:highlight w:val="none"/>
        </w:rPr>
      </w:pPr>
      <w:r>
        <w:rPr>
          <w:color w:val="auto"/>
          <w:highlight w:val="none"/>
        </w:rPr>
        <w:fldChar w:fldCharType="begin"/>
      </w:r>
      <w:r>
        <w:rPr>
          <w:color w:val="auto"/>
          <w:highlight w:val="none"/>
        </w:rPr>
        <w:instrText xml:space="preserve"> = 3 \* GB3 </w:instrText>
      </w:r>
      <w:r>
        <w:rPr>
          <w:color w:val="auto"/>
          <w:highlight w:val="none"/>
        </w:rPr>
        <w:fldChar w:fldCharType="separate"/>
      </w:r>
      <w:r>
        <w:rPr>
          <w:rFonts w:hint="eastAsia"/>
          <w:color w:val="auto"/>
          <w:highlight w:val="none"/>
        </w:rPr>
        <w:t>③</w:t>
      </w:r>
      <w:r>
        <w:rPr>
          <w:color w:val="auto"/>
          <w:highlight w:val="none"/>
        </w:rPr>
        <w:fldChar w:fldCharType="end"/>
      </w:r>
      <w:r>
        <w:rPr>
          <w:rFonts w:hint="eastAsia"/>
          <w:color w:val="auto"/>
          <w:highlight w:val="none"/>
        </w:rPr>
        <w:t>系统具有</w:t>
      </w:r>
      <w:r>
        <w:rPr>
          <w:color w:val="auto"/>
          <w:highlight w:val="none"/>
        </w:rPr>
        <w:t>Web</w:t>
      </w:r>
      <w:r>
        <w:rPr>
          <w:rFonts w:hint="eastAsia"/>
          <w:color w:val="auto"/>
          <w:highlight w:val="none"/>
        </w:rPr>
        <w:t>服务功能，为将来的局域网甚至是全省网络奠定了坚实的技术基础。</w:t>
      </w:r>
    </w:p>
    <w:p>
      <w:pPr>
        <w:ind w:firstLine="480"/>
        <w:rPr>
          <w:color w:val="auto"/>
          <w:highlight w:val="none"/>
        </w:rPr>
      </w:pPr>
      <w:r>
        <w:rPr>
          <w:color w:val="auto"/>
          <w:highlight w:val="none"/>
        </w:rPr>
        <w:fldChar w:fldCharType="begin"/>
      </w:r>
      <w:r>
        <w:rPr>
          <w:color w:val="auto"/>
          <w:highlight w:val="none"/>
        </w:rPr>
        <w:instrText xml:space="preserve"> = 4 \* GB3 </w:instrText>
      </w:r>
      <w:r>
        <w:rPr>
          <w:color w:val="auto"/>
          <w:highlight w:val="none"/>
        </w:rPr>
        <w:fldChar w:fldCharType="separate"/>
      </w:r>
      <w:r>
        <w:rPr>
          <w:rFonts w:hint="eastAsia"/>
          <w:color w:val="auto"/>
          <w:highlight w:val="none"/>
        </w:rPr>
        <w:t>④</w:t>
      </w:r>
      <w:r>
        <w:rPr>
          <w:color w:val="auto"/>
          <w:highlight w:val="none"/>
        </w:rPr>
        <w:fldChar w:fldCharType="end"/>
      </w:r>
      <w:r>
        <w:rPr>
          <w:rFonts w:hint="eastAsia"/>
          <w:color w:val="auto"/>
          <w:highlight w:val="none"/>
        </w:rPr>
        <w:t>系统可以进行定时遥控、定时遥调，极大程度地降低人工操作的频率，系统按设定的逻辑自动运行，完全不用人工干预。</w:t>
      </w:r>
    </w:p>
    <w:p>
      <w:pPr>
        <w:pStyle w:val="5"/>
        <w:rPr>
          <w:color w:val="auto"/>
          <w:highlight w:val="none"/>
        </w:rPr>
      </w:pPr>
      <w:r>
        <w:rPr>
          <w:rFonts w:hint="eastAsia"/>
          <w:color w:val="auto"/>
          <w:highlight w:val="none"/>
        </w:rPr>
        <w:t>5.5.8.2.2信息化管理中心设计</w:t>
      </w:r>
    </w:p>
    <w:p>
      <w:pPr>
        <w:ind w:firstLine="480"/>
        <w:rPr>
          <w:color w:val="auto"/>
          <w:highlight w:val="none"/>
        </w:rPr>
      </w:pPr>
      <w:r>
        <w:rPr>
          <w:rFonts w:hint="eastAsia"/>
          <w:color w:val="auto"/>
          <w:highlight w:val="none"/>
        </w:rPr>
        <w:t>信息中心设立在峄城区供水管理中心，主要目的是支撑供水安全信息化系统的运行，另外承担视频数据的大屏幕显示以及提供基于web的系统访问功能。主要建设内容包括：硬件平台建设、软件平台建设和机房装修建设，信息安全与系统可靠性建设。</w:t>
      </w:r>
    </w:p>
    <w:p>
      <w:pPr>
        <w:ind w:firstLine="480"/>
        <w:rPr>
          <w:color w:val="auto"/>
          <w:highlight w:val="none"/>
        </w:rPr>
      </w:pPr>
      <w:r>
        <w:rPr>
          <w:rFonts w:hint="eastAsia"/>
          <w:color w:val="auto"/>
          <w:highlight w:val="none"/>
        </w:rPr>
        <w:t>1、硬件平台设计</w:t>
      </w:r>
    </w:p>
    <w:p>
      <w:pPr>
        <w:ind w:firstLine="480"/>
        <w:rPr>
          <w:color w:val="auto"/>
          <w:highlight w:val="none"/>
        </w:rPr>
      </w:pPr>
      <w:r>
        <w:rPr>
          <w:rFonts w:hint="eastAsia"/>
          <w:color w:val="auto"/>
          <w:highlight w:val="none"/>
        </w:rPr>
        <w:t>信息中心涉及的硬件平台主要有：内部局域网络，Internet网络接入，APN专网，服务器，管理计算机，UPS电源，打印机等，其中管理计算机、UPS电源、打印机涉及的技术相对单一，我们提供了满足招标要求的产品，在此不再展开论述。大屏幕显示系统涉及的硬件单独论述。信息中心涉及的主要硬件组网结构图见下图。</w:t>
      </w:r>
    </w:p>
    <w:p>
      <w:pPr>
        <w:ind w:firstLine="0" w:firstLineChars="0"/>
        <w:rPr>
          <w:color w:val="auto"/>
          <w:highlight w:val="none"/>
        </w:rPr>
      </w:pPr>
      <w:r>
        <w:rPr>
          <w:color w:val="auto"/>
          <w:highlight w:val="none"/>
        </w:rPr>
        <w:drawing>
          <wp:inline distT="0" distB="0" distL="0" distR="0">
            <wp:extent cx="5260975" cy="2770505"/>
            <wp:effectExtent l="0" t="0" r="0" b="0"/>
            <wp:docPr id="14" name="图片 14" descr="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6(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260975" cy="2770505"/>
                    </a:xfrm>
                    <a:prstGeom prst="rect">
                      <a:avLst/>
                    </a:prstGeom>
                    <a:noFill/>
                    <a:ln>
                      <a:noFill/>
                    </a:ln>
                  </pic:spPr>
                </pic:pic>
              </a:graphicData>
            </a:graphic>
          </wp:inline>
        </w:drawing>
      </w:r>
    </w:p>
    <w:p>
      <w:pPr>
        <w:ind w:firstLine="0" w:firstLineChars="0"/>
        <w:jc w:val="center"/>
        <w:rPr>
          <w:color w:val="auto"/>
          <w:highlight w:val="none"/>
        </w:rPr>
      </w:pPr>
      <w:r>
        <w:rPr>
          <w:rFonts w:hint="eastAsia"/>
          <w:b/>
          <w:color w:val="auto"/>
          <w:highlight w:val="none"/>
        </w:rPr>
        <w:t>图5.7-3  信息中心主要硬件组网结构图</w:t>
      </w:r>
    </w:p>
    <w:p>
      <w:pPr>
        <w:ind w:firstLine="480"/>
        <w:rPr>
          <w:color w:val="auto"/>
          <w:highlight w:val="none"/>
        </w:rPr>
      </w:pPr>
      <w:r>
        <w:rPr>
          <w:rFonts w:hint="eastAsia"/>
          <w:color w:val="auto"/>
          <w:highlight w:val="none"/>
        </w:rPr>
        <w:t>（1）内部局域网络</w:t>
      </w:r>
    </w:p>
    <w:p>
      <w:pPr>
        <w:ind w:firstLine="480"/>
        <w:rPr>
          <w:color w:val="auto"/>
          <w:highlight w:val="none"/>
        </w:rPr>
      </w:pPr>
      <w:r>
        <w:rPr>
          <w:rFonts w:hint="eastAsia"/>
          <w:color w:val="auto"/>
          <w:highlight w:val="none"/>
        </w:rPr>
        <w:t>内部局域网络采用千兆交换机，内部局域网络提供了1000M的网络带宽，可以满足信息中心各类数据传输的速度要求。</w:t>
      </w:r>
    </w:p>
    <w:p>
      <w:pPr>
        <w:ind w:firstLine="480"/>
        <w:rPr>
          <w:color w:val="auto"/>
          <w:highlight w:val="none"/>
        </w:rPr>
      </w:pPr>
      <w:r>
        <w:rPr>
          <w:rFonts w:hint="eastAsia"/>
          <w:color w:val="auto"/>
          <w:highlight w:val="none"/>
        </w:rPr>
        <w:t>（2）Internet网络接入</w:t>
      </w:r>
    </w:p>
    <w:p>
      <w:pPr>
        <w:ind w:firstLine="480"/>
        <w:rPr>
          <w:color w:val="auto"/>
          <w:highlight w:val="none"/>
        </w:rPr>
      </w:pPr>
      <w:r>
        <w:rPr>
          <w:rFonts w:hint="eastAsia"/>
          <w:color w:val="auto"/>
          <w:highlight w:val="none"/>
        </w:rPr>
        <w:t>Internet网络接入采用宽带接入方式，要求带宽100M，具有固定公网IP地址。</w:t>
      </w:r>
    </w:p>
    <w:p>
      <w:pPr>
        <w:ind w:firstLine="480"/>
        <w:rPr>
          <w:color w:val="auto"/>
          <w:highlight w:val="none"/>
        </w:rPr>
      </w:pPr>
      <w:r>
        <w:rPr>
          <w:rFonts w:hint="eastAsia"/>
          <w:color w:val="auto"/>
          <w:highlight w:val="none"/>
        </w:rPr>
        <w:t>Internet网络接入防火墙、防毒墙，能够有效的保证网络的安全。</w:t>
      </w:r>
    </w:p>
    <w:p>
      <w:pPr>
        <w:ind w:firstLine="480"/>
        <w:rPr>
          <w:color w:val="auto"/>
          <w:highlight w:val="none"/>
        </w:rPr>
      </w:pPr>
      <w:r>
        <w:rPr>
          <w:rFonts w:hint="eastAsia"/>
          <w:color w:val="auto"/>
          <w:highlight w:val="none"/>
        </w:rPr>
        <w:t>Internet网络接入的目的主要有：</w:t>
      </w:r>
    </w:p>
    <w:p>
      <w:pPr>
        <w:ind w:firstLine="480"/>
        <w:rPr>
          <w:color w:val="auto"/>
          <w:highlight w:val="none"/>
        </w:rPr>
      </w:pPr>
      <w:r>
        <w:rPr>
          <w:color w:val="auto"/>
          <w:highlight w:val="none"/>
        </w:rPr>
        <w:fldChar w:fldCharType="begin"/>
      </w:r>
      <w:r>
        <w:rPr>
          <w:color w:val="auto"/>
          <w:highlight w:val="none"/>
        </w:rPr>
        <w:instrText xml:space="preserve"> = 1 \* GB3 </w:instrText>
      </w:r>
      <w:r>
        <w:rPr>
          <w:color w:val="auto"/>
          <w:highlight w:val="none"/>
        </w:rPr>
        <w:fldChar w:fldCharType="separate"/>
      </w:r>
      <w:r>
        <w:rPr>
          <w:rFonts w:hint="eastAsia"/>
          <w:color w:val="auto"/>
          <w:highlight w:val="none"/>
        </w:rPr>
        <w:t>①</w:t>
      </w:r>
      <w:r>
        <w:rPr>
          <w:color w:val="auto"/>
          <w:highlight w:val="none"/>
        </w:rPr>
        <w:fldChar w:fldCharType="end"/>
      </w:r>
      <w:r>
        <w:rPr>
          <w:rFonts w:hint="eastAsia"/>
          <w:color w:val="auto"/>
          <w:highlight w:val="none"/>
        </w:rPr>
        <w:t>用户可以通过公网以web方式访问系统网站；</w:t>
      </w:r>
    </w:p>
    <w:p>
      <w:pPr>
        <w:ind w:firstLine="480"/>
        <w:rPr>
          <w:color w:val="auto"/>
          <w:highlight w:val="none"/>
        </w:rPr>
      </w:pPr>
      <w:r>
        <w:rPr>
          <w:color w:val="auto"/>
          <w:highlight w:val="none"/>
        </w:rPr>
        <w:fldChar w:fldCharType="begin"/>
      </w:r>
      <w:r>
        <w:rPr>
          <w:color w:val="auto"/>
          <w:highlight w:val="none"/>
        </w:rPr>
        <w:instrText xml:space="preserve"> = 2 \* GB3 </w:instrText>
      </w:r>
      <w:r>
        <w:rPr>
          <w:color w:val="auto"/>
          <w:highlight w:val="none"/>
        </w:rPr>
        <w:fldChar w:fldCharType="separate"/>
      </w:r>
      <w:r>
        <w:rPr>
          <w:rFonts w:hint="eastAsia"/>
          <w:color w:val="auto"/>
          <w:highlight w:val="none"/>
        </w:rPr>
        <w:t>②</w:t>
      </w:r>
      <w:r>
        <w:rPr>
          <w:color w:val="auto"/>
          <w:highlight w:val="none"/>
        </w:rPr>
        <w:fldChar w:fldCharType="end"/>
      </w:r>
      <w:r>
        <w:rPr>
          <w:rFonts w:hint="eastAsia"/>
          <w:color w:val="auto"/>
          <w:highlight w:val="none"/>
        </w:rPr>
        <w:t>为信息中心提供系统软件的补丁以及防病毒软件的升级接口。</w:t>
      </w:r>
    </w:p>
    <w:p>
      <w:pPr>
        <w:ind w:firstLine="480"/>
        <w:rPr>
          <w:color w:val="auto"/>
          <w:highlight w:val="none"/>
        </w:rPr>
      </w:pPr>
      <w:r>
        <w:rPr>
          <w:rFonts w:hint="eastAsia"/>
          <w:color w:val="auto"/>
          <w:highlight w:val="none"/>
        </w:rPr>
        <w:t>（3）APN专网设计</w:t>
      </w:r>
    </w:p>
    <w:p>
      <w:pPr>
        <w:ind w:firstLine="480"/>
        <w:rPr>
          <w:color w:val="auto"/>
          <w:highlight w:val="none"/>
        </w:rPr>
      </w:pPr>
      <w:r>
        <w:rPr>
          <w:rFonts w:hint="eastAsia"/>
          <w:color w:val="auto"/>
          <w:highlight w:val="none"/>
        </w:rPr>
        <w:t>信息中心接收的现场数据大都来自无线数据终端，如管网运行监测数据、大用户用水监测数据、户表集抄数据等，因此这些数据的安全与可靠传输直接影响整个系统的安全与可靠性。一般的GPRS数据传输都通过移动公网进行，但这种方式不可避免地存在数据可靠性差、不能保证数据安全等缺点。</w:t>
      </w:r>
    </w:p>
    <w:p>
      <w:pPr>
        <w:ind w:firstLine="480"/>
        <w:rPr>
          <w:color w:val="auto"/>
          <w:highlight w:val="none"/>
        </w:rPr>
      </w:pPr>
      <w:r>
        <w:rPr>
          <w:rFonts w:hint="eastAsia"/>
          <w:color w:val="auto"/>
          <w:highlight w:val="none"/>
        </w:rPr>
        <w:t>结合我们多年的GPRS网络数据传输经验，拟采用APN专网方式组建信息中心与GPPS终端的通讯网络。</w:t>
      </w:r>
    </w:p>
    <w:p>
      <w:pPr>
        <w:ind w:firstLine="480"/>
        <w:rPr>
          <w:color w:val="auto"/>
          <w:highlight w:val="none"/>
        </w:rPr>
      </w:pPr>
      <w:r>
        <w:rPr>
          <w:rFonts w:hint="eastAsia"/>
          <w:color w:val="auto"/>
          <w:highlight w:val="none"/>
        </w:rPr>
        <w:t>信息中心通过一条100MAPN专线接入移动公司GPRS网络，双方互联路由器之间采用私有固定IP地址进行广域连接，在GGSN与移动公司互联路由器之间采用GRE隧道。为客户分配专用的APN，普通用户不得申请该APN。用于GPRS专网的SIM卡仅开通该专用APN，限制使用其他APN。得到APN后，给所有监控点及中心分配移动内部固定IP。移动终端和服务器平台之间采用端到端加密，避免信息在整个传输过程中可能的泄漏。</w:t>
      </w:r>
    </w:p>
    <w:p>
      <w:pPr>
        <w:ind w:firstLine="480"/>
        <w:rPr>
          <w:color w:val="auto"/>
          <w:highlight w:val="none"/>
        </w:rPr>
      </w:pPr>
      <w:r>
        <w:rPr>
          <w:rFonts w:hint="eastAsia"/>
          <w:color w:val="auto"/>
          <w:highlight w:val="none"/>
        </w:rPr>
        <w:t>APN专网方式在实时性，安全性和稳定性方面相对于其他方式有大大提高，非常适合于安全性要求较高、数据点比较多、实时性要求较高的应用环境。</w:t>
      </w:r>
    </w:p>
    <w:p>
      <w:pPr>
        <w:ind w:firstLine="480"/>
        <w:rPr>
          <w:color w:val="auto"/>
          <w:highlight w:val="none"/>
        </w:rPr>
      </w:pPr>
      <w:r>
        <w:rPr>
          <w:rFonts w:hint="eastAsia"/>
          <w:color w:val="auto"/>
          <w:highlight w:val="none"/>
        </w:rPr>
        <w:t>（4）服务器</w:t>
      </w:r>
    </w:p>
    <w:p>
      <w:pPr>
        <w:ind w:firstLine="480"/>
        <w:rPr>
          <w:color w:val="auto"/>
          <w:highlight w:val="none"/>
        </w:rPr>
      </w:pPr>
      <w:r>
        <w:rPr>
          <w:rFonts w:hint="eastAsia"/>
          <w:color w:val="auto"/>
          <w:highlight w:val="none"/>
        </w:rPr>
        <w:t>信息中心有2台服务器，一台用于数据库服务，一台用于web服务，数据库服务器存储农村饮水安全信息化系统的各类数据，其可靠性和安全性显得特别重要。</w:t>
      </w:r>
    </w:p>
    <w:p>
      <w:pPr>
        <w:ind w:firstLine="480"/>
        <w:rPr>
          <w:color w:val="auto"/>
          <w:highlight w:val="none"/>
        </w:rPr>
      </w:pPr>
      <w:r>
        <w:rPr>
          <w:rFonts w:hint="eastAsia"/>
          <w:color w:val="auto"/>
          <w:highlight w:val="none"/>
        </w:rPr>
        <w:t>为了提高进一步的可靠性，我们拟采用双机互备技术实现服务器的高可用性，即：数据库服务器与web服务器可以互备工作，如图所示：</w:t>
      </w:r>
    </w:p>
    <w:p>
      <w:pPr>
        <w:ind w:firstLine="0" w:firstLineChars="0"/>
        <w:jc w:val="center"/>
        <w:rPr>
          <w:color w:val="auto"/>
          <w:highlight w:val="none"/>
        </w:rPr>
      </w:pPr>
      <w:r>
        <w:rPr>
          <w:rFonts w:ascii="新宋体" w:hAnsi="新宋体" w:eastAsia="新宋体"/>
          <w:b/>
          <w:color w:val="auto"/>
          <w:highlight w:val="none"/>
        </w:rPr>
        <w:drawing>
          <wp:inline distT="0" distB="0" distL="0" distR="0">
            <wp:extent cx="4199255" cy="1993900"/>
            <wp:effectExtent l="0" t="0" r="0" b="0"/>
            <wp:docPr id="15" name="图片 15" descr="整体架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整体架构"/>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203384" cy="1995684"/>
                    </a:xfrm>
                    <a:prstGeom prst="rect">
                      <a:avLst/>
                    </a:prstGeom>
                    <a:noFill/>
                    <a:ln>
                      <a:noFill/>
                    </a:ln>
                  </pic:spPr>
                </pic:pic>
              </a:graphicData>
            </a:graphic>
          </wp:inline>
        </w:drawing>
      </w:r>
    </w:p>
    <w:p>
      <w:pPr>
        <w:ind w:firstLine="0" w:firstLineChars="0"/>
        <w:jc w:val="center"/>
        <w:rPr>
          <w:color w:val="auto"/>
          <w:highlight w:val="none"/>
        </w:rPr>
      </w:pPr>
      <w:r>
        <w:rPr>
          <w:rFonts w:hint="eastAsia"/>
          <w:b/>
          <w:color w:val="auto"/>
          <w:highlight w:val="none"/>
        </w:rPr>
        <w:t>图5.5-4  双机互备示意图</w:t>
      </w:r>
    </w:p>
    <w:p>
      <w:pPr>
        <w:ind w:firstLine="480"/>
        <w:rPr>
          <w:rFonts w:hAnsi="宋体"/>
          <w:color w:val="auto"/>
          <w:highlight w:val="none"/>
        </w:rPr>
      </w:pPr>
      <w:r>
        <w:rPr>
          <w:rFonts w:hint="eastAsia" w:hAnsi="宋体"/>
          <w:color w:val="auto"/>
          <w:highlight w:val="none"/>
        </w:rPr>
        <w:t>在本方案中，服务器A正常工作时运行SQL数据库应用，服务器B运行WEB应用，同时，在两台服务器上具有一样的用户数据。当其中一台服务器发生故障时，另外一台服务器将把对方的应用接管这边来，从而保证两种应用的不间断。</w:t>
      </w:r>
    </w:p>
    <w:p>
      <w:pPr>
        <w:ind w:firstLine="480"/>
        <w:rPr>
          <w:color w:val="auto"/>
          <w:highlight w:val="none"/>
        </w:rPr>
      </w:pPr>
      <w:r>
        <w:rPr>
          <w:rFonts w:hint="eastAsia"/>
          <w:color w:val="auto"/>
          <w:highlight w:val="none"/>
        </w:rPr>
        <w:t>2、软件平台设计</w:t>
      </w:r>
    </w:p>
    <w:p>
      <w:pPr>
        <w:ind w:firstLine="480"/>
        <w:rPr>
          <w:color w:val="auto"/>
          <w:highlight w:val="none"/>
        </w:rPr>
      </w:pPr>
      <w:r>
        <w:rPr>
          <w:rFonts w:hint="eastAsia"/>
          <w:color w:val="auto"/>
          <w:highlight w:val="none"/>
        </w:rPr>
        <w:t>软件平台主要包含操作系统、防病毒软件、网络管理软件、双机互备软件、数据库管理系统、GIS支撑系统、软件开发平台等，结合项目实际，设计如下：</w:t>
      </w:r>
    </w:p>
    <w:p>
      <w:pPr>
        <w:ind w:firstLine="480"/>
        <w:rPr>
          <w:color w:val="auto"/>
          <w:highlight w:val="none"/>
        </w:rPr>
      </w:pPr>
      <w:r>
        <w:rPr>
          <w:rFonts w:hint="eastAsia"/>
          <w:color w:val="auto"/>
          <w:highlight w:val="none"/>
        </w:rPr>
        <w:t>（1）操作系统：服务器操作系统选用windowsserver2003标准版，管理站操作系统选用windowsxp专业版。</w:t>
      </w:r>
    </w:p>
    <w:p>
      <w:pPr>
        <w:ind w:firstLine="480"/>
        <w:rPr>
          <w:color w:val="auto"/>
          <w:highlight w:val="none"/>
        </w:rPr>
      </w:pPr>
      <w:r>
        <w:rPr>
          <w:rFonts w:hint="eastAsia"/>
          <w:color w:val="auto"/>
          <w:highlight w:val="none"/>
        </w:rPr>
        <w:t>（2）防病毒软件：选用瑞星杀毒软件中小企业版，</w:t>
      </w:r>
      <w:r>
        <w:rPr>
          <w:color w:val="auto"/>
          <w:highlight w:val="none"/>
        </w:rPr>
        <w:t>瑞星杀毒软件中小企业版通过一个系统中心的统一管理，为中小型企业提供灵活、快捷的网络防病毒支持，可以确保企业内部网络100%不受病毒侵扰。系统中心可以方便的在整个网络内实现远程管理、智能升级、自动分发、远程报警等多种功能，有效地管理和保护所有的病毒入口</w:t>
      </w:r>
      <w:r>
        <w:rPr>
          <w:rFonts w:hint="eastAsia"/>
          <w:color w:val="auto"/>
          <w:highlight w:val="none"/>
        </w:rPr>
        <w:t>。</w:t>
      </w:r>
      <w:r>
        <w:rPr>
          <w:color w:val="auto"/>
          <w:highlight w:val="none"/>
        </w:rPr>
        <w:t>借助</w:t>
      </w:r>
      <w:r>
        <w:rPr>
          <w:color w:val="auto"/>
          <w:highlight w:val="none"/>
        </w:rPr>
        <w:fldChar w:fldCharType="begin"/>
      </w:r>
      <w:r>
        <w:rPr>
          <w:color w:val="auto"/>
          <w:highlight w:val="none"/>
        </w:rPr>
        <w:instrText xml:space="preserve"> HYPERLINK "http://baike.baidu.com/view/315045.htm" \t "_blank" </w:instrText>
      </w:r>
      <w:r>
        <w:rPr>
          <w:color w:val="auto"/>
          <w:highlight w:val="none"/>
        </w:rPr>
        <w:fldChar w:fldCharType="separate"/>
      </w:r>
      <w:r>
        <w:rPr>
          <w:color w:val="auto"/>
          <w:highlight w:val="none"/>
        </w:rPr>
        <w:t>管理员</w:t>
      </w:r>
      <w:r>
        <w:rPr>
          <w:color w:val="auto"/>
          <w:highlight w:val="none"/>
        </w:rPr>
        <w:fldChar w:fldCharType="end"/>
      </w:r>
      <w:r>
        <w:rPr>
          <w:color w:val="auto"/>
          <w:highlight w:val="none"/>
        </w:rPr>
        <w:t>控制台，管理员可在网络任意计算机上实现对整个网络进行集中控制管理，清楚地掌握整个网络环境中各个节点的病毒监测状态。</w:t>
      </w:r>
    </w:p>
    <w:p>
      <w:pPr>
        <w:ind w:firstLine="480"/>
        <w:rPr>
          <w:color w:val="auto"/>
          <w:highlight w:val="none"/>
        </w:rPr>
      </w:pPr>
      <w:r>
        <w:rPr>
          <w:rFonts w:hint="eastAsia"/>
          <w:color w:val="auto"/>
          <w:highlight w:val="none"/>
        </w:rPr>
        <w:t>产品组件：瑞星系统中心，瑞星管理员控制台，瑞星杀毒软件服务器端，瑞星杀毒软件客户端等。</w:t>
      </w:r>
    </w:p>
    <w:p>
      <w:pPr>
        <w:ind w:firstLine="480"/>
        <w:rPr>
          <w:color w:val="auto"/>
          <w:highlight w:val="none"/>
        </w:rPr>
      </w:pPr>
      <w:r>
        <w:rPr>
          <w:rFonts w:hint="eastAsia"/>
          <w:color w:val="auto"/>
          <w:highlight w:val="none"/>
        </w:rPr>
        <w:t>（3）网络管理软件：采用H3C的IMC智能管理中心（H3CIntelligentManagementCenter，以下简称：H3CiMC），管理整网中的网络设备。可以实现对网络设备的灵活配置及管理，及时发现网络中存在的问题，并能根据相应的提示快速解决问题。H3CiMC以业务应用流程模型为核心，采用面向服务（SOA）的设计思想，按需装配的组件化结构，为客户提供业务、资源和用户的融合管理解决方案，帮助客户实现业务的端到端管理。通过H3CiMC能够灵活组织功能组件，可以形成直接面向客户需求的业务流解决方案，从根本上解决管理的复杂性问题。</w:t>
      </w:r>
    </w:p>
    <w:p>
      <w:pPr>
        <w:ind w:firstLine="480"/>
        <w:rPr>
          <w:color w:val="auto"/>
          <w:highlight w:val="none"/>
        </w:rPr>
      </w:pPr>
      <w:r>
        <w:rPr>
          <w:rFonts w:hint="eastAsia"/>
          <w:color w:val="auto"/>
          <w:highlight w:val="none"/>
        </w:rPr>
        <w:t>（4）数据库管理系统：选用微软SQLSERVER2000标准版，SQLServer2000在Microsoft的数据平台上发布，帮助您的组织随时随地管理任何数据。</w:t>
      </w:r>
      <w:r>
        <w:rPr>
          <w:color w:val="auto"/>
          <w:highlight w:val="none"/>
        </w:rPr>
        <w:t>SQL Server是一个功能完备的数据库管理系统。它包括支持开发的引擎、标准的SQL语言、扩展的特性(如复制、OLAP、分析)等功能</w:t>
      </w:r>
      <w:r>
        <w:rPr>
          <w:rFonts w:hint="eastAsia"/>
          <w:color w:val="auto"/>
          <w:highlight w:val="none"/>
        </w:rPr>
        <w:t>。SQLSERVER2000具有以下特点：兼容性良好，</w:t>
      </w:r>
      <w:r>
        <w:rPr>
          <w:color w:val="auto"/>
          <w:highlight w:val="none"/>
        </w:rPr>
        <w:t>由于今天Windows</w:t>
      </w:r>
      <w:r>
        <w:rPr>
          <w:color w:val="auto"/>
          <w:highlight w:val="none"/>
        </w:rPr>
        <w:fldChar w:fldCharType="begin"/>
      </w:r>
      <w:r>
        <w:rPr>
          <w:color w:val="auto"/>
          <w:highlight w:val="none"/>
        </w:rPr>
        <w:instrText xml:space="preserve"> HYPERLINK "http://product.yesky.com/os/" \t "_blank" </w:instrText>
      </w:r>
      <w:r>
        <w:rPr>
          <w:color w:val="auto"/>
          <w:highlight w:val="none"/>
        </w:rPr>
        <w:fldChar w:fldCharType="separate"/>
      </w:r>
      <w:r>
        <w:rPr>
          <w:color w:val="auto"/>
          <w:highlight w:val="none"/>
        </w:rPr>
        <w:t>操作系统</w:t>
      </w:r>
      <w:r>
        <w:rPr>
          <w:color w:val="auto"/>
          <w:highlight w:val="none"/>
        </w:rPr>
        <w:fldChar w:fldCharType="end"/>
      </w:r>
      <w:r>
        <w:rPr>
          <w:color w:val="auto"/>
          <w:highlight w:val="none"/>
        </w:rPr>
        <w:t>占领着主导地的位，选择</w:t>
      </w:r>
      <w:r>
        <w:rPr>
          <w:rFonts w:hint="eastAsia"/>
          <w:color w:val="auto"/>
          <w:highlight w:val="none"/>
        </w:rPr>
        <w:t>SQLSERVER2000</w:t>
      </w:r>
      <w:r>
        <w:rPr>
          <w:color w:val="auto"/>
          <w:highlight w:val="none"/>
        </w:rPr>
        <w:t>一定会在兼容性方面取得一些优势</w:t>
      </w:r>
      <w:r>
        <w:rPr>
          <w:rFonts w:hint="eastAsia"/>
          <w:color w:val="auto"/>
          <w:highlight w:val="none"/>
        </w:rPr>
        <w:t>；相对于7.0的优越性，</w:t>
      </w:r>
      <w:r>
        <w:rPr>
          <w:color w:val="auto"/>
          <w:highlight w:val="none"/>
        </w:rPr>
        <w:t> </w:t>
      </w:r>
      <w:r>
        <w:rPr>
          <w:rFonts w:hint="eastAsia"/>
          <w:color w:val="auto"/>
          <w:highlight w:val="none"/>
        </w:rPr>
        <w:t>SQLSERVER2000</w:t>
      </w:r>
      <w:r>
        <w:rPr>
          <w:color w:val="auto"/>
          <w:highlight w:val="none"/>
        </w:rPr>
        <w:t>是在SQL Server 7.0的基础上对性能、可靠性、质量以及易用性进行了扩展</w:t>
      </w:r>
      <w:r>
        <w:rPr>
          <w:rFonts w:hint="eastAsia"/>
          <w:color w:val="auto"/>
          <w:highlight w:val="none"/>
        </w:rPr>
        <w:t>；电子商务，</w:t>
      </w:r>
      <w:r>
        <w:rPr>
          <w:color w:val="auto"/>
          <w:highlight w:val="none"/>
        </w:rPr>
        <w:t>在使用由Microsoft SQL Server 2000关系数据库引擎的情况下，XML数据可在关系表中进行存储，而查询则能以XML格式将有关结果返回</w:t>
      </w:r>
      <w:r>
        <w:rPr>
          <w:rFonts w:hint="eastAsia"/>
          <w:color w:val="auto"/>
          <w:highlight w:val="none"/>
        </w:rPr>
        <w:t>；数据仓库，SQLSERVER2000</w:t>
      </w:r>
      <w:r>
        <w:rPr>
          <w:color w:val="auto"/>
          <w:highlight w:val="none"/>
        </w:rPr>
        <w:t>非常明显的改进就是增加了OLAP(联机分析处理)功能,这可以让很多中小企业用户也可以使用数据仓库的一些特性进行分析</w:t>
      </w:r>
      <w:r>
        <w:rPr>
          <w:rFonts w:hint="eastAsia"/>
          <w:color w:val="auto"/>
          <w:highlight w:val="none"/>
        </w:rPr>
        <w:t>；增强的在线商务，</w:t>
      </w:r>
      <w:r>
        <w:rPr>
          <w:color w:val="auto"/>
          <w:highlight w:val="none"/>
        </w:rPr>
        <w:t>Microsoft SQL Server 2000简化了管理、优化工作，并且增强了迅速、成功的部署在线商务应用程序所需的可靠性和伸缩性</w:t>
      </w:r>
      <w:r>
        <w:rPr>
          <w:rFonts w:hint="eastAsia"/>
          <w:color w:val="auto"/>
          <w:highlight w:val="none"/>
        </w:rPr>
        <w:t>；利于构筑“敏捷性商务”，</w:t>
      </w:r>
      <w:r>
        <w:rPr>
          <w:color w:val="auto"/>
          <w:highlight w:val="none"/>
        </w:rPr>
        <w:t>所谓"敏捷性商务" 就是能够打破内部和外部的商业界限，对迅速改变的环境做出快速反应</w:t>
      </w:r>
      <w:r>
        <w:rPr>
          <w:rFonts w:hint="eastAsia"/>
          <w:color w:val="auto"/>
          <w:highlight w:val="none"/>
        </w:rPr>
        <w:t>。</w:t>
      </w:r>
    </w:p>
    <w:p>
      <w:pPr>
        <w:ind w:firstLine="480"/>
        <w:rPr>
          <w:color w:val="auto"/>
          <w:highlight w:val="none"/>
        </w:rPr>
      </w:pPr>
      <w:r>
        <w:rPr>
          <w:rFonts w:hint="eastAsia"/>
          <w:color w:val="auto"/>
          <w:highlight w:val="none"/>
        </w:rPr>
        <w:t>（5）GIS支撑系统：选用的网络地理信息发布系统的开发平台，可以为企事业单位提供不同层次的解决方案，可以全面满足网络GIS的应用需要。用户可以快速建立基于地图的Internet或Intranet的地理信息服务网站，也可以快速开发定制化的地理信息服务系统。依托于.NET3.5的技术框架和SuperMapObjects核心组件的强大GIS处理与分析能力，为网络地理信息系统提供发布和开发的平台。</w:t>
      </w:r>
    </w:p>
    <w:p>
      <w:pPr>
        <w:ind w:firstLine="480"/>
        <w:rPr>
          <w:color w:val="auto"/>
          <w:highlight w:val="none"/>
        </w:rPr>
      </w:pPr>
      <w:r>
        <w:rPr>
          <w:rFonts w:hint="eastAsia"/>
          <w:color w:val="auto"/>
          <w:highlight w:val="none"/>
        </w:rPr>
        <w:t>（6）软件开发平台：选用与组态软件配套的工程浏览器。工程浏览器是组态王的一个重要组成部分，它将图形画面、命令语言、设备驱动程序、配方、报警、网络等工程元素集中管理，工程人员可以一目了然的查看工程的各个组成部分。工程浏览器简便易学，操作界面和Windows中的资源管理器非常类似，为工程的管理提供了方便高效的手段。组态王开发系统内嵌于组态王工程浏览器，又称为画面开发系统，是应用程序的集成开发环境，工程人员在这个环境里进行系统开发。</w:t>
      </w:r>
    </w:p>
    <w:p>
      <w:pPr>
        <w:ind w:firstLine="480"/>
        <w:rPr>
          <w:color w:val="auto"/>
          <w:highlight w:val="none"/>
        </w:rPr>
      </w:pPr>
      <w:r>
        <w:rPr>
          <w:rFonts w:hint="eastAsia"/>
          <w:color w:val="auto"/>
          <w:highlight w:val="none"/>
        </w:rPr>
        <w:t>3、县级网络子系统建设</w:t>
      </w:r>
    </w:p>
    <w:p>
      <w:pPr>
        <w:ind w:firstLine="480"/>
        <w:rPr>
          <w:color w:val="auto"/>
          <w:highlight w:val="none"/>
        </w:rPr>
      </w:pPr>
      <w:r>
        <w:rPr>
          <w:rFonts w:hint="eastAsia"/>
          <w:color w:val="auto"/>
          <w:highlight w:val="none"/>
        </w:rPr>
        <w:t>区水利信息化建设时，应进行顶层设计，符合全省的统一规划，充分共享各级水利数据中心的网络资源。</w:t>
      </w:r>
    </w:p>
    <w:p>
      <w:pPr>
        <w:ind w:firstLine="480"/>
        <w:rPr>
          <w:color w:val="auto"/>
          <w:highlight w:val="none"/>
        </w:rPr>
      </w:pPr>
      <w:r>
        <w:rPr>
          <w:rFonts w:hint="eastAsia"/>
          <w:color w:val="auto"/>
          <w:highlight w:val="none"/>
        </w:rPr>
        <w:t>目前省水利数据中心与各地市水利局、各区县水利局之间已通过水利业务内网实现互联互通，可以满足县级系统数据交换的要求，无需再单独规划建设供水安全信息化系统的通讯网络。</w:t>
      </w:r>
    </w:p>
    <w:p>
      <w:pPr>
        <w:ind w:firstLine="480"/>
        <w:rPr>
          <w:color w:val="auto"/>
          <w:highlight w:val="none"/>
        </w:rPr>
      </w:pPr>
      <w:r>
        <w:rPr>
          <w:rFonts w:hint="eastAsia"/>
          <w:color w:val="auto"/>
          <w:highlight w:val="none"/>
        </w:rPr>
        <w:t>县级供水安全管理信息系统部署在所在市政务数据中心的，县级网络子系统视情况通过网闸或防火墙方式与水利业务内网实现数据交换。</w:t>
      </w:r>
    </w:p>
    <w:p>
      <w:pPr>
        <w:ind w:firstLine="480"/>
        <w:rPr>
          <w:color w:val="auto"/>
          <w:highlight w:val="none"/>
        </w:rPr>
      </w:pPr>
      <w:r>
        <w:rPr>
          <w:rFonts w:hint="eastAsia"/>
          <w:color w:val="auto"/>
          <w:highlight w:val="none"/>
        </w:rPr>
        <w:t>4、县级信息采集子系统建设</w:t>
      </w:r>
    </w:p>
    <w:p>
      <w:pPr>
        <w:ind w:firstLine="480"/>
        <w:rPr>
          <w:color w:val="auto"/>
          <w:highlight w:val="none"/>
        </w:rPr>
      </w:pPr>
      <w:r>
        <w:rPr>
          <w:rFonts w:hint="eastAsia"/>
          <w:color w:val="auto"/>
          <w:highlight w:val="none"/>
        </w:rPr>
        <w:t>县级信息采集子系统提供数据交换方式获取信息，通过与“省级饮水安全数据交换系统”进行数据交换，获取人工采集信息，通过与“市级饮水安全数据交换系统”进行数据交换，得到工程的在线运行信息。</w:t>
      </w:r>
    </w:p>
    <w:p>
      <w:pPr>
        <w:ind w:firstLine="480"/>
        <w:rPr>
          <w:color w:val="auto"/>
          <w:highlight w:val="none"/>
        </w:rPr>
      </w:pPr>
      <w:r>
        <w:rPr>
          <w:rFonts w:hint="eastAsia"/>
          <w:color w:val="auto"/>
          <w:highlight w:val="none"/>
        </w:rPr>
        <w:t>5、县级业务应用子系统建设</w:t>
      </w:r>
    </w:p>
    <w:p>
      <w:pPr>
        <w:ind w:firstLine="480"/>
        <w:rPr>
          <w:color w:val="auto"/>
          <w:highlight w:val="none"/>
        </w:rPr>
      </w:pPr>
      <w:r>
        <w:rPr>
          <w:rFonts w:hint="eastAsia"/>
          <w:color w:val="auto"/>
          <w:highlight w:val="none"/>
        </w:rPr>
        <w:t>县级供水安全业务应用系统应包括：项目信息管理、工程运行管理、供水行业管理、GIS专题应用、统计分析、决策支持和应急信息。</w:t>
      </w:r>
    </w:p>
    <w:p>
      <w:pPr>
        <w:ind w:firstLine="0" w:firstLineChars="0"/>
        <w:jc w:val="center"/>
        <w:rPr>
          <w:color w:val="auto"/>
          <w:highlight w:val="none"/>
        </w:rPr>
      </w:pPr>
      <w:r>
        <w:rPr>
          <w:color w:val="auto"/>
          <w:highlight w:val="none"/>
        </w:rPr>
        <w:object>
          <v:shape id="_x0000_i1026" o:spt="75" type="#_x0000_t75" style="height:194.7pt;width:249.8pt;" o:ole="t" filled="f" o:preferrelative="t" stroked="f" coordsize="21600,21600">
            <v:path/>
            <v:fill on="f" focussize="0,0"/>
            <v:stroke on="f" joinstyle="miter"/>
            <v:imagedata r:id="rId33" o:title=""/>
            <o:lock v:ext="edit" aspectratio="t"/>
            <w10:wrap type="none"/>
            <w10:anchorlock/>
          </v:shape>
          <o:OLEObject Type="Embed" ProgID="Visio.Drawing.11" ShapeID="_x0000_i1026" DrawAspect="Content" ObjectID="_1468075726" r:id="rId32">
            <o:LockedField>false</o:LockedField>
          </o:OLEObject>
        </w:object>
      </w:r>
    </w:p>
    <w:p>
      <w:pPr>
        <w:ind w:firstLine="0" w:firstLineChars="0"/>
        <w:jc w:val="center"/>
        <w:rPr>
          <w:b/>
          <w:color w:val="auto"/>
          <w:highlight w:val="none"/>
        </w:rPr>
      </w:pPr>
      <w:r>
        <w:rPr>
          <w:rFonts w:hint="eastAsia"/>
          <w:b/>
          <w:color w:val="auto"/>
          <w:highlight w:val="none"/>
        </w:rPr>
        <w:t>图5.5-5县级农村饮水安全业务应用系统结构图</w:t>
      </w:r>
    </w:p>
    <w:p>
      <w:pPr>
        <w:ind w:firstLine="480"/>
        <w:rPr>
          <w:color w:val="auto"/>
          <w:highlight w:val="none"/>
        </w:rPr>
      </w:pPr>
      <w:r>
        <w:rPr>
          <w:rFonts w:hint="eastAsia"/>
          <w:color w:val="auto"/>
          <w:highlight w:val="none"/>
        </w:rPr>
        <w:t>6、县级移动应用子系统建设</w:t>
      </w:r>
    </w:p>
    <w:p>
      <w:pPr>
        <w:ind w:firstLine="480"/>
        <w:rPr>
          <w:color w:val="auto"/>
          <w:highlight w:val="none"/>
        </w:rPr>
      </w:pPr>
      <w:r>
        <w:rPr>
          <w:rFonts w:hint="eastAsia"/>
          <w:color w:val="auto"/>
          <w:highlight w:val="none"/>
        </w:rPr>
        <w:t>通过移动智能应用客户端，方便系统用户能随时随地了解供水系统的关键数据信息，并提供对系统关键数据的查询功能。能够实时对水厂视频监控，运行数据展示，设备运行状态展示等功能。</w:t>
      </w:r>
    </w:p>
    <w:p>
      <w:pPr>
        <w:pStyle w:val="3"/>
        <w:rPr>
          <w:color w:val="auto"/>
          <w:highlight w:val="none"/>
        </w:rPr>
      </w:pPr>
      <w:bookmarkStart w:id="44" w:name="_Toc38007681"/>
      <w:bookmarkStart w:id="45" w:name="_Toc10916"/>
      <w:r>
        <w:rPr>
          <w:rFonts w:hint="eastAsia"/>
          <w:color w:val="auto"/>
          <w:highlight w:val="none"/>
        </w:rPr>
        <w:t>5.6东部水厂建设工程</w:t>
      </w:r>
      <w:bookmarkEnd w:id="44"/>
      <w:bookmarkEnd w:id="45"/>
    </w:p>
    <w:p>
      <w:pPr>
        <w:ind w:firstLine="480"/>
        <w:rPr>
          <w:color w:val="auto"/>
          <w:highlight w:val="none"/>
        </w:rPr>
      </w:pPr>
      <w:r>
        <w:rPr>
          <w:rFonts w:hint="eastAsia"/>
          <w:color w:val="auto"/>
          <w:highlight w:val="none"/>
        </w:rPr>
        <w:t>新建东部水厂，采用模块化净水设备，设计净水能力3万m</w:t>
      </w:r>
      <w:r>
        <w:rPr>
          <w:rFonts w:hint="eastAsia"/>
          <w:color w:val="auto"/>
          <w:highlight w:val="none"/>
          <w:vertAlign w:val="superscript"/>
        </w:rPr>
        <w:t>3</w:t>
      </w:r>
      <w:r>
        <w:rPr>
          <w:rFonts w:hint="eastAsia"/>
          <w:color w:val="auto"/>
          <w:highlight w:val="none"/>
        </w:rPr>
        <w:t>/d，主要服务范围：峨山镇、底阁镇。</w:t>
      </w:r>
    </w:p>
    <w:p>
      <w:pPr>
        <w:pStyle w:val="4"/>
        <w:rPr>
          <w:rFonts w:cs="Times New Roman"/>
          <w:color w:val="auto"/>
          <w:highlight w:val="none"/>
        </w:rPr>
      </w:pPr>
      <w:r>
        <w:rPr>
          <w:rFonts w:hint="eastAsia"/>
          <w:color w:val="auto"/>
          <w:highlight w:val="none"/>
        </w:rPr>
        <w:t>5.6.1</w:t>
      </w:r>
      <w:bookmarkStart w:id="46" w:name="_Toc37884291"/>
      <w:r>
        <w:rPr>
          <w:rFonts w:cs="Times New Roman"/>
          <w:color w:val="auto"/>
          <w:highlight w:val="none"/>
        </w:rPr>
        <w:t>建设目标</w:t>
      </w:r>
      <w:bookmarkEnd w:id="46"/>
    </w:p>
    <w:p>
      <w:pPr>
        <w:ind w:firstLine="480"/>
        <w:rPr>
          <w:color w:val="auto"/>
          <w:highlight w:val="none"/>
        </w:rPr>
      </w:pPr>
      <w:r>
        <w:rPr>
          <w:rFonts w:hint="eastAsia"/>
          <w:color w:val="auto"/>
          <w:highlight w:val="none"/>
        </w:rPr>
        <w:t>1、</w:t>
      </w:r>
      <w:r>
        <w:rPr>
          <w:color w:val="auto"/>
          <w:highlight w:val="none"/>
        </w:rPr>
        <w:t>质量管理目标</w:t>
      </w:r>
    </w:p>
    <w:p>
      <w:pPr>
        <w:ind w:firstLine="480"/>
        <w:rPr>
          <w:rFonts w:cs="Times New Roman"/>
          <w:color w:val="auto"/>
          <w:highlight w:val="none"/>
        </w:rPr>
      </w:pPr>
      <w:r>
        <w:rPr>
          <w:rFonts w:cs="Times New Roman"/>
          <w:color w:val="auto"/>
          <w:highlight w:val="none"/>
        </w:rPr>
        <w:t>提高供水水质，提高供水的安全可靠性，以降低能耗、漏耗和药耗为重点，运用自动化监控和管理手段，使净水厂成为现代化的且具有国际先进水平的净水厂。</w:t>
      </w:r>
    </w:p>
    <w:p>
      <w:pPr>
        <w:ind w:firstLine="480"/>
        <w:rPr>
          <w:rFonts w:cs="Times New Roman"/>
          <w:color w:val="auto"/>
          <w:highlight w:val="none"/>
        </w:rPr>
      </w:pPr>
      <w:r>
        <w:rPr>
          <w:rFonts w:hint="eastAsia" w:cs="Times New Roman"/>
          <w:color w:val="auto"/>
          <w:highlight w:val="none"/>
        </w:rPr>
        <w:t>2、</w:t>
      </w:r>
      <w:r>
        <w:rPr>
          <w:color w:val="auto"/>
          <w:highlight w:val="none"/>
        </w:rPr>
        <w:t>水量、水质和水压目标</w:t>
      </w:r>
    </w:p>
    <w:p>
      <w:pPr>
        <w:ind w:firstLine="480"/>
        <w:rPr>
          <w:rFonts w:cs="Times New Roman"/>
          <w:color w:val="auto"/>
          <w:highlight w:val="none"/>
        </w:rPr>
      </w:pPr>
      <w:r>
        <w:rPr>
          <w:rFonts w:hint="eastAsia" w:cs="Times New Roman"/>
          <w:color w:val="auto"/>
          <w:highlight w:val="none"/>
        </w:rPr>
        <w:t>（</w:t>
      </w:r>
      <w:r>
        <w:rPr>
          <w:rFonts w:cs="Times New Roman"/>
          <w:color w:val="auto"/>
          <w:highlight w:val="none"/>
        </w:rPr>
        <w:t>1</w:t>
      </w:r>
      <w:r>
        <w:rPr>
          <w:rFonts w:hint="eastAsia" w:cs="Times New Roman"/>
          <w:color w:val="auto"/>
          <w:highlight w:val="none"/>
        </w:rPr>
        <w:t>）</w:t>
      </w:r>
      <w:bookmarkStart w:id="47" w:name="5.1.2水量、水质和水压目标"/>
      <w:bookmarkEnd w:id="47"/>
      <w:r>
        <w:rPr>
          <w:rFonts w:hint="eastAsia" w:cs="Times New Roman"/>
          <w:color w:val="auto"/>
          <w:highlight w:val="none"/>
        </w:rPr>
        <w:t>、</w:t>
      </w:r>
      <w:r>
        <w:rPr>
          <w:rFonts w:cs="Times New Roman"/>
          <w:color w:val="auto"/>
          <w:highlight w:val="none"/>
        </w:rPr>
        <w:t>水量目标：本工程总供水量为3.0万m³/d。</w:t>
      </w:r>
    </w:p>
    <w:p>
      <w:pPr>
        <w:ind w:firstLine="480"/>
        <w:rPr>
          <w:rFonts w:cs="Times New Roman"/>
          <w:color w:val="auto"/>
          <w:highlight w:val="none"/>
        </w:rPr>
      </w:pPr>
      <w:r>
        <w:rPr>
          <w:rFonts w:hint="eastAsia" w:cs="Times New Roman"/>
          <w:color w:val="auto"/>
          <w:highlight w:val="none"/>
        </w:rPr>
        <w:t>（</w:t>
      </w:r>
      <w:r>
        <w:rPr>
          <w:rFonts w:cs="Times New Roman"/>
          <w:color w:val="auto"/>
          <w:highlight w:val="none"/>
        </w:rPr>
        <w:t>2</w:t>
      </w:r>
      <w:r>
        <w:rPr>
          <w:rFonts w:hint="eastAsia" w:cs="Times New Roman"/>
          <w:color w:val="auto"/>
          <w:highlight w:val="none"/>
        </w:rPr>
        <w:t>）、</w:t>
      </w:r>
      <w:r>
        <w:rPr>
          <w:rFonts w:cs="Times New Roman"/>
          <w:color w:val="auto"/>
          <w:highlight w:val="none"/>
        </w:rPr>
        <w:t>水质目标：新建水厂出水水质满足《生活饮用水卫生标准》GB5749-2006的要求。</w:t>
      </w:r>
    </w:p>
    <w:p>
      <w:pPr>
        <w:pStyle w:val="4"/>
        <w:rPr>
          <w:rFonts w:cs="Times New Roman"/>
          <w:color w:val="auto"/>
          <w:highlight w:val="none"/>
        </w:rPr>
      </w:pPr>
      <w:r>
        <w:rPr>
          <w:rFonts w:hint="eastAsia"/>
          <w:color w:val="auto"/>
          <w:highlight w:val="none"/>
        </w:rPr>
        <w:t>5.6.2</w:t>
      </w:r>
      <w:bookmarkStart w:id="48" w:name="_Toc37884292"/>
      <w:r>
        <w:rPr>
          <w:rFonts w:cs="Times New Roman"/>
          <w:color w:val="auto"/>
          <w:highlight w:val="none"/>
        </w:rPr>
        <w:t>厂址选择</w:t>
      </w:r>
      <w:bookmarkEnd w:id="48"/>
    </w:p>
    <w:p>
      <w:pPr>
        <w:ind w:firstLine="480"/>
        <w:rPr>
          <w:color w:val="auto"/>
          <w:highlight w:val="none"/>
        </w:rPr>
      </w:pPr>
      <w:r>
        <w:rPr>
          <w:color w:val="auto"/>
          <w:highlight w:val="none"/>
        </w:rPr>
        <w:t>选择厂址是净水厂设计的重要环节，应根据选择的条件和要求综合考虑，选出适当可靠，工程造价低，管道及输水费用低，施工及管理条件好的厂址。选择厂址的原则为：</w:t>
      </w:r>
    </w:p>
    <w:p>
      <w:pPr>
        <w:ind w:firstLine="480"/>
        <w:rPr>
          <w:color w:val="auto"/>
          <w:highlight w:val="none"/>
        </w:rPr>
      </w:pPr>
      <w:r>
        <w:rPr>
          <w:color w:val="auto"/>
          <w:highlight w:val="none"/>
        </w:rPr>
        <w:t>1、净水厂距取水口距离近，引水线路最短。</w:t>
      </w:r>
    </w:p>
    <w:p>
      <w:pPr>
        <w:ind w:firstLine="480"/>
        <w:rPr>
          <w:color w:val="auto"/>
          <w:highlight w:val="none"/>
        </w:rPr>
      </w:pPr>
      <w:r>
        <w:rPr>
          <w:color w:val="auto"/>
          <w:highlight w:val="none"/>
        </w:rPr>
        <w:t>2、净水厂距离城区配水管网较近。</w:t>
      </w:r>
    </w:p>
    <w:p>
      <w:pPr>
        <w:ind w:firstLine="480"/>
        <w:rPr>
          <w:color w:val="auto"/>
          <w:highlight w:val="none"/>
        </w:rPr>
      </w:pPr>
      <w:r>
        <w:rPr>
          <w:color w:val="auto"/>
          <w:highlight w:val="none"/>
        </w:rPr>
        <w:t>3、净水厂所在位置工程地址好，地基承载力大。</w:t>
      </w:r>
    </w:p>
    <w:p>
      <w:pPr>
        <w:ind w:firstLine="480"/>
        <w:rPr>
          <w:color w:val="auto"/>
          <w:highlight w:val="none"/>
        </w:rPr>
      </w:pPr>
      <w:r>
        <w:rPr>
          <w:color w:val="auto"/>
          <w:highlight w:val="none"/>
        </w:rPr>
        <w:t>4、厂址周围环境好，避免在闹市区，卫生和安全防护条件好。</w:t>
      </w:r>
    </w:p>
    <w:p>
      <w:pPr>
        <w:ind w:firstLine="480"/>
        <w:rPr>
          <w:color w:val="auto"/>
          <w:highlight w:val="none"/>
        </w:rPr>
      </w:pPr>
      <w:r>
        <w:rPr>
          <w:color w:val="auto"/>
          <w:highlight w:val="none"/>
        </w:rPr>
        <w:t>5、厂址周围交通便利，利于施工和运行管理。</w:t>
      </w:r>
    </w:p>
    <w:p>
      <w:pPr>
        <w:ind w:firstLine="480"/>
        <w:rPr>
          <w:color w:val="auto"/>
          <w:highlight w:val="none"/>
        </w:rPr>
      </w:pPr>
      <w:r>
        <w:rPr>
          <w:color w:val="auto"/>
          <w:highlight w:val="none"/>
        </w:rPr>
        <w:t>本项目为化工产业园新建水厂，水厂占地面积约10亩。此处不涉及拆迁，地势平坦开阔，厂区四周为农田，水厂周边没有化工厂或污染企业，该区域用地符合国家有关用地政策。</w:t>
      </w:r>
    </w:p>
    <w:p>
      <w:pPr>
        <w:pStyle w:val="4"/>
        <w:rPr>
          <w:color w:val="auto"/>
          <w:highlight w:val="none"/>
        </w:rPr>
      </w:pPr>
      <w:r>
        <w:rPr>
          <w:rFonts w:hint="eastAsia"/>
          <w:color w:val="auto"/>
          <w:highlight w:val="none"/>
        </w:rPr>
        <w:t>5.6.3</w:t>
      </w:r>
      <w:bookmarkStart w:id="49" w:name="_Toc37884294"/>
      <w:r>
        <w:rPr>
          <w:color w:val="auto"/>
          <w:highlight w:val="none"/>
        </w:rPr>
        <w:t>净水工艺方案比选</w:t>
      </w:r>
      <w:bookmarkEnd w:id="49"/>
    </w:p>
    <w:p>
      <w:pPr>
        <w:pStyle w:val="5"/>
        <w:rPr>
          <w:color w:val="auto"/>
          <w:highlight w:val="none"/>
        </w:rPr>
      </w:pPr>
      <w:r>
        <w:rPr>
          <w:rFonts w:hint="eastAsia"/>
          <w:color w:val="auto"/>
          <w:highlight w:val="none"/>
        </w:rPr>
        <w:t>5.6.3.1</w:t>
      </w:r>
      <w:r>
        <w:rPr>
          <w:color w:val="auto"/>
          <w:highlight w:val="none"/>
        </w:rPr>
        <w:t>净水工艺选择原则</w:t>
      </w:r>
    </w:p>
    <w:p>
      <w:pPr>
        <w:ind w:firstLine="480"/>
        <w:rPr>
          <w:color w:val="auto"/>
          <w:highlight w:val="none"/>
        </w:rPr>
      </w:pPr>
      <w:r>
        <w:rPr>
          <w:color w:val="auto"/>
          <w:highlight w:val="none"/>
        </w:rPr>
        <w:t>处理工艺方案的确定，</w:t>
      </w:r>
      <w:bookmarkStart w:id="50" w:name="5.5净水工艺方案比选"/>
      <w:bookmarkEnd w:id="50"/>
      <w:bookmarkStart w:id="51" w:name="5.5.1净水工艺选择原则"/>
      <w:bookmarkEnd w:id="51"/>
      <w:r>
        <w:rPr>
          <w:color w:val="auto"/>
          <w:highlight w:val="none"/>
        </w:rPr>
        <w:t>不仅要考虑原水水质特点和处理要求，同时还应考虑节省占地和投资、节约能耗、技术先进、运行稳定可靠、管理方便等因素。我们依据</w:t>
      </w:r>
      <w:r>
        <w:rPr>
          <w:color w:val="auto"/>
          <w:spacing w:val="-100"/>
          <w:highlight w:val="none"/>
        </w:rPr>
        <w:t xml:space="preserve"> </w:t>
      </w:r>
      <w:r>
        <w:rPr>
          <w:color w:val="auto"/>
          <w:highlight w:val="none"/>
        </w:rPr>
        <w:t>下列原则进行水处理工艺方案的比选：</w:t>
      </w:r>
    </w:p>
    <w:p>
      <w:pPr>
        <w:ind w:firstLine="480"/>
        <w:rPr>
          <w:color w:val="auto"/>
          <w:highlight w:val="none"/>
        </w:rPr>
      </w:pPr>
      <w:r>
        <w:rPr>
          <w:rFonts w:hint="eastAsia"/>
          <w:color w:val="auto"/>
          <w:highlight w:val="none"/>
        </w:rPr>
        <w:t>1、</w:t>
      </w:r>
      <w:r>
        <w:rPr>
          <w:color w:val="auto"/>
          <w:highlight w:val="none"/>
        </w:rPr>
        <w:t>技术成熟，先进可靠，处理效果稳定，能够满足出水水质要求；</w:t>
      </w:r>
    </w:p>
    <w:p>
      <w:pPr>
        <w:ind w:firstLine="480"/>
        <w:rPr>
          <w:color w:val="auto"/>
          <w:highlight w:val="none"/>
        </w:rPr>
      </w:pPr>
      <w:r>
        <w:rPr>
          <w:rFonts w:hint="eastAsia"/>
          <w:color w:val="auto"/>
          <w:highlight w:val="none"/>
        </w:rPr>
        <w:t>2、</w:t>
      </w:r>
      <w:r>
        <w:rPr>
          <w:color w:val="auto"/>
          <w:highlight w:val="none"/>
        </w:rPr>
        <w:t>在确保出水水质的同时，积极稳妥地采用新技术、新工艺、新设备和新 材料；</w:t>
      </w:r>
    </w:p>
    <w:p>
      <w:pPr>
        <w:ind w:firstLine="480"/>
        <w:rPr>
          <w:color w:val="auto"/>
          <w:highlight w:val="none"/>
        </w:rPr>
      </w:pPr>
      <w:r>
        <w:rPr>
          <w:rFonts w:hint="eastAsia"/>
          <w:color w:val="auto"/>
          <w:highlight w:val="none"/>
        </w:rPr>
        <w:t>3、</w:t>
      </w:r>
      <w:r>
        <w:rPr>
          <w:color w:val="auto"/>
          <w:highlight w:val="none"/>
        </w:rPr>
        <w:t>节水、节能；</w:t>
      </w:r>
    </w:p>
    <w:p>
      <w:pPr>
        <w:ind w:firstLine="480"/>
        <w:rPr>
          <w:color w:val="auto"/>
          <w:highlight w:val="none"/>
        </w:rPr>
      </w:pPr>
      <w:r>
        <w:rPr>
          <w:rFonts w:hint="eastAsia"/>
          <w:color w:val="auto"/>
          <w:highlight w:val="none"/>
        </w:rPr>
        <w:t>4、</w:t>
      </w:r>
      <w:r>
        <w:rPr>
          <w:color w:val="auto"/>
          <w:highlight w:val="none"/>
        </w:rPr>
        <w:t>选择投资低与运行费用低、占地小、能耗低的工艺；</w:t>
      </w:r>
    </w:p>
    <w:p>
      <w:pPr>
        <w:ind w:firstLine="480"/>
        <w:rPr>
          <w:color w:val="auto"/>
          <w:highlight w:val="none"/>
        </w:rPr>
      </w:pPr>
      <w:r>
        <w:rPr>
          <w:rFonts w:hint="eastAsia"/>
          <w:color w:val="auto"/>
          <w:highlight w:val="none"/>
        </w:rPr>
        <w:t>5、</w:t>
      </w:r>
      <w:r>
        <w:rPr>
          <w:color w:val="auto"/>
          <w:highlight w:val="none"/>
        </w:rPr>
        <w:t>选择运行稳定、设备故障率低、净化效率尽可能高的工艺设备；</w:t>
      </w:r>
    </w:p>
    <w:p>
      <w:pPr>
        <w:ind w:firstLine="480"/>
        <w:rPr>
          <w:color w:val="auto"/>
          <w:highlight w:val="none"/>
        </w:rPr>
      </w:pPr>
      <w:r>
        <w:rPr>
          <w:rFonts w:hint="eastAsia"/>
          <w:color w:val="auto"/>
          <w:highlight w:val="none"/>
        </w:rPr>
        <w:t>6、</w:t>
      </w:r>
      <w:r>
        <w:rPr>
          <w:color w:val="auto"/>
          <w:highlight w:val="none"/>
        </w:rPr>
        <w:t>为防止絮凝过滤后排出的废水和污泥造成二次污染，综合考虑</w:t>
      </w:r>
      <w:bookmarkStart w:id="52" w:name="（3）节水、节能；"/>
      <w:bookmarkEnd w:id="52"/>
      <w:r>
        <w:rPr>
          <w:color w:val="auto"/>
          <w:highlight w:val="none"/>
        </w:rPr>
        <w:t>滤池反冲 洗水回收设施和污泥脱水设施；</w:t>
      </w:r>
    </w:p>
    <w:p>
      <w:pPr>
        <w:ind w:firstLine="480"/>
        <w:rPr>
          <w:color w:val="auto"/>
          <w:highlight w:val="none"/>
        </w:rPr>
      </w:pPr>
      <w:r>
        <w:rPr>
          <w:rFonts w:hint="eastAsia"/>
          <w:color w:val="auto"/>
          <w:highlight w:val="none"/>
        </w:rPr>
        <w:t>7、</w:t>
      </w:r>
      <w:r>
        <w:rPr>
          <w:color w:val="auto"/>
          <w:highlight w:val="none"/>
        </w:rPr>
        <w:t>便于实现工艺过程的自动控制，提高管理水平，降低劳动强度。</w:t>
      </w:r>
    </w:p>
    <w:p>
      <w:pPr>
        <w:pStyle w:val="5"/>
        <w:rPr>
          <w:color w:val="auto"/>
          <w:highlight w:val="none"/>
        </w:rPr>
      </w:pPr>
      <w:r>
        <w:rPr>
          <w:rFonts w:hint="eastAsia"/>
          <w:color w:val="auto"/>
          <w:highlight w:val="none"/>
        </w:rPr>
        <w:t>5.8.3.2</w:t>
      </w:r>
      <w:r>
        <w:rPr>
          <w:color w:val="auto"/>
          <w:highlight w:val="none"/>
        </w:rPr>
        <w:t>净水工艺流程选择</w:t>
      </w:r>
    </w:p>
    <w:p>
      <w:pPr>
        <w:ind w:firstLine="480"/>
        <w:rPr>
          <w:color w:val="auto"/>
          <w:highlight w:val="none"/>
        </w:rPr>
      </w:pPr>
      <w:r>
        <w:rPr>
          <w:color w:val="auto"/>
          <w:highlight w:val="none"/>
        </w:rPr>
        <w:t xml:space="preserve">本工程水源为地表水，输水距离不长，水质存在一定的确定性。根据本工程水 </w:t>
      </w:r>
      <w:r>
        <w:rPr>
          <w:color w:val="auto"/>
          <w:spacing w:val="-1"/>
          <w:highlight w:val="none"/>
        </w:rPr>
        <w:t>源水质特点，水质符合《地表水环境质量标准》（</w:t>
      </w:r>
      <w:r>
        <w:rPr>
          <w:rFonts w:eastAsia="Times New Roman"/>
          <w:color w:val="auto"/>
          <w:spacing w:val="-1"/>
          <w:highlight w:val="none"/>
        </w:rPr>
        <w:t>GB3838-2002</w:t>
      </w:r>
      <w:r>
        <w:rPr>
          <w:color w:val="auto"/>
          <w:spacing w:val="-1"/>
          <w:highlight w:val="none"/>
        </w:rPr>
        <w:t>）</w:t>
      </w:r>
      <w:r>
        <w:rPr>
          <w:rFonts w:hint="eastAsia" w:ascii="宋体" w:hAnsi="宋体"/>
          <w:color w:val="auto"/>
          <w:spacing w:val="-1"/>
          <w:highlight w:val="none"/>
        </w:rPr>
        <w:t>Ⅲ</w:t>
      </w:r>
      <w:r>
        <w:rPr>
          <w:color w:val="auto"/>
          <w:spacing w:val="-1"/>
          <w:highlight w:val="none"/>
        </w:rPr>
        <w:t>类水体标准，</w:t>
      </w:r>
      <w:r>
        <w:rPr>
          <w:color w:val="auto"/>
          <w:spacing w:val="-118"/>
          <w:highlight w:val="none"/>
        </w:rPr>
        <w:t xml:space="preserve"> </w:t>
      </w:r>
      <w:r>
        <w:rPr>
          <w:color w:val="auto"/>
          <w:highlight w:val="none"/>
        </w:rPr>
        <w:t>给水处理的任务主要是：去除浊度和杀灭致病微生物，保证供水的卫生安全、保证</w:t>
      </w:r>
      <w:r>
        <w:rPr>
          <w:color w:val="auto"/>
          <w:spacing w:val="-99"/>
          <w:highlight w:val="none"/>
        </w:rPr>
        <w:t xml:space="preserve"> </w:t>
      </w:r>
      <w:r>
        <w:rPr>
          <w:color w:val="auto"/>
          <w:highlight w:val="none"/>
        </w:rPr>
        <w:t>供水的水质稳定。</w:t>
      </w:r>
    </w:p>
    <w:p>
      <w:pPr>
        <w:ind w:firstLine="480"/>
        <w:rPr>
          <w:color w:val="auto"/>
          <w:highlight w:val="none"/>
        </w:rPr>
      </w:pPr>
      <w:r>
        <w:rPr>
          <w:color w:val="auto"/>
          <w:highlight w:val="none"/>
        </w:rPr>
        <w:t>给水处理工艺发展到今天，已经比较成熟、可靠，关键是在保障出水水质的前 提下，以是否便于运行管理、降低工人劳动强度，是否便于自动化控制、便于提高</w:t>
      </w:r>
      <w:r>
        <w:rPr>
          <w:color w:val="auto"/>
          <w:spacing w:val="-100"/>
          <w:highlight w:val="none"/>
        </w:rPr>
        <w:t xml:space="preserve"> </w:t>
      </w:r>
      <w:r>
        <w:rPr>
          <w:color w:val="auto"/>
          <w:highlight w:val="none"/>
        </w:rPr>
        <w:t>水厂的自动化水平，是否以低成本运行来加以比选组合。</w:t>
      </w:r>
    </w:p>
    <w:p>
      <w:pPr>
        <w:ind w:firstLine="480"/>
        <w:rPr>
          <w:color w:val="auto"/>
          <w:highlight w:val="none"/>
        </w:rPr>
      </w:pPr>
      <w:r>
        <w:rPr>
          <w:color w:val="auto"/>
          <w:highlight w:val="none"/>
        </w:rPr>
        <w:t>根据本工程水质特点，采用常规处理流程（第一代工艺）和超滤短流程（第三 代工艺）均可满足水质要求。</w:t>
      </w:r>
    </w:p>
    <w:p>
      <w:pPr>
        <w:ind w:firstLine="480"/>
        <w:rPr>
          <w:color w:val="auto"/>
          <w:highlight w:val="none"/>
        </w:rPr>
      </w:pPr>
      <w:r>
        <w:rPr>
          <w:color w:val="auto"/>
          <w:highlight w:val="none"/>
        </w:rPr>
        <w:t>1、超滤短流程</w:t>
      </w:r>
    </w:p>
    <w:p>
      <w:pPr>
        <w:ind w:firstLine="480"/>
        <w:rPr>
          <w:color w:val="auto"/>
          <w:highlight w:val="none"/>
        </w:rPr>
      </w:pPr>
      <w:r>
        <w:rPr>
          <w:color w:val="auto"/>
          <w:highlight w:val="none"/>
        </w:rPr>
        <w:t>超滤膜的孔径范围通常为 0.01~0.05μm，</w:t>
      </w:r>
      <w:bookmarkStart w:id="53" w:name="2、超滤短流程"/>
      <w:bookmarkEnd w:id="53"/>
      <w:r>
        <w:rPr>
          <w:color w:val="auto"/>
          <w:highlight w:val="none"/>
        </w:rPr>
        <w:t>可去除水中的悬浮物、胶体等颗粒物， 以及部分分子量较大的有机物。随着超滤膜生产技术在大通量、低跨膜压差、优异 的抗污染特性、低成本等方面取得突破，超滤膜作为第三代饮用水处理核心技术， 在给水处理领域已进入规模化应用阶段，且国内外已建立了许多示范性工程，运行 效果良好。超滤短流程如图5.</w:t>
      </w:r>
      <w:r>
        <w:rPr>
          <w:rFonts w:hint="eastAsia"/>
          <w:color w:val="auto"/>
          <w:highlight w:val="none"/>
        </w:rPr>
        <w:t>8-1</w:t>
      </w:r>
      <w:r>
        <w:rPr>
          <w:color w:val="auto"/>
          <w:highlight w:val="none"/>
        </w:rPr>
        <w:t>所示：</w:t>
      </w:r>
    </w:p>
    <w:p>
      <w:pPr>
        <w:ind w:firstLine="0" w:firstLineChars="0"/>
        <w:jc w:val="center"/>
        <w:rPr>
          <w:color w:val="auto"/>
          <w:highlight w:val="none"/>
        </w:rPr>
      </w:pPr>
      <w:r>
        <w:rPr>
          <w:color w:val="auto"/>
          <w:highlight w:val="none"/>
        </w:rPr>
        <w:drawing>
          <wp:inline distT="0" distB="0" distL="0" distR="0">
            <wp:extent cx="5278120" cy="739140"/>
            <wp:effectExtent l="0" t="0" r="0" b="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34" cstate="print"/>
                    <a:stretch>
                      <a:fillRect/>
                    </a:stretch>
                  </pic:blipFill>
                  <pic:spPr>
                    <a:xfrm>
                      <a:off x="0" y="0"/>
                      <a:ext cx="5278120" cy="739181"/>
                    </a:xfrm>
                    <a:prstGeom prst="rect">
                      <a:avLst/>
                    </a:prstGeom>
                  </pic:spPr>
                </pic:pic>
              </a:graphicData>
            </a:graphic>
          </wp:inline>
        </w:drawing>
      </w:r>
    </w:p>
    <w:p>
      <w:pPr>
        <w:pStyle w:val="12"/>
        <w:ind w:firstLine="0" w:firstLineChars="0"/>
        <w:jc w:val="center"/>
        <w:rPr>
          <w:rFonts w:eastAsia="黑体" w:cs="Times New Roman"/>
          <w:color w:val="auto"/>
          <w:highlight w:val="none"/>
        </w:rPr>
      </w:pPr>
      <w:r>
        <w:rPr>
          <w:rFonts w:eastAsia="黑体" w:cs="Times New Roman"/>
          <w:color w:val="auto"/>
          <w:highlight w:val="none"/>
        </w:rPr>
        <w:t>图</w:t>
      </w:r>
      <w:r>
        <w:rPr>
          <w:rFonts w:hint="eastAsia" w:eastAsia="黑体" w:cs="Times New Roman"/>
          <w:color w:val="auto"/>
          <w:highlight w:val="none"/>
        </w:rPr>
        <w:t xml:space="preserve">5.6-1  </w:t>
      </w:r>
      <w:r>
        <w:rPr>
          <w:rFonts w:eastAsia="黑体" w:cs="Times New Roman"/>
          <w:color w:val="auto"/>
          <w:highlight w:val="none"/>
        </w:rPr>
        <w:t>超滤膜过滤短流程</w:t>
      </w:r>
    </w:p>
    <w:p>
      <w:pPr>
        <w:ind w:firstLine="480"/>
        <w:rPr>
          <w:color w:val="auto"/>
          <w:highlight w:val="none"/>
        </w:rPr>
      </w:pPr>
      <w:r>
        <w:rPr>
          <w:color w:val="auto"/>
          <w:highlight w:val="none"/>
        </w:rPr>
        <w:t>超滤膜过滤短流程的优点：</w:t>
      </w:r>
    </w:p>
    <w:p>
      <w:pPr>
        <w:ind w:firstLine="480"/>
        <w:rPr>
          <w:color w:val="auto"/>
          <w:highlight w:val="none"/>
        </w:rPr>
      </w:pPr>
      <w:r>
        <w:rPr>
          <w:color w:val="auto"/>
          <w:highlight w:val="none"/>
        </w:rPr>
        <w:t>（</w:t>
      </w:r>
      <w:r>
        <w:rPr>
          <w:rFonts w:eastAsia="Times New Roman"/>
          <w:color w:val="auto"/>
          <w:highlight w:val="none"/>
        </w:rPr>
        <w:t>1</w:t>
      </w:r>
      <w:r>
        <w:rPr>
          <w:color w:val="auto"/>
          <w:highlight w:val="none"/>
        </w:rPr>
        <w:t>）可截留全部胶体物质、藻类和部分高分子有机物，可截留全部细菌、寄 生虫和</w:t>
      </w:r>
      <w:r>
        <w:rPr>
          <w:color w:val="auto"/>
          <w:spacing w:val="-61"/>
          <w:highlight w:val="none"/>
        </w:rPr>
        <w:t xml:space="preserve"> </w:t>
      </w:r>
      <w:r>
        <w:rPr>
          <w:rFonts w:eastAsia="Times New Roman"/>
          <w:color w:val="auto"/>
          <w:highlight w:val="none"/>
        </w:rPr>
        <w:t>99.99%</w:t>
      </w:r>
      <w:r>
        <w:rPr>
          <w:color w:val="auto"/>
          <w:highlight w:val="none"/>
        </w:rPr>
        <w:t>以上的病毒，提高饮用水的生物学安全性。</w:t>
      </w:r>
    </w:p>
    <w:p>
      <w:pPr>
        <w:ind w:firstLine="480"/>
        <w:rPr>
          <w:color w:val="auto"/>
          <w:highlight w:val="none"/>
        </w:rPr>
      </w:pPr>
      <w:r>
        <w:rPr>
          <w:color w:val="auto"/>
          <w:highlight w:val="none"/>
        </w:rPr>
        <w:t>（</w:t>
      </w:r>
      <w:r>
        <w:rPr>
          <w:rFonts w:eastAsia="Times New Roman"/>
          <w:color w:val="auto"/>
          <w:highlight w:val="none"/>
        </w:rPr>
        <w:t>2</w:t>
      </w:r>
      <w:r>
        <w:rPr>
          <w:color w:val="auto"/>
          <w:highlight w:val="none"/>
        </w:rPr>
        <w:t>）减少消毒剂用量，降低消毒副产物的产生。</w:t>
      </w:r>
    </w:p>
    <w:p>
      <w:pPr>
        <w:ind w:firstLine="480"/>
        <w:rPr>
          <w:color w:val="auto"/>
          <w:highlight w:val="none"/>
        </w:rPr>
      </w:pPr>
      <w:r>
        <w:rPr>
          <w:color w:val="auto"/>
          <w:highlight w:val="none"/>
        </w:rPr>
        <w:t>（</w:t>
      </w:r>
      <w:r>
        <w:rPr>
          <w:rFonts w:eastAsia="Times New Roman"/>
          <w:color w:val="auto"/>
          <w:highlight w:val="none"/>
        </w:rPr>
        <w:t>3</w:t>
      </w:r>
      <w:r>
        <w:rPr>
          <w:color w:val="auto"/>
          <w:highlight w:val="none"/>
        </w:rPr>
        <w:t>）保留水中溶解性矿物质，有益于人体健康。</w:t>
      </w:r>
    </w:p>
    <w:p>
      <w:pPr>
        <w:ind w:firstLine="480"/>
        <w:rPr>
          <w:color w:val="auto"/>
          <w:highlight w:val="none"/>
        </w:rPr>
      </w:pPr>
      <w:r>
        <w:rPr>
          <w:color w:val="auto"/>
          <w:highlight w:val="none"/>
        </w:rPr>
        <w:t>（</w:t>
      </w:r>
      <w:r>
        <w:rPr>
          <w:rFonts w:eastAsia="Times New Roman"/>
          <w:color w:val="auto"/>
          <w:highlight w:val="none"/>
        </w:rPr>
        <w:t>4</w:t>
      </w:r>
      <w:r>
        <w:rPr>
          <w:color w:val="auto"/>
          <w:highlight w:val="none"/>
        </w:rPr>
        <w:t>）膜装置布置紧凑，占地面积小。</w:t>
      </w:r>
    </w:p>
    <w:p>
      <w:pPr>
        <w:ind w:firstLine="480"/>
        <w:rPr>
          <w:color w:val="auto"/>
          <w:highlight w:val="none"/>
        </w:rPr>
      </w:pPr>
      <w:r>
        <w:rPr>
          <w:color w:val="auto"/>
          <w:highlight w:val="none"/>
        </w:rPr>
        <w:t>（</w:t>
      </w:r>
      <w:r>
        <w:rPr>
          <w:rFonts w:eastAsia="Times New Roman"/>
          <w:color w:val="auto"/>
          <w:highlight w:val="none"/>
        </w:rPr>
        <w:t>5</w:t>
      </w:r>
      <w:r>
        <w:rPr>
          <w:color w:val="auto"/>
          <w:highlight w:val="none"/>
        </w:rPr>
        <w:t>）设备模块化和预制化，便于改扩建，建设周期短。</w:t>
      </w:r>
    </w:p>
    <w:p>
      <w:pPr>
        <w:ind w:firstLine="480"/>
        <w:rPr>
          <w:color w:val="auto"/>
          <w:highlight w:val="none"/>
        </w:rPr>
      </w:pPr>
      <w:bookmarkStart w:id="54" w:name="5.5.5应急及深度处理措施"/>
      <w:bookmarkEnd w:id="54"/>
      <w:r>
        <w:rPr>
          <w:color w:val="auto"/>
          <w:highlight w:val="none"/>
        </w:rPr>
        <w:t>（</w:t>
      </w:r>
      <w:r>
        <w:rPr>
          <w:rFonts w:eastAsia="Times New Roman"/>
          <w:color w:val="auto"/>
          <w:highlight w:val="none"/>
        </w:rPr>
        <w:t>6</w:t>
      </w:r>
      <w:r>
        <w:rPr>
          <w:color w:val="auto"/>
          <w:highlight w:val="none"/>
        </w:rPr>
        <w:t>）絮凝剂用量少、水质稳定。</w:t>
      </w:r>
    </w:p>
    <w:p>
      <w:pPr>
        <w:ind w:firstLine="480"/>
        <w:rPr>
          <w:color w:val="auto"/>
          <w:highlight w:val="none"/>
        </w:rPr>
      </w:pPr>
      <w:r>
        <w:rPr>
          <w:color w:val="auto"/>
          <w:highlight w:val="none"/>
        </w:rPr>
        <w:t>（</w:t>
      </w:r>
      <w:r>
        <w:rPr>
          <w:rFonts w:eastAsia="Times New Roman"/>
          <w:color w:val="auto"/>
          <w:highlight w:val="none"/>
        </w:rPr>
        <w:t>7</w:t>
      </w:r>
      <w:r>
        <w:rPr>
          <w:color w:val="auto"/>
          <w:highlight w:val="none"/>
        </w:rPr>
        <w:t>）自动化程度高，运行管理简单。</w:t>
      </w:r>
    </w:p>
    <w:p>
      <w:pPr>
        <w:ind w:firstLine="480"/>
        <w:rPr>
          <w:color w:val="auto"/>
          <w:highlight w:val="none"/>
        </w:rPr>
      </w:pPr>
      <w:r>
        <w:rPr>
          <w:color w:val="auto"/>
          <w:highlight w:val="none"/>
        </w:rPr>
        <w:t>（</w:t>
      </w:r>
      <w:r>
        <w:rPr>
          <w:rFonts w:eastAsia="Times New Roman"/>
          <w:color w:val="auto"/>
          <w:highlight w:val="none"/>
        </w:rPr>
        <w:t>8</w:t>
      </w:r>
      <w:r>
        <w:rPr>
          <w:color w:val="auto"/>
          <w:highlight w:val="none"/>
        </w:rPr>
        <w:t xml:space="preserve">）工艺流程短。 </w:t>
      </w:r>
    </w:p>
    <w:p>
      <w:pPr>
        <w:ind w:firstLine="480"/>
        <w:rPr>
          <w:color w:val="auto"/>
          <w:highlight w:val="none"/>
        </w:rPr>
      </w:pPr>
      <w:r>
        <w:rPr>
          <w:color w:val="auto"/>
          <w:highlight w:val="none"/>
        </w:rPr>
        <w:t>超滤膜过滤短流程的缺点：</w:t>
      </w:r>
    </w:p>
    <w:p>
      <w:pPr>
        <w:ind w:firstLine="480"/>
        <w:rPr>
          <w:color w:val="auto"/>
          <w:highlight w:val="none"/>
        </w:rPr>
      </w:pPr>
      <w:r>
        <w:rPr>
          <w:color w:val="auto"/>
          <w:highlight w:val="none"/>
        </w:rPr>
        <w:t>（</w:t>
      </w:r>
      <w:r>
        <w:rPr>
          <w:rFonts w:eastAsia="Times New Roman"/>
          <w:color w:val="auto"/>
          <w:highlight w:val="none"/>
        </w:rPr>
        <w:t>1</w:t>
      </w:r>
      <w:r>
        <w:rPr>
          <w:color w:val="auto"/>
          <w:highlight w:val="none"/>
        </w:rPr>
        <w:t>）对色、味、臭、低分子有机物及溶解性无机盐去除率低。</w:t>
      </w:r>
    </w:p>
    <w:p>
      <w:pPr>
        <w:ind w:firstLine="480"/>
        <w:rPr>
          <w:color w:val="auto"/>
          <w:highlight w:val="none"/>
        </w:rPr>
      </w:pPr>
      <w:r>
        <w:rPr>
          <w:color w:val="auto"/>
          <w:highlight w:val="none"/>
        </w:rPr>
        <w:t>（</w:t>
      </w:r>
      <w:r>
        <w:rPr>
          <w:rFonts w:eastAsia="Times New Roman"/>
          <w:color w:val="auto"/>
          <w:highlight w:val="none"/>
        </w:rPr>
        <w:t>2</w:t>
      </w:r>
      <w:r>
        <w:rPr>
          <w:color w:val="auto"/>
          <w:highlight w:val="none"/>
        </w:rPr>
        <w:t>）动力消耗较常规工艺高。</w:t>
      </w:r>
    </w:p>
    <w:p>
      <w:pPr>
        <w:ind w:firstLine="480"/>
        <w:rPr>
          <w:color w:val="auto"/>
          <w:highlight w:val="none"/>
        </w:rPr>
      </w:pPr>
      <w:r>
        <w:rPr>
          <w:color w:val="auto"/>
          <w:highlight w:val="none"/>
        </w:rPr>
        <w:t>（</w:t>
      </w:r>
      <w:r>
        <w:rPr>
          <w:rFonts w:eastAsia="Times New Roman"/>
          <w:color w:val="auto"/>
          <w:highlight w:val="none"/>
        </w:rPr>
        <w:t>3</w:t>
      </w:r>
      <w:r>
        <w:rPr>
          <w:color w:val="auto"/>
          <w:highlight w:val="none"/>
        </w:rPr>
        <w:t>）膜需周期性化学清洗，化学清洗废液需无害化处理。</w:t>
      </w:r>
    </w:p>
    <w:p>
      <w:pPr>
        <w:ind w:firstLine="480"/>
        <w:rPr>
          <w:color w:val="auto"/>
          <w:highlight w:val="none"/>
        </w:rPr>
      </w:pPr>
      <w:r>
        <w:rPr>
          <w:color w:val="auto"/>
          <w:highlight w:val="none"/>
        </w:rPr>
        <w:t>（</w:t>
      </w:r>
      <w:r>
        <w:rPr>
          <w:rFonts w:eastAsia="Times New Roman"/>
          <w:color w:val="auto"/>
          <w:highlight w:val="none"/>
        </w:rPr>
        <w:t>4</w:t>
      </w:r>
      <w:r>
        <w:rPr>
          <w:color w:val="auto"/>
          <w:highlight w:val="none"/>
        </w:rPr>
        <w:t>）膜组件造价高，使用寿命短，导致投资及运行成本增加。</w:t>
      </w:r>
    </w:p>
    <w:p>
      <w:pPr>
        <w:ind w:firstLine="480"/>
        <w:rPr>
          <w:color w:val="auto"/>
          <w:highlight w:val="none"/>
        </w:rPr>
      </w:pPr>
      <w:r>
        <w:rPr>
          <w:color w:val="auto"/>
          <w:highlight w:val="none"/>
        </w:rPr>
        <w:t>（</w:t>
      </w:r>
      <w:r>
        <w:rPr>
          <w:rFonts w:eastAsia="Times New Roman"/>
          <w:color w:val="auto"/>
          <w:highlight w:val="none"/>
        </w:rPr>
        <w:t>5</w:t>
      </w:r>
      <w:r>
        <w:rPr>
          <w:color w:val="auto"/>
          <w:highlight w:val="none"/>
        </w:rPr>
        <w:t>）水的回收率较低。</w:t>
      </w:r>
    </w:p>
    <w:p>
      <w:pPr>
        <w:ind w:firstLine="480"/>
        <w:rPr>
          <w:rFonts w:cs="Times New Roman"/>
          <w:color w:val="auto"/>
          <w:highlight w:val="none"/>
        </w:rPr>
      </w:pPr>
      <w:r>
        <w:rPr>
          <w:rFonts w:eastAsia="Times New Roman" w:cs="Times New Roman"/>
          <w:color w:val="auto"/>
          <w:highlight w:val="none"/>
        </w:rPr>
        <w:t>2</w:t>
      </w:r>
      <w:r>
        <w:rPr>
          <w:rFonts w:cs="Times New Roman"/>
          <w:color w:val="auto"/>
          <w:highlight w:val="none"/>
        </w:rPr>
        <w:t>、常规处理流程 根据本工程原水特征，水质良好，采用常规处理工艺即</w:t>
      </w:r>
      <w:bookmarkStart w:id="55" w:name="1、常规处理流程"/>
      <w:bookmarkEnd w:id="55"/>
      <w:r>
        <w:rPr>
          <w:rFonts w:eastAsia="Times New Roman" w:cs="Times New Roman"/>
          <w:color w:val="auto"/>
          <w:highlight w:val="none"/>
        </w:rPr>
        <w:t>“</w:t>
      </w:r>
      <w:r>
        <w:rPr>
          <w:rFonts w:cs="Times New Roman"/>
          <w:color w:val="auto"/>
          <w:highlight w:val="none"/>
        </w:rPr>
        <w:t>混凝</w:t>
      </w:r>
      <w:r>
        <w:rPr>
          <w:rFonts w:eastAsia="Times New Roman" w:cs="Times New Roman"/>
          <w:color w:val="auto"/>
          <w:highlight w:val="none"/>
        </w:rPr>
        <w:t>+</w:t>
      </w:r>
      <w:r>
        <w:rPr>
          <w:rFonts w:cs="Times New Roman"/>
          <w:color w:val="auto"/>
          <w:highlight w:val="none"/>
        </w:rPr>
        <w:t>沉淀</w:t>
      </w:r>
      <w:r>
        <w:rPr>
          <w:rFonts w:eastAsia="Times New Roman" w:cs="Times New Roman"/>
          <w:color w:val="auto"/>
          <w:highlight w:val="none"/>
        </w:rPr>
        <w:t>+</w:t>
      </w:r>
      <w:r>
        <w:rPr>
          <w:rFonts w:cs="Times New Roman"/>
          <w:color w:val="auto"/>
          <w:highlight w:val="none"/>
        </w:rPr>
        <w:t>过滤</w:t>
      </w:r>
      <w:r>
        <w:rPr>
          <w:rFonts w:eastAsia="Times New Roman" w:cs="Times New Roman"/>
          <w:color w:val="auto"/>
          <w:highlight w:val="none"/>
        </w:rPr>
        <w:t>+</w:t>
      </w:r>
      <w:r>
        <w:rPr>
          <w:rFonts w:cs="Times New Roman"/>
          <w:color w:val="auto"/>
          <w:highlight w:val="none"/>
        </w:rPr>
        <w:t>消毒</w:t>
      </w:r>
      <w:r>
        <w:rPr>
          <w:rFonts w:eastAsia="Times New Roman" w:cs="Times New Roman"/>
          <w:color w:val="auto"/>
          <w:highlight w:val="none"/>
        </w:rPr>
        <w:t>”</w:t>
      </w:r>
      <w:r>
        <w:rPr>
          <w:rFonts w:cs="Times New Roman"/>
          <w:color w:val="auto"/>
          <w:highlight w:val="none"/>
        </w:rPr>
        <w:t>工艺就可满足要求，本工程采用传统的地表水处理工艺流程如下图</w:t>
      </w:r>
      <w:r>
        <w:rPr>
          <w:rFonts w:hint="eastAsia" w:cs="Times New Roman"/>
          <w:color w:val="auto"/>
          <w:highlight w:val="none"/>
        </w:rPr>
        <w:t>5.8-2</w:t>
      </w:r>
      <w:r>
        <w:rPr>
          <w:rFonts w:cs="Times New Roman"/>
          <w:color w:val="auto"/>
          <w:highlight w:val="none"/>
        </w:rPr>
        <w:t>所示：</w:t>
      </w:r>
    </w:p>
    <w:p>
      <w:pPr>
        <w:ind w:firstLine="0" w:firstLineChars="0"/>
        <w:jc w:val="center"/>
        <w:rPr>
          <w:color w:val="auto"/>
          <w:highlight w:val="none"/>
        </w:rPr>
      </w:pPr>
      <w:r>
        <w:rPr>
          <w:rFonts w:cs="Times New Roman"/>
          <w:color w:val="auto"/>
          <w:highlight w:val="none"/>
        </w:rPr>
        <w:drawing>
          <wp:inline distT="0" distB="0" distL="0" distR="0">
            <wp:extent cx="4871085" cy="1253490"/>
            <wp:effectExtent l="0" t="0" r="5715"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rot="10800000" flipH="1" flipV="1">
                      <a:off x="0" y="0"/>
                      <a:ext cx="5032247" cy="1295162"/>
                    </a:xfrm>
                    <a:prstGeom prst="rect">
                      <a:avLst/>
                    </a:prstGeom>
                  </pic:spPr>
                </pic:pic>
              </a:graphicData>
            </a:graphic>
          </wp:inline>
        </w:drawing>
      </w:r>
    </w:p>
    <w:p>
      <w:pPr>
        <w:pStyle w:val="12"/>
        <w:ind w:firstLine="0" w:firstLineChars="0"/>
        <w:jc w:val="center"/>
        <w:rPr>
          <w:rFonts w:eastAsia="黑体" w:cs="Times New Roman"/>
          <w:color w:val="auto"/>
          <w:highlight w:val="none"/>
        </w:rPr>
      </w:pPr>
      <w:r>
        <w:rPr>
          <w:rFonts w:eastAsia="黑体" w:cs="Times New Roman"/>
          <w:color w:val="auto"/>
          <w:highlight w:val="none"/>
        </w:rPr>
        <w:t>图</w:t>
      </w:r>
      <w:r>
        <w:rPr>
          <w:rFonts w:hint="eastAsia" w:eastAsia="黑体" w:cs="Times New Roman"/>
          <w:color w:val="auto"/>
          <w:highlight w:val="none"/>
        </w:rPr>
        <w:t xml:space="preserve">5.6-2  </w:t>
      </w:r>
      <w:r>
        <w:rPr>
          <w:rFonts w:eastAsia="黑体" w:cs="Times New Roman"/>
          <w:color w:val="auto"/>
          <w:highlight w:val="none"/>
        </w:rPr>
        <w:t>传统给水处理工艺流程</w:t>
      </w:r>
    </w:p>
    <w:p>
      <w:pPr>
        <w:ind w:firstLine="480"/>
        <w:rPr>
          <w:color w:val="auto"/>
          <w:highlight w:val="none"/>
        </w:rPr>
      </w:pPr>
      <w:r>
        <w:rPr>
          <w:color w:val="auto"/>
          <w:highlight w:val="none"/>
        </w:rPr>
        <w:t>根据原水水质特点筛选合适的促凝剂，在原水中加入适当的促凝剂（絮凝剂、 助凝剂），使杂质微粒互相凝聚从而通过沉淀分离的方式从水中分离出去。经过沉 淀分离的水再经过适当的过滤单元，从而进一步去除水的浊度，使其满足饮用水水 质标准。经过滤的水再通过投加消毒剂，满足饮用水卫生学指标。</w:t>
      </w:r>
    </w:p>
    <w:p>
      <w:pPr>
        <w:ind w:firstLine="480"/>
        <w:rPr>
          <w:color w:val="auto"/>
          <w:highlight w:val="none"/>
        </w:rPr>
      </w:pPr>
      <w:r>
        <w:rPr>
          <w:color w:val="auto"/>
          <w:highlight w:val="none"/>
        </w:rPr>
        <w:t>常规处理流程的优点：</w:t>
      </w:r>
    </w:p>
    <w:p>
      <w:pPr>
        <w:ind w:firstLine="480"/>
        <w:rPr>
          <w:color w:val="auto"/>
          <w:highlight w:val="none"/>
        </w:rPr>
      </w:pPr>
      <w:r>
        <w:rPr>
          <w:color w:val="auto"/>
          <w:highlight w:val="none"/>
        </w:rPr>
        <w:t>（1）工艺流程技术成熟，运行稳定可靠，出水水质满足要求。</w:t>
      </w:r>
    </w:p>
    <w:p>
      <w:pPr>
        <w:ind w:firstLine="480"/>
        <w:rPr>
          <w:color w:val="auto"/>
          <w:highlight w:val="none"/>
        </w:rPr>
      </w:pPr>
      <w:r>
        <w:rPr>
          <w:color w:val="auto"/>
          <w:highlight w:val="none"/>
        </w:rPr>
        <w:t>（2）对水质变化的适应能力强，运行管理灵活。当水质指标在一定范围内恶 化时，可采取部分单元强化处理的方法，满足出水水质标准；当水质指标较好时， 可采取减少加药量或超越某单元的运行方法，适当降低运行成本。</w:t>
      </w:r>
    </w:p>
    <w:p>
      <w:pPr>
        <w:ind w:firstLine="480"/>
        <w:rPr>
          <w:color w:val="auto"/>
          <w:highlight w:val="none"/>
        </w:rPr>
      </w:pPr>
      <w:r>
        <w:rPr>
          <w:color w:val="auto"/>
          <w:highlight w:val="none"/>
        </w:rPr>
        <w:t>（3）投资低，运行成本低，设备寿命长，维修方便。</w:t>
      </w:r>
    </w:p>
    <w:p>
      <w:pPr>
        <w:ind w:firstLine="480"/>
        <w:rPr>
          <w:color w:val="auto"/>
          <w:highlight w:val="none"/>
        </w:rPr>
      </w:pPr>
      <w:r>
        <w:rPr>
          <w:color w:val="auto"/>
          <w:highlight w:val="none"/>
        </w:rPr>
        <w:t xml:space="preserve">（4）水的回收率较高。 </w:t>
      </w:r>
    </w:p>
    <w:p>
      <w:pPr>
        <w:ind w:firstLine="480"/>
        <w:rPr>
          <w:color w:val="auto"/>
          <w:highlight w:val="none"/>
        </w:rPr>
      </w:pPr>
      <w:r>
        <w:rPr>
          <w:color w:val="auto"/>
          <w:highlight w:val="none"/>
        </w:rPr>
        <w:t>常规处理流程的缺点：</w:t>
      </w:r>
    </w:p>
    <w:p>
      <w:pPr>
        <w:ind w:firstLine="480"/>
        <w:rPr>
          <w:color w:val="auto"/>
          <w:highlight w:val="none"/>
        </w:rPr>
      </w:pPr>
      <w:r>
        <w:rPr>
          <w:color w:val="auto"/>
          <w:highlight w:val="none"/>
        </w:rPr>
        <w:t>（1）工艺单元多，流程长。</w:t>
      </w:r>
    </w:p>
    <w:p>
      <w:pPr>
        <w:ind w:firstLine="480"/>
        <w:rPr>
          <w:color w:val="auto"/>
          <w:highlight w:val="none"/>
        </w:rPr>
      </w:pPr>
      <w:r>
        <w:rPr>
          <w:color w:val="auto"/>
          <w:highlight w:val="none"/>
        </w:rPr>
        <w:t>（2）构筑物多，占地面积较大。</w:t>
      </w:r>
    </w:p>
    <w:p>
      <w:pPr>
        <w:ind w:firstLine="480"/>
        <w:rPr>
          <w:color w:val="auto"/>
          <w:highlight w:val="none"/>
        </w:rPr>
      </w:pPr>
      <w:r>
        <w:rPr>
          <w:color w:val="auto"/>
          <w:highlight w:val="none"/>
        </w:rPr>
        <w:t>（3）自动化控制复杂，管理麻烦。</w:t>
      </w:r>
    </w:p>
    <w:p>
      <w:pPr>
        <w:ind w:firstLine="480"/>
        <w:rPr>
          <w:color w:val="auto"/>
          <w:highlight w:val="none"/>
        </w:rPr>
      </w:pPr>
      <w:r>
        <w:rPr>
          <w:color w:val="auto"/>
          <w:highlight w:val="none"/>
        </w:rPr>
        <w:t>（4）排泥水包括沉淀池排泥水和滤池反冲水，处理起来比较麻烦。投资成本较高。</w:t>
      </w:r>
    </w:p>
    <w:p>
      <w:pPr>
        <w:ind w:firstLine="480"/>
        <w:rPr>
          <w:rFonts w:cs="Times New Roman"/>
          <w:color w:val="auto"/>
          <w:highlight w:val="none"/>
        </w:rPr>
      </w:pPr>
      <w:r>
        <w:rPr>
          <w:rFonts w:cs="Times New Roman"/>
          <w:color w:val="auto"/>
          <w:highlight w:val="none"/>
        </w:rPr>
        <w:t>3、两种工艺比较</w:t>
      </w:r>
    </w:p>
    <w:p>
      <w:pPr>
        <w:pStyle w:val="12"/>
        <w:spacing w:after="0" w:line="240" w:lineRule="auto"/>
        <w:ind w:firstLine="0" w:firstLineChars="0"/>
        <w:jc w:val="left"/>
        <w:rPr>
          <w:rFonts w:eastAsia="黑体" w:cs="Times New Roman"/>
          <w:color w:val="auto"/>
          <w:highlight w:val="none"/>
        </w:rPr>
      </w:pPr>
      <w:r>
        <w:rPr>
          <w:rFonts w:eastAsia="黑体" w:cs="Times New Roman"/>
          <w:color w:val="auto"/>
          <w:highlight w:val="none"/>
        </w:rPr>
        <w:t xml:space="preserve">表 </w:t>
      </w:r>
      <w:r>
        <w:rPr>
          <w:rFonts w:eastAsia="Times New Roman" w:cs="Times New Roman"/>
          <w:color w:val="auto"/>
          <w:highlight w:val="none"/>
        </w:rPr>
        <w:t>5</w:t>
      </w:r>
      <w:r>
        <w:rPr>
          <w:rFonts w:hint="eastAsia" w:cs="Times New Roman" w:eastAsiaTheme="minorEastAsia"/>
          <w:color w:val="auto"/>
          <w:highlight w:val="none"/>
        </w:rPr>
        <w:t xml:space="preserve">.6-1                      </w:t>
      </w:r>
      <w:r>
        <w:rPr>
          <w:rFonts w:eastAsia="黑体" w:cs="Times New Roman"/>
          <w:color w:val="auto"/>
          <w:highlight w:val="none"/>
        </w:rPr>
        <w:t>两种工艺比较</w:t>
      </w:r>
    </w:p>
    <w:tbl>
      <w:tblPr>
        <w:tblStyle w:val="159"/>
        <w:tblW w:w="5000" w:type="pct"/>
        <w:jc w:val="right"/>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1584"/>
        <w:gridCol w:w="3237"/>
        <w:gridCol w:w="351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right"/>
        </w:trPr>
        <w:tc>
          <w:tcPr>
            <w:tcW w:w="950" w:type="pct"/>
            <w:vAlign w:val="center"/>
          </w:tcPr>
          <w:p>
            <w:pPr>
              <w:pStyle w:val="16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项目</w:t>
            </w:r>
          </w:p>
        </w:tc>
        <w:tc>
          <w:tcPr>
            <w:tcW w:w="1941" w:type="pct"/>
            <w:vAlign w:val="center"/>
          </w:tcPr>
          <w:p>
            <w:pPr>
              <w:pStyle w:val="16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常规处理流程</w:t>
            </w:r>
          </w:p>
        </w:tc>
        <w:tc>
          <w:tcPr>
            <w:tcW w:w="2108" w:type="pct"/>
            <w:vAlign w:val="center"/>
          </w:tcPr>
          <w:p>
            <w:pPr>
              <w:pStyle w:val="16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超滤短流程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right"/>
        </w:trPr>
        <w:tc>
          <w:tcPr>
            <w:tcW w:w="950" w:type="pct"/>
            <w:vAlign w:val="center"/>
          </w:tcPr>
          <w:p>
            <w:pPr>
              <w:pStyle w:val="16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处理流程</w:t>
            </w:r>
          </w:p>
        </w:tc>
        <w:tc>
          <w:tcPr>
            <w:tcW w:w="1941" w:type="pct"/>
            <w:vAlign w:val="center"/>
          </w:tcPr>
          <w:p>
            <w:pPr>
              <w:pStyle w:val="160"/>
              <w:jc w:val="center"/>
              <w:rPr>
                <w:rFonts w:ascii="Times New Roman" w:hAnsi="Times New Roman" w:eastAsia="宋体" w:cs="Times New Roman"/>
                <w:color w:val="auto"/>
                <w:sz w:val="21"/>
                <w:szCs w:val="21"/>
                <w:highlight w:val="none"/>
                <w:lang w:eastAsia="zh-CN"/>
              </w:rPr>
            </w:pPr>
            <w:r>
              <w:rPr>
                <w:rFonts w:ascii="Times New Roman" w:hAnsi="Times New Roman" w:eastAsia="宋体" w:cs="Times New Roman"/>
                <w:color w:val="auto"/>
                <w:sz w:val="21"/>
                <w:szCs w:val="21"/>
                <w:highlight w:val="none"/>
                <w:lang w:eastAsia="zh-CN"/>
              </w:rPr>
              <w:t>絮凝</w:t>
            </w:r>
            <w:r>
              <w:rPr>
                <w:rFonts w:ascii="Times New Roman" w:hAnsi="Times New Roman" w:eastAsia="Times New Roman" w:cs="Times New Roman"/>
                <w:color w:val="auto"/>
                <w:sz w:val="21"/>
                <w:szCs w:val="21"/>
                <w:highlight w:val="none"/>
                <w:lang w:eastAsia="zh-CN"/>
              </w:rPr>
              <w:t>—</w:t>
            </w:r>
            <w:r>
              <w:rPr>
                <w:rFonts w:ascii="Times New Roman" w:hAnsi="Times New Roman" w:eastAsia="宋体" w:cs="Times New Roman"/>
                <w:color w:val="auto"/>
                <w:sz w:val="21"/>
                <w:szCs w:val="21"/>
                <w:highlight w:val="none"/>
                <w:lang w:eastAsia="zh-CN"/>
              </w:rPr>
              <w:t>沉淀</w:t>
            </w:r>
            <w:r>
              <w:rPr>
                <w:rFonts w:ascii="Times New Roman" w:hAnsi="Times New Roman" w:eastAsia="Times New Roman" w:cs="Times New Roman"/>
                <w:color w:val="auto"/>
                <w:sz w:val="21"/>
                <w:szCs w:val="21"/>
                <w:highlight w:val="none"/>
                <w:lang w:eastAsia="zh-CN"/>
              </w:rPr>
              <w:t>—</w:t>
            </w:r>
            <w:r>
              <w:rPr>
                <w:rFonts w:ascii="Times New Roman" w:hAnsi="Times New Roman" w:eastAsia="宋体" w:cs="Times New Roman"/>
                <w:color w:val="auto"/>
                <w:sz w:val="21"/>
                <w:szCs w:val="21"/>
                <w:highlight w:val="none"/>
                <w:lang w:eastAsia="zh-CN"/>
              </w:rPr>
              <w:t>过滤</w:t>
            </w:r>
            <w:r>
              <w:rPr>
                <w:rFonts w:ascii="Times New Roman" w:hAnsi="Times New Roman" w:eastAsia="Times New Roman" w:cs="Times New Roman"/>
                <w:color w:val="auto"/>
                <w:sz w:val="21"/>
                <w:szCs w:val="21"/>
                <w:highlight w:val="none"/>
                <w:lang w:eastAsia="zh-CN"/>
              </w:rPr>
              <w:t>—</w:t>
            </w:r>
            <w:r>
              <w:rPr>
                <w:rFonts w:ascii="Times New Roman" w:hAnsi="Times New Roman" w:eastAsia="宋体" w:cs="Times New Roman"/>
                <w:color w:val="auto"/>
                <w:sz w:val="21"/>
                <w:szCs w:val="21"/>
                <w:highlight w:val="none"/>
                <w:lang w:eastAsia="zh-CN"/>
              </w:rPr>
              <w:t>消毒</w:t>
            </w:r>
          </w:p>
        </w:tc>
        <w:tc>
          <w:tcPr>
            <w:tcW w:w="2108" w:type="pct"/>
            <w:vAlign w:val="center"/>
          </w:tcPr>
          <w:p>
            <w:pPr>
              <w:pStyle w:val="16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超滤膜组件</w:t>
            </w:r>
            <w:r>
              <w:rPr>
                <w:rFonts w:ascii="Times New Roman" w:hAnsi="Times New Roman" w:eastAsia="Times New Roman" w:cs="Times New Roman"/>
                <w:color w:val="auto"/>
                <w:sz w:val="21"/>
                <w:szCs w:val="21"/>
                <w:highlight w:val="none"/>
              </w:rPr>
              <w:t>—</w:t>
            </w:r>
            <w:r>
              <w:rPr>
                <w:rFonts w:ascii="Times New Roman" w:hAnsi="Times New Roman" w:eastAsia="宋体" w:cs="Times New Roman"/>
                <w:color w:val="auto"/>
                <w:sz w:val="21"/>
                <w:szCs w:val="21"/>
                <w:highlight w:val="none"/>
              </w:rPr>
              <w:t>消毒</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right"/>
        </w:trPr>
        <w:tc>
          <w:tcPr>
            <w:tcW w:w="950" w:type="pct"/>
            <w:vAlign w:val="center"/>
          </w:tcPr>
          <w:p>
            <w:pPr>
              <w:pStyle w:val="16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占地</w:t>
            </w:r>
          </w:p>
        </w:tc>
        <w:tc>
          <w:tcPr>
            <w:tcW w:w="1941" w:type="pct"/>
            <w:vAlign w:val="center"/>
          </w:tcPr>
          <w:p>
            <w:pPr>
              <w:pStyle w:val="16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较大</w:t>
            </w:r>
          </w:p>
        </w:tc>
        <w:tc>
          <w:tcPr>
            <w:tcW w:w="2108" w:type="pct"/>
            <w:vAlign w:val="center"/>
          </w:tcPr>
          <w:p>
            <w:pPr>
              <w:pStyle w:val="16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right"/>
        </w:trPr>
        <w:tc>
          <w:tcPr>
            <w:tcW w:w="950" w:type="pct"/>
            <w:vAlign w:val="center"/>
          </w:tcPr>
          <w:p>
            <w:pPr>
              <w:pStyle w:val="16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投资</w:t>
            </w:r>
          </w:p>
        </w:tc>
        <w:tc>
          <w:tcPr>
            <w:tcW w:w="1941" w:type="pct"/>
            <w:vAlign w:val="center"/>
          </w:tcPr>
          <w:p>
            <w:pPr>
              <w:pStyle w:val="16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小</w:t>
            </w:r>
          </w:p>
        </w:tc>
        <w:tc>
          <w:tcPr>
            <w:tcW w:w="2108" w:type="pct"/>
            <w:vAlign w:val="center"/>
          </w:tcPr>
          <w:p>
            <w:pPr>
              <w:pStyle w:val="16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较大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right"/>
        </w:trPr>
        <w:tc>
          <w:tcPr>
            <w:tcW w:w="950" w:type="pct"/>
            <w:vAlign w:val="center"/>
          </w:tcPr>
          <w:p>
            <w:pPr>
              <w:pStyle w:val="16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自动化要求</w:t>
            </w:r>
          </w:p>
        </w:tc>
        <w:tc>
          <w:tcPr>
            <w:tcW w:w="1941" w:type="pct"/>
            <w:vAlign w:val="center"/>
          </w:tcPr>
          <w:p>
            <w:pPr>
              <w:pStyle w:val="16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较低</w:t>
            </w:r>
          </w:p>
        </w:tc>
        <w:tc>
          <w:tcPr>
            <w:tcW w:w="2108" w:type="pct"/>
            <w:vAlign w:val="center"/>
          </w:tcPr>
          <w:p>
            <w:pPr>
              <w:pStyle w:val="16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较高</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right"/>
        </w:trPr>
        <w:tc>
          <w:tcPr>
            <w:tcW w:w="950" w:type="pct"/>
            <w:vAlign w:val="center"/>
          </w:tcPr>
          <w:p>
            <w:pPr>
              <w:pStyle w:val="16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药剂消耗</w:t>
            </w:r>
          </w:p>
        </w:tc>
        <w:tc>
          <w:tcPr>
            <w:tcW w:w="1941" w:type="pct"/>
            <w:vAlign w:val="center"/>
          </w:tcPr>
          <w:p>
            <w:pPr>
              <w:pStyle w:val="16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较多</w:t>
            </w:r>
          </w:p>
        </w:tc>
        <w:tc>
          <w:tcPr>
            <w:tcW w:w="2108" w:type="pct"/>
            <w:vAlign w:val="center"/>
          </w:tcPr>
          <w:p>
            <w:pPr>
              <w:pStyle w:val="16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right"/>
        </w:trPr>
        <w:tc>
          <w:tcPr>
            <w:tcW w:w="950" w:type="pct"/>
            <w:vAlign w:val="center"/>
          </w:tcPr>
          <w:p>
            <w:pPr>
              <w:pStyle w:val="16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维修费用</w:t>
            </w:r>
          </w:p>
        </w:tc>
        <w:tc>
          <w:tcPr>
            <w:tcW w:w="1941" w:type="pct"/>
            <w:vAlign w:val="center"/>
          </w:tcPr>
          <w:p>
            <w:pPr>
              <w:pStyle w:val="16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较低</w:t>
            </w:r>
          </w:p>
        </w:tc>
        <w:tc>
          <w:tcPr>
            <w:tcW w:w="2108" w:type="pct"/>
            <w:vAlign w:val="center"/>
          </w:tcPr>
          <w:p>
            <w:pPr>
              <w:pStyle w:val="160"/>
              <w:jc w:val="center"/>
              <w:rPr>
                <w:rFonts w:ascii="Times New Roman" w:hAnsi="Times New Roman" w:eastAsia="宋体" w:cs="Times New Roman"/>
                <w:color w:val="auto"/>
                <w:sz w:val="21"/>
                <w:szCs w:val="21"/>
                <w:highlight w:val="none"/>
                <w:lang w:eastAsia="zh-CN"/>
              </w:rPr>
            </w:pPr>
            <w:r>
              <w:rPr>
                <w:rFonts w:ascii="Times New Roman" w:hAnsi="Times New Roman" w:eastAsia="宋体" w:cs="Times New Roman"/>
                <w:color w:val="auto"/>
                <w:sz w:val="21"/>
                <w:szCs w:val="21"/>
                <w:highlight w:val="none"/>
                <w:lang w:eastAsia="zh-CN"/>
              </w:rPr>
              <w:t>较高，超滤膜的寿命在</w:t>
            </w:r>
            <w:r>
              <w:rPr>
                <w:rFonts w:ascii="Times New Roman" w:hAnsi="Times New Roman" w:eastAsia="宋体" w:cs="Times New Roman"/>
                <w:color w:val="auto"/>
                <w:spacing w:val="-54"/>
                <w:sz w:val="21"/>
                <w:szCs w:val="21"/>
                <w:highlight w:val="none"/>
                <w:lang w:eastAsia="zh-CN"/>
              </w:rPr>
              <w:t xml:space="preserve"> </w:t>
            </w:r>
            <w:r>
              <w:rPr>
                <w:rFonts w:ascii="Times New Roman" w:hAnsi="Times New Roman" w:eastAsia="Times New Roman" w:cs="Times New Roman"/>
                <w:color w:val="auto"/>
                <w:sz w:val="21"/>
                <w:szCs w:val="21"/>
                <w:highlight w:val="none"/>
                <w:lang w:eastAsia="zh-CN"/>
              </w:rPr>
              <w:t>3~5</w:t>
            </w:r>
            <w:r>
              <w:rPr>
                <w:rFonts w:ascii="Times New Roman" w:hAnsi="Times New Roman" w:eastAsia="Times New Roman" w:cs="Times New Roman"/>
                <w:color w:val="auto"/>
                <w:spacing w:val="-1"/>
                <w:sz w:val="21"/>
                <w:szCs w:val="21"/>
                <w:highlight w:val="none"/>
                <w:lang w:eastAsia="zh-CN"/>
              </w:rPr>
              <w:t xml:space="preserve"> </w:t>
            </w:r>
            <w:r>
              <w:rPr>
                <w:rFonts w:ascii="Times New Roman" w:hAnsi="Times New Roman" w:eastAsia="宋体" w:cs="Times New Roman"/>
                <w:color w:val="auto"/>
                <w:sz w:val="21"/>
                <w:szCs w:val="21"/>
                <w:highlight w:val="none"/>
                <w:lang w:eastAsia="zh-CN"/>
              </w:rPr>
              <w:t>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right"/>
        </w:trPr>
        <w:tc>
          <w:tcPr>
            <w:tcW w:w="950" w:type="pct"/>
            <w:vAlign w:val="center"/>
          </w:tcPr>
          <w:p>
            <w:pPr>
              <w:pStyle w:val="16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综合制水成本</w:t>
            </w:r>
          </w:p>
        </w:tc>
        <w:tc>
          <w:tcPr>
            <w:tcW w:w="1941" w:type="pct"/>
            <w:vAlign w:val="center"/>
          </w:tcPr>
          <w:p>
            <w:pPr>
              <w:pStyle w:val="16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较低</w:t>
            </w:r>
          </w:p>
        </w:tc>
        <w:tc>
          <w:tcPr>
            <w:tcW w:w="2108" w:type="pct"/>
            <w:vAlign w:val="center"/>
          </w:tcPr>
          <w:p>
            <w:pPr>
              <w:pStyle w:val="16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较高</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right"/>
        </w:trPr>
        <w:tc>
          <w:tcPr>
            <w:tcW w:w="950" w:type="pct"/>
            <w:vAlign w:val="center"/>
          </w:tcPr>
          <w:p>
            <w:pPr>
              <w:pStyle w:val="16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产水率</w:t>
            </w:r>
          </w:p>
        </w:tc>
        <w:tc>
          <w:tcPr>
            <w:tcW w:w="1941" w:type="pct"/>
            <w:vAlign w:val="center"/>
          </w:tcPr>
          <w:p>
            <w:pPr>
              <w:pStyle w:val="160"/>
              <w:jc w:val="center"/>
              <w:rPr>
                <w:rFonts w:ascii="Times New Roman" w:hAnsi="Times New Roman" w:eastAsia="Times New Roman" w:cs="Times New Roman"/>
                <w:color w:val="auto"/>
                <w:sz w:val="21"/>
                <w:szCs w:val="21"/>
                <w:highlight w:val="none"/>
              </w:rPr>
            </w:pPr>
            <w:r>
              <w:rPr>
                <w:rFonts w:ascii="Times New Roman" w:hAnsi="Times New Roman" w:eastAsia="宋体" w:cs="Times New Roman"/>
                <w:color w:val="auto"/>
                <w:sz w:val="21"/>
                <w:szCs w:val="21"/>
                <w:highlight w:val="none"/>
              </w:rPr>
              <w:t>较高，大于</w:t>
            </w:r>
            <w:r>
              <w:rPr>
                <w:rFonts w:ascii="Times New Roman" w:hAnsi="Times New Roman" w:eastAsia="宋体" w:cs="Times New Roman"/>
                <w:color w:val="auto"/>
                <w:spacing w:val="-51"/>
                <w:sz w:val="21"/>
                <w:szCs w:val="21"/>
                <w:highlight w:val="none"/>
              </w:rPr>
              <w:t xml:space="preserve"> </w:t>
            </w:r>
            <w:r>
              <w:rPr>
                <w:rFonts w:ascii="Times New Roman" w:hAnsi="Times New Roman" w:eastAsia="Times New Roman" w:cs="Times New Roman"/>
                <w:color w:val="auto"/>
                <w:sz w:val="21"/>
                <w:szCs w:val="21"/>
                <w:highlight w:val="none"/>
              </w:rPr>
              <w:t>90%</w:t>
            </w:r>
          </w:p>
        </w:tc>
        <w:tc>
          <w:tcPr>
            <w:tcW w:w="2108" w:type="pct"/>
            <w:vAlign w:val="center"/>
          </w:tcPr>
          <w:p>
            <w:pPr>
              <w:pStyle w:val="160"/>
              <w:jc w:val="center"/>
              <w:rPr>
                <w:rFonts w:ascii="Times New Roman" w:hAnsi="Times New Roman" w:eastAsia="Times New Roman" w:cs="Times New Roman"/>
                <w:color w:val="auto"/>
                <w:sz w:val="21"/>
                <w:szCs w:val="21"/>
                <w:highlight w:val="none"/>
              </w:rPr>
            </w:pPr>
            <w:r>
              <w:rPr>
                <w:rFonts w:ascii="Times New Roman" w:hAnsi="Times New Roman" w:eastAsia="宋体" w:cs="Times New Roman"/>
                <w:color w:val="auto"/>
                <w:sz w:val="21"/>
                <w:szCs w:val="21"/>
                <w:highlight w:val="none"/>
              </w:rPr>
              <w:t>较低，约</w:t>
            </w:r>
            <w:r>
              <w:rPr>
                <w:rFonts w:ascii="Times New Roman" w:hAnsi="Times New Roman" w:eastAsia="宋体" w:cs="Times New Roman"/>
                <w:color w:val="auto"/>
                <w:spacing w:val="-52"/>
                <w:sz w:val="21"/>
                <w:szCs w:val="21"/>
                <w:highlight w:val="none"/>
              </w:rPr>
              <w:t xml:space="preserve"> </w:t>
            </w:r>
            <w:r>
              <w:rPr>
                <w:rFonts w:ascii="Times New Roman" w:hAnsi="Times New Roman" w:eastAsia="Times New Roman" w:cs="Times New Roman"/>
                <w:color w:val="auto"/>
                <w:sz w:val="21"/>
                <w:szCs w:val="21"/>
                <w:highlight w:val="none"/>
              </w:rPr>
              <w:t>90%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right"/>
        </w:trPr>
        <w:tc>
          <w:tcPr>
            <w:tcW w:w="950" w:type="pct"/>
            <w:vAlign w:val="center"/>
          </w:tcPr>
          <w:p>
            <w:pPr>
              <w:pStyle w:val="16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排泥水处理</w:t>
            </w:r>
          </w:p>
        </w:tc>
        <w:tc>
          <w:tcPr>
            <w:tcW w:w="1941" w:type="pct"/>
            <w:vAlign w:val="center"/>
          </w:tcPr>
          <w:p>
            <w:pPr>
              <w:pStyle w:val="16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量小、成本较高</w:t>
            </w:r>
          </w:p>
        </w:tc>
        <w:tc>
          <w:tcPr>
            <w:tcW w:w="2108" w:type="pct"/>
            <w:vAlign w:val="center"/>
          </w:tcPr>
          <w:p>
            <w:pPr>
              <w:pStyle w:val="16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量大</w:t>
            </w:r>
          </w:p>
        </w:tc>
      </w:tr>
    </w:tbl>
    <w:p>
      <w:pPr>
        <w:ind w:firstLine="480"/>
        <w:rPr>
          <w:rFonts w:cs="Times New Roman"/>
          <w:color w:val="auto"/>
          <w:highlight w:val="none"/>
        </w:rPr>
      </w:pPr>
      <w:r>
        <w:rPr>
          <w:color w:val="auto"/>
          <w:highlight w:val="none"/>
        </w:rPr>
        <w:t>根据以上综合比较，本项目水处理工艺采用常规处理流程即：絮凝—沉淀—过滤—消毒</w:t>
      </w:r>
      <w:r>
        <w:rPr>
          <w:rFonts w:cs="Times New Roman"/>
          <w:color w:val="auto"/>
          <w:highlight w:val="none"/>
        </w:rPr>
        <w:t>。</w:t>
      </w:r>
    </w:p>
    <w:p>
      <w:pPr>
        <w:pStyle w:val="4"/>
        <w:rPr>
          <w:color w:val="auto"/>
          <w:highlight w:val="none"/>
        </w:rPr>
      </w:pPr>
      <w:bookmarkStart w:id="56" w:name="_Toc37884295"/>
      <w:r>
        <w:rPr>
          <w:rFonts w:hint="eastAsia"/>
          <w:color w:val="auto"/>
          <w:highlight w:val="none"/>
        </w:rPr>
        <w:t>5.6.4</w:t>
      </w:r>
      <w:r>
        <w:rPr>
          <w:color w:val="auto"/>
          <w:highlight w:val="none"/>
        </w:rPr>
        <w:t>混凝沉淀工艺比选</w:t>
      </w:r>
      <w:bookmarkEnd w:id="56"/>
    </w:p>
    <w:p>
      <w:pPr>
        <w:ind w:firstLine="480"/>
        <w:rPr>
          <w:color w:val="auto"/>
          <w:highlight w:val="none"/>
        </w:rPr>
      </w:pPr>
      <w:r>
        <w:rPr>
          <w:color w:val="auto"/>
          <w:highlight w:val="none"/>
        </w:rPr>
        <w:t>混凝沉淀工艺就是在原水中加入适当</w:t>
      </w:r>
      <w:bookmarkStart w:id="57" w:name="5.5.6混凝沉淀工艺比选"/>
      <w:bookmarkEnd w:id="57"/>
      <w:r>
        <w:rPr>
          <w:color w:val="auto"/>
          <w:highlight w:val="none"/>
        </w:rPr>
        <w:t>的促凝剂（混凝剂、助凝剂），使杂质微 粒互相凝聚成大颗粒，从而通过沉淀分离的方式从水中分离出去。该工艺设在过滤</w:t>
      </w:r>
      <w:r>
        <w:rPr>
          <w:color w:val="auto"/>
          <w:spacing w:val="-100"/>
          <w:highlight w:val="none"/>
        </w:rPr>
        <w:t xml:space="preserve"> </w:t>
      </w:r>
      <w:r>
        <w:rPr>
          <w:color w:val="auto"/>
          <w:spacing w:val="-4"/>
          <w:highlight w:val="none"/>
        </w:rPr>
        <w:t>之前，为滤池进水浊度指标的控制单元，一般要求絮凝沉淀池出水浊度在</w:t>
      </w:r>
      <w:r>
        <w:rPr>
          <w:color w:val="auto"/>
          <w:spacing w:val="-49"/>
          <w:highlight w:val="none"/>
        </w:rPr>
        <w:t xml:space="preserve"> </w:t>
      </w:r>
      <w:r>
        <w:rPr>
          <w:rFonts w:eastAsia="Times New Roman"/>
          <w:color w:val="auto"/>
          <w:highlight w:val="none"/>
        </w:rPr>
        <w:t>5NTU</w:t>
      </w:r>
      <w:r>
        <w:rPr>
          <w:rFonts w:eastAsia="Times New Roman"/>
          <w:color w:val="auto"/>
          <w:spacing w:val="9"/>
          <w:highlight w:val="none"/>
        </w:rPr>
        <w:t xml:space="preserve"> </w:t>
      </w:r>
      <w:r>
        <w:rPr>
          <w:color w:val="auto"/>
          <w:highlight w:val="none"/>
        </w:rPr>
        <w:t>左</w:t>
      </w:r>
      <w:r>
        <w:rPr>
          <w:color w:val="auto"/>
          <w:spacing w:val="-118"/>
          <w:highlight w:val="none"/>
        </w:rPr>
        <w:t xml:space="preserve"> </w:t>
      </w:r>
      <w:r>
        <w:rPr>
          <w:color w:val="auto"/>
          <w:highlight w:val="none"/>
        </w:rPr>
        <w:t>右，最大一般不大于</w:t>
      </w:r>
      <w:r>
        <w:rPr>
          <w:color w:val="auto"/>
          <w:spacing w:val="-63"/>
          <w:highlight w:val="none"/>
        </w:rPr>
        <w:t xml:space="preserve"> </w:t>
      </w:r>
      <w:r>
        <w:rPr>
          <w:rFonts w:eastAsia="Times New Roman"/>
          <w:color w:val="auto"/>
          <w:highlight w:val="none"/>
        </w:rPr>
        <w:t>10NTU</w:t>
      </w:r>
      <w:r>
        <w:rPr>
          <w:color w:val="auto"/>
          <w:highlight w:val="none"/>
        </w:rPr>
        <w:t>。</w:t>
      </w:r>
    </w:p>
    <w:p>
      <w:pPr>
        <w:ind w:firstLine="480"/>
        <w:rPr>
          <w:color w:val="auto"/>
          <w:highlight w:val="none"/>
        </w:rPr>
      </w:pPr>
      <w:r>
        <w:rPr>
          <w:color w:val="auto"/>
          <w:highlight w:val="none"/>
        </w:rPr>
        <w:t>混凝沉淀工艺主要包括混合区、絮凝反应区和沉淀区组成。</w:t>
      </w:r>
    </w:p>
    <w:p>
      <w:pPr>
        <w:ind w:firstLine="480"/>
        <w:rPr>
          <w:color w:val="auto"/>
          <w:highlight w:val="none"/>
        </w:rPr>
      </w:pPr>
      <w:r>
        <w:rPr>
          <w:color w:val="auto"/>
          <w:highlight w:val="none"/>
        </w:rPr>
        <w:t>1、混合区</w:t>
      </w:r>
    </w:p>
    <w:p>
      <w:pPr>
        <w:ind w:firstLine="480"/>
        <w:rPr>
          <w:color w:val="auto"/>
          <w:highlight w:val="none"/>
        </w:rPr>
      </w:pPr>
      <w:r>
        <w:rPr>
          <w:color w:val="auto"/>
          <w:highlight w:val="none"/>
        </w:rPr>
        <w:t>混合是原水与混凝剂进行充分混合的工艺过程，</w:t>
      </w:r>
      <w:bookmarkStart w:id="58" w:name="1、混合区"/>
      <w:bookmarkEnd w:id="58"/>
      <w:r>
        <w:rPr>
          <w:color w:val="auto"/>
          <w:highlight w:val="none"/>
        </w:rPr>
        <w:t>是进行絮凝和沉淀的重要前提，混合是混凝剂的水解产物迅速混合到水体的每一个细部，并使水中胶体颗粒脱稳的</w:t>
      </w:r>
      <w:r>
        <w:rPr>
          <w:color w:val="auto"/>
          <w:spacing w:val="-101"/>
          <w:highlight w:val="none"/>
        </w:rPr>
        <w:t xml:space="preserve"> </w:t>
      </w:r>
      <w:r>
        <w:rPr>
          <w:color w:val="auto"/>
          <w:highlight w:val="none"/>
        </w:rPr>
        <w:t>过程。</w:t>
      </w:r>
    </w:p>
    <w:p>
      <w:pPr>
        <w:ind w:firstLine="480"/>
        <w:rPr>
          <w:color w:val="auto"/>
          <w:highlight w:val="none"/>
        </w:rPr>
      </w:pPr>
      <w:r>
        <w:rPr>
          <w:color w:val="auto"/>
          <w:highlight w:val="none"/>
        </w:rPr>
        <w:t>混合的方式有很多种，常见的混合方式有管式静态混合器混合、机械混合、直列式混合器混合等。</w:t>
      </w:r>
    </w:p>
    <w:p>
      <w:pPr>
        <w:ind w:firstLine="456"/>
        <w:rPr>
          <w:color w:val="auto"/>
          <w:highlight w:val="none"/>
        </w:rPr>
      </w:pPr>
      <w:r>
        <w:rPr>
          <w:rFonts w:eastAsia="Times New Roman"/>
          <w:color w:val="auto"/>
          <w:spacing w:val="-6"/>
          <w:highlight w:val="none"/>
        </w:rPr>
        <w:t>a</w:t>
      </w:r>
      <w:r>
        <w:rPr>
          <w:color w:val="auto"/>
          <w:spacing w:val="-6"/>
          <w:highlight w:val="none"/>
        </w:rPr>
        <w:t>．管式静态混合器混合：管式静态混合器混合是在管道内设置多节固定叶片，</w:t>
      </w:r>
      <w:r>
        <w:rPr>
          <w:color w:val="auto"/>
          <w:highlight w:val="none"/>
        </w:rPr>
        <w:t xml:space="preserve"> 使水流产生涡流反应，同时产生涡旋反向旋转及交叉流动，从而获得混合效果。它</w:t>
      </w:r>
      <w:r>
        <w:rPr>
          <w:color w:val="auto"/>
          <w:spacing w:val="-99"/>
          <w:highlight w:val="none"/>
        </w:rPr>
        <w:t xml:space="preserve"> </w:t>
      </w:r>
      <w:r>
        <w:rPr>
          <w:color w:val="auto"/>
          <w:highlight w:val="none"/>
        </w:rPr>
        <w:t>的优点设备简单，维护管理方便，不需土建构筑物，在设计流量范围内混合效果较</w:t>
      </w:r>
      <w:r>
        <w:rPr>
          <w:color w:val="auto"/>
          <w:spacing w:val="-99"/>
          <w:highlight w:val="none"/>
        </w:rPr>
        <w:t xml:space="preserve"> </w:t>
      </w:r>
      <w:r>
        <w:rPr>
          <w:color w:val="auto"/>
          <w:highlight w:val="none"/>
        </w:rPr>
        <w:t>好，不需外加动力设备；其缺点是运行水量变化对混合效果的影响很大，水头损失</w:t>
      </w:r>
      <w:r>
        <w:rPr>
          <w:color w:val="auto"/>
          <w:spacing w:val="-99"/>
          <w:highlight w:val="none"/>
        </w:rPr>
        <w:t xml:space="preserve"> </w:t>
      </w:r>
      <w:r>
        <w:rPr>
          <w:color w:val="auto"/>
          <w:highlight w:val="none"/>
        </w:rPr>
        <w:t>大，混合器构造较复杂，适用水量变化不大的水厂。</w:t>
      </w:r>
    </w:p>
    <w:p>
      <w:pPr>
        <w:ind w:firstLine="480"/>
        <w:rPr>
          <w:color w:val="auto"/>
          <w:highlight w:val="none"/>
        </w:rPr>
      </w:pPr>
      <w:r>
        <w:rPr>
          <w:rFonts w:eastAsia="Times New Roman"/>
          <w:color w:val="auto"/>
          <w:highlight w:val="none"/>
        </w:rPr>
        <w:t>b</w:t>
      </w:r>
      <w:r>
        <w:rPr>
          <w:color w:val="auto"/>
          <w:highlight w:val="none"/>
        </w:rPr>
        <w:t xml:space="preserve">．机械混合：依靠外部机械供给能量，使水流产生紊流，它的优点是水头损 </w:t>
      </w:r>
      <w:r>
        <w:rPr>
          <w:color w:val="auto"/>
          <w:spacing w:val="-3"/>
          <w:highlight w:val="none"/>
        </w:rPr>
        <w:t>失较小，适应各种流量变化，能使药剂迅速而均匀的扩散至水体中，同时使胶体颗</w:t>
      </w:r>
      <w:r>
        <w:rPr>
          <w:color w:val="auto"/>
          <w:spacing w:val="-99"/>
          <w:highlight w:val="none"/>
        </w:rPr>
        <w:t xml:space="preserve"> </w:t>
      </w:r>
      <w:r>
        <w:rPr>
          <w:color w:val="auto"/>
          <w:spacing w:val="-3"/>
          <w:highlight w:val="none"/>
        </w:rPr>
        <w:t>粒脱稳。缺点是增加相应的机械设备、需消耗电能、同时也相应增加了机械设备的</w:t>
      </w:r>
      <w:r>
        <w:rPr>
          <w:color w:val="auto"/>
          <w:spacing w:val="-99"/>
          <w:highlight w:val="none"/>
        </w:rPr>
        <w:t xml:space="preserve"> </w:t>
      </w:r>
      <w:r>
        <w:rPr>
          <w:color w:val="auto"/>
          <w:highlight w:val="none"/>
        </w:rPr>
        <w:t>维修及保养工作，管理维修比较复杂。需要建混合池，增加占地。</w:t>
      </w:r>
    </w:p>
    <w:p>
      <w:pPr>
        <w:ind w:firstLine="480"/>
        <w:rPr>
          <w:color w:val="auto"/>
          <w:highlight w:val="none"/>
        </w:rPr>
      </w:pPr>
      <w:r>
        <w:rPr>
          <w:color w:val="auto"/>
          <w:highlight w:val="none"/>
        </w:rPr>
        <w:t>本项目选用管式静态混合器混合。</w:t>
      </w:r>
    </w:p>
    <w:p>
      <w:pPr>
        <w:ind w:firstLine="480"/>
        <w:rPr>
          <w:color w:val="auto"/>
          <w:highlight w:val="none"/>
        </w:rPr>
      </w:pPr>
      <w:r>
        <w:rPr>
          <w:rFonts w:eastAsia="Times New Roman"/>
          <w:color w:val="auto"/>
          <w:highlight w:val="none"/>
        </w:rPr>
        <w:t>2</w:t>
      </w:r>
      <w:r>
        <w:rPr>
          <w:color w:val="auto"/>
          <w:highlight w:val="none"/>
        </w:rPr>
        <w:t>、絮凝反应区</w:t>
      </w:r>
    </w:p>
    <w:p>
      <w:pPr>
        <w:ind w:firstLine="480"/>
        <w:rPr>
          <w:color w:val="auto"/>
          <w:highlight w:val="none"/>
        </w:rPr>
      </w:pPr>
      <w:r>
        <w:rPr>
          <w:color w:val="auto"/>
          <w:highlight w:val="none"/>
        </w:rPr>
        <w:t>凝过程就是使具有絮凝性能的微絮粒相互碰撞，从而形成较大的絮粒，以适应沉淀分离的要求。为了达到完善的絮凝效果，必须具备两个主要条件：一是具有</w:t>
      </w:r>
      <w:r>
        <w:rPr>
          <w:color w:val="auto"/>
          <w:spacing w:val="-99"/>
          <w:highlight w:val="none"/>
        </w:rPr>
        <w:t xml:space="preserve"> </w:t>
      </w:r>
      <w:r>
        <w:rPr>
          <w:color w:val="auto"/>
          <w:highlight w:val="none"/>
        </w:rPr>
        <w:t>充分絮凝能力的颗粒；二是保证颗粒获得适当的碰撞接触而又不致破坏的水力条件。</w:t>
      </w:r>
      <w:r>
        <w:rPr>
          <w:color w:val="auto"/>
          <w:spacing w:val="-98"/>
          <w:highlight w:val="none"/>
        </w:rPr>
        <w:t xml:space="preserve"> </w:t>
      </w:r>
      <w:r>
        <w:rPr>
          <w:color w:val="auto"/>
          <w:highlight w:val="none"/>
        </w:rPr>
        <w:t>根据水质、水量、净水工艺高程布置、沉淀池形式及维修条件等因素确定絮凝池的</w:t>
      </w:r>
      <w:r>
        <w:rPr>
          <w:color w:val="auto"/>
          <w:spacing w:val="-102"/>
          <w:highlight w:val="none"/>
        </w:rPr>
        <w:t xml:space="preserve"> </w:t>
      </w:r>
      <w:r>
        <w:rPr>
          <w:color w:val="auto"/>
          <w:highlight w:val="none"/>
        </w:rPr>
        <w:t>形式，其形式很多：折板絮凝池、机械絮凝池、网格絮凝池、星形絮凝池等多种形</w:t>
      </w:r>
      <w:r>
        <w:rPr>
          <w:color w:val="auto"/>
          <w:spacing w:val="-103"/>
          <w:highlight w:val="none"/>
        </w:rPr>
        <w:t xml:space="preserve"> </w:t>
      </w:r>
      <w:r>
        <w:rPr>
          <w:color w:val="auto"/>
          <w:highlight w:val="none"/>
        </w:rPr>
        <w:t>式。</w:t>
      </w:r>
    </w:p>
    <w:p>
      <w:pPr>
        <w:ind w:firstLine="480"/>
        <w:rPr>
          <w:color w:val="auto"/>
          <w:highlight w:val="none"/>
        </w:rPr>
      </w:pPr>
      <w:r>
        <w:rPr>
          <w:rFonts w:eastAsia="Times New Roman"/>
          <w:color w:val="auto"/>
          <w:highlight w:val="none"/>
        </w:rPr>
        <w:t>a</w:t>
      </w:r>
      <w:r>
        <w:rPr>
          <w:color w:val="auto"/>
          <w:highlight w:val="none"/>
        </w:rPr>
        <w:t>．折板絮凝池：它是利用在池中加设一些扰流单元以达到絮凝所要求的紊流</w:t>
      </w:r>
      <w:r>
        <w:rPr>
          <w:color w:val="auto"/>
          <w:spacing w:val="2"/>
          <w:highlight w:val="none"/>
        </w:rPr>
        <w:t xml:space="preserve"> </w:t>
      </w:r>
      <w:r>
        <w:rPr>
          <w:color w:val="auto"/>
          <w:highlight w:val="none"/>
        </w:rPr>
        <w:t>状态，使能量损失得到充分利用，能耗降低，停留时间有所缩短。折板絮凝具有多</w:t>
      </w:r>
      <w:r>
        <w:rPr>
          <w:color w:val="auto"/>
          <w:spacing w:val="-100"/>
          <w:highlight w:val="none"/>
        </w:rPr>
        <w:t xml:space="preserve"> </w:t>
      </w:r>
      <w:r>
        <w:rPr>
          <w:color w:val="auto"/>
          <w:highlight w:val="none"/>
        </w:rPr>
        <w:t>种型式，常用的有多通道和单通道的平折板、波纹板等。折板絮凝池可布置成竖流</w:t>
      </w:r>
      <w:r>
        <w:rPr>
          <w:color w:val="auto"/>
          <w:spacing w:val="-99"/>
          <w:highlight w:val="none"/>
        </w:rPr>
        <w:t xml:space="preserve"> </w:t>
      </w:r>
      <w:r>
        <w:rPr>
          <w:color w:val="auto"/>
          <w:highlight w:val="none"/>
        </w:rPr>
        <w:t>式或平流式，目前多采用竖流式，其絮凝效果较好。折板主要缺点是絮凝不充分，</w:t>
      </w:r>
      <w:r>
        <w:rPr>
          <w:color w:val="auto"/>
          <w:spacing w:val="-95"/>
          <w:highlight w:val="none"/>
        </w:rPr>
        <w:t xml:space="preserve"> </w:t>
      </w:r>
      <w:r>
        <w:rPr>
          <w:color w:val="auto"/>
          <w:highlight w:val="none"/>
        </w:rPr>
        <w:t>形成矾花颗粒较小、细碎、比重小，沉淀性能差，同时药剂消耗量大，造价较高，</w:t>
      </w:r>
      <w:r>
        <w:rPr>
          <w:color w:val="auto"/>
          <w:spacing w:val="-95"/>
          <w:highlight w:val="none"/>
        </w:rPr>
        <w:t xml:space="preserve"> </w:t>
      </w:r>
      <w:r>
        <w:rPr>
          <w:color w:val="auto"/>
          <w:highlight w:val="none"/>
        </w:rPr>
        <w:t>水力负荷差，适于水量变化不大的水厂。</w:t>
      </w:r>
    </w:p>
    <w:p>
      <w:pPr>
        <w:ind w:firstLine="480"/>
        <w:rPr>
          <w:color w:val="auto"/>
          <w:highlight w:val="none"/>
        </w:rPr>
      </w:pPr>
      <w:r>
        <w:rPr>
          <w:rFonts w:eastAsia="Times New Roman"/>
          <w:color w:val="auto"/>
          <w:highlight w:val="none"/>
        </w:rPr>
        <w:t>b</w:t>
      </w:r>
      <w:r>
        <w:rPr>
          <w:color w:val="auto"/>
          <w:highlight w:val="none"/>
        </w:rPr>
        <w:t>．机械絮凝池：机械絮凝池的优点为絮凝效果较好、水头损失较小、絮凝时 间约为</w:t>
      </w:r>
      <w:r>
        <w:rPr>
          <w:color w:val="auto"/>
          <w:spacing w:val="-98"/>
          <w:highlight w:val="none"/>
        </w:rPr>
        <w:t xml:space="preserve"> </w:t>
      </w:r>
      <w:r>
        <w:rPr>
          <w:rFonts w:eastAsia="Times New Roman"/>
          <w:color w:val="auto"/>
          <w:highlight w:val="none"/>
        </w:rPr>
        <w:t>12</w:t>
      </w:r>
      <w:r>
        <w:rPr>
          <w:color w:val="auto"/>
          <w:highlight w:val="none"/>
        </w:rPr>
        <w:t>～</w:t>
      </w:r>
      <w:r>
        <w:rPr>
          <w:rFonts w:eastAsia="Times New Roman"/>
          <w:color w:val="auto"/>
          <w:highlight w:val="none"/>
        </w:rPr>
        <w:t>15min</w:t>
      </w:r>
      <w:r>
        <w:rPr>
          <w:color w:val="auto"/>
          <w:highlight w:val="none"/>
        </w:rPr>
        <w:t>。由于增加了机械设备，搅拌桨的转速调整可适应不同的水量和 水质，但对机械设备质量要求较高、机械设备维护量大、管理比较复杂、机械设备</w:t>
      </w:r>
      <w:r>
        <w:rPr>
          <w:color w:val="auto"/>
          <w:spacing w:val="-100"/>
          <w:highlight w:val="none"/>
        </w:rPr>
        <w:t xml:space="preserve"> </w:t>
      </w:r>
      <w:r>
        <w:rPr>
          <w:color w:val="auto"/>
          <w:highlight w:val="none"/>
        </w:rPr>
        <w:t>投资高、运行费用大。</w:t>
      </w:r>
    </w:p>
    <w:p>
      <w:pPr>
        <w:ind w:firstLine="456"/>
        <w:rPr>
          <w:color w:val="auto"/>
          <w:highlight w:val="none"/>
        </w:rPr>
      </w:pPr>
      <w:r>
        <w:rPr>
          <w:rFonts w:eastAsia="Times New Roman"/>
          <w:color w:val="auto"/>
          <w:spacing w:val="-6"/>
          <w:highlight w:val="none"/>
        </w:rPr>
        <w:t>c</w:t>
      </w:r>
      <w:r>
        <w:rPr>
          <w:color w:val="auto"/>
          <w:spacing w:val="-6"/>
          <w:highlight w:val="none"/>
        </w:rPr>
        <w:t>．网格絮凝池：是应用紊流理论的絮凝池。絮凝池分成许多面积相等的方格，</w:t>
      </w:r>
      <w:r>
        <w:rPr>
          <w:color w:val="auto"/>
          <w:highlight w:val="none"/>
        </w:rPr>
        <w:t>水流上下交错流动，直至出口，在全池约三分之二的分格内，垂直水流方向放置网</w:t>
      </w:r>
      <w:r>
        <w:rPr>
          <w:color w:val="auto"/>
          <w:spacing w:val="-99"/>
          <w:highlight w:val="none"/>
        </w:rPr>
        <w:t xml:space="preserve"> </w:t>
      </w:r>
      <w:r>
        <w:rPr>
          <w:color w:val="auto"/>
          <w:highlight w:val="none"/>
        </w:rPr>
        <w:t>格或栅条，在水流通过时，形成了良好的絮凝效果。但当水量发生变化时将影响絮</w:t>
      </w:r>
      <w:r>
        <w:rPr>
          <w:color w:val="auto"/>
          <w:spacing w:val="-99"/>
          <w:highlight w:val="none"/>
        </w:rPr>
        <w:t xml:space="preserve"> </w:t>
      </w:r>
      <w:r>
        <w:rPr>
          <w:color w:val="auto"/>
          <w:highlight w:val="none"/>
        </w:rPr>
        <w:t>凝效果，根据已建的网格和栅条絮凝池的运行经验，还存在末端池底积泥现象，少数水厂发现网格上滋生藻类、堵塞网眼现象。一般采用抗冲击能力强、安装简单、维护管理方便的高效的网格反应池。</w:t>
      </w:r>
    </w:p>
    <w:p>
      <w:pPr>
        <w:ind w:firstLine="480"/>
        <w:rPr>
          <w:color w:val="auto"/>
          <w:highlight w:val="none"/>
        </w:rPr>
      </w:pPr>
      <w:r>
        <w:rPr>
          <w:color w:val="auto"/>
          <w:highlight w:val="none"/>
        </w:rPr>
        <w:t>3、沉淀分离区</w:t>
      </w:r>
    </w:p>
    <w:p>
      <w:pPr>
        <w:ind w:firstLine="468"/>
        <w:rPr>
          <w:color w:val="auto"/>
          <w:highlight w:val="none"/>
        </w:rPr>
      </w:pPr>
      <w:r>
        <w:rPr>
          <w:color w:val="auto"/>
          <w:spacing w:val="-3"/>
          <w:highlight w:val="none"/>
        </w:rPr>
        <w:t>水处理中的沉淀工艺是指在重力作用下悬浮固体从水中分离的过程，它能去除</w:t>
      </w:r>
      <w:r>
        <w:rPr>
          <w:rFonts w:eastAsia="Times New Roman"/>
          <w:color w:val="auto"/>
          <w:highlight w:val="none"/>
        </w:rPr>
        <w:t>80</w:t>
      </w:r>
      <w:r>
        <w:rPr>
          <w:color w:val="auto"/>
          <w:highlight w:val="none"/>
        </w:rPr>
        <w:t>～</w:t>
      </w:r>
      <w:r>
        <w:rPr>
          <w:rFonts w:eastAsia="Times New Roman"/>
          <w:color w:val="auto"/>
          <w:highlight w:val="none"/>
        </w:rPr>
        <w:t>99</w:t>
      </w:r>
      <w:r>
        <w:rPr>
          <w:color w:val="auto"/>
          <w:highlight w:val="none"/>
        </w:rPr>
        <w:t>％以上的悬浮固体，是主要的净水构筑物之一。沉淀池的常用形式有很多：</w:t>
      </w:r>
      <w:r>
        <w:rPr>
          <w:color w:val="auto"/>
          <w:spacing w:val="-95"/>
          <w:highlight w:val="none"/>
        </w:rPr>
        <w:t xml:space="preserve"> </w:t>
      </w:r>
      <w:r>
        <w:rPr>
          <w:color w:val="auto"/>
          <w:highlight w:val="none"/>
        </w:rPr>
        <w:t>平流沉淀池、斜管沉淀池、斜板沉淀池等。</w:t>
      </w:r>
    </w:p>
    <w:p>
      <w:pPr>
        <w:ind w:firstLine="480"/>
        <w:rPr>
          <w:color w:val="auto"/>
          <w:highlight w:val="none"/>
        </w:rPr>
      </w:pPr>
      <w:r>
        <w:rPr>
          <w:rFonts w:eastAsia="Times New Roman"/>
          <w:color w:val="auto"/>
          <w:highlight w:val="none"/>
        </w:rPr>
        <w:t>a</w:t>
      </w:r>
      <w:r>
        <w:rPr>
          <w:color w:val="auto"/>
          <w:highlight w:val="none"/>
        </w:rPr>
        <w:t>、平流沉淀池：它的优点是构造简单、操作管理方便、施工较简单，它的缺</w:t>
      </w:r>
      <w:r>
        <w:rPr>
          <w:color w:val="auto"/>
          <w:spacing w:val="2"/>
          <w:highlight w:val="none"/>
        </w:rPr>
        <w:t xml:space="preserve"> </w:t>
      </w:r>
      <w:r>
        <w:rPr>
          <w:color w:val="auto"/>
          <w:highlight w:val="none"/>
        </w:rPr>
        <w:t>点是平面面积大、机械排泥设备维护较复杂、土建费用高、沉淀效率低。</w:t>
      </w:r>
    </w:p>
    <w:p>
      <w:pPr>
        <w:ind w:firstLine="480"/>
        <w:rPr>
          <w:color w:val="auto"/>
          <w:highlight w:val="none"/>
        </w:rPr>
      </w:pPr>
      <w:r>
        <w:rPr>
          <w:rFonts w:eastAsia="Times New Roman"/>
          <w:color w:val="auto"/>
          <w:highlight w:val="none"/>
        </w:rPr>
        <w:t>b</w:t>
      </w:r>
      <w:r>
        <w:rPr>
          <w:color w:val="auto"/>
          <w:highlight w:val="none"/>
        </w:rPr>
        <w:t xml:space="preserve">、斜管沉淀池：它占地面积小、沉淀效率高，但需要耗用较多的斜管，老化 </w:t>
      </w:r>
      <w:r>
        <w:rPr>
          <w:color w:val="auto"/>
          <w:spacing w:val="-3"/>
          <w:highlight w:val="none"/>
        </w:rPr>
        <w:t>后需定期更换，增加运行费用，对原水水质变化的适应性较差，排泥效果较差，斜</w:t>
      </w:r>
      <w:r>
        <w:rPr>
          <w:color w:val="auto"/>
          <w:spacing w:val="-100"/>
          <w:highlight w:val="none"/>
        </w:rPr>
        <w:t xml:space="preserve"> </w:t>
      </w:r>
      <w:r>
        <w:rPr>
          <w:color w:val="auto"/>
          <w:highlight w:val="none"/>
        </w:rPr>
        <w:t>管易积泥、很难排净。</w:t>
      </w:r>
    </w:p>
    <w:p>
      <w:pPr>
        <w:ind w:firstLine="480"/>
        <w:rPr>
          <w:color w:val="auto"/>
          <w:highlight w:val="none"/>
        </w:rPr>
      </w:pPr>
      <w:r>
        <w:rPr>
          <w:rFonts w:eastAsia="Times New Roman"/>
          <w:color w:val="auto"/>
          <w:highlight w:val="none"/>
        </w:rPr>
        <w:t>c</w:t>
      </w:r>
      <w:r>
        <w:rPr>
          <w:color w:val="auto"/>
          <w:highlight w:val="none"/>
        </w:rPr>
        <w:t>、斜板沉淀池利用浅层沉淀理论，通过增加沉淀面积，来提高沉淀效果，由</w:t>
      </w:r>
      <w:r>
        <w:rPr>
          <w:color w:val="auto"/>
          <w:spacing w:val="2"/>
          <w:highlight w:val="none"/>
        </w:rPr>
        <w:t xml:space="preserve"> </w:t>
      </w:r>
      <w:r>
        <w:rPr>
          <w:color w:val="auto"/>
          <w:spacing w:val="-3"/>
          <w:highlight w:val="none"/>
        </w:rPr>
        <w:t>倾斜设置的塑料平板构成，在斜板沉淀池中，颗粒的最大垂直沉淀距离从原来的水</w:t>
      </w:r>
      <w:r>
        <w:rPr>
          <w:color w:val="auto"/>
          <w:spacing w:val="-102"/>
          <w:highlight w:val="none"/>
        </w:rPr>
        <w:t xml:space="preserve"> </w:t>
      </w:r>
      <w:r>
        <w:rPr>
          <w:color w:val="auto"/>
          <w:spacing w:val="-3"/>
          <w:highlight w:val="none"/>
        </w:rPr>
        <w:t>面到池底的几米，缩小到斜板缝隙中垂直高度的几厘米，大大缩短了颗粒沉淀分离</w:t>
      </w:r>
      <w:r>
        <w:rPr>
          <w:color w:val="auto"/>
          <w:spacing w:val="-100"/>
          <w:highlight w:val="none"/>
        </w:rPr>
        <w:t xml:space="preserve"> </w:t>
      </w:r>
      <w:r>
        <w:rPr>
          <w:color w:val="auto"/>
          <w:highlight w:val="none"/>
        </w:rPr>
        <w:t>所需要的时间，其优点是停留时间短，沉淀效率高，占地较省。</w:t>
      </w:r>
    </w:p>
    <w:p>
      <w:pPr>
        <w:ind w:firstLine="480"/>
        <w:rPr>
          <w:color w:val="auto"/>
          <w:highlight w:val="none"/>
        </w:rPr>
      </w:pPr>
      <w:r>
        <w:rPr>
          <w:color w:val="auto"/>
          <w:highlight w:val="none"/>
        </w:rPr>
        <w:t>一般采用斜板（管）沉淀池作为净水厂沉淀池池型。</w:t>
      </w:r>
    </w:p>
    <w:p>
      <w:pPr>
        <w:pStyle w:val="4"/>
        <w:rPr>
          <w:color w:val="auto"/>
          <w:highlight w:val="none"/>
        </w:rPr>
      </w:pPr>
      <w:r>
        <w:rPr>
          <w:rFonts w:hint="eastAsia"/>
          <w:color w:val="auto"/>
          <w:highlight w:val="none"/>
        </w:rPr>
        <w:t>5.6.5</w:t>
      </w:r>
      <w:bookmarkStart w:id="59" w:name="_Toc37884296"/>
      <w:r>
        <w:rPr>
          <w:color w:val="auto"/>
          <w:highlight w:val="none"/>
        </w:rPr>
        <w:t>过滤工艺比选</w:t>
      </w:r>
      <w:bookmarkEnd w:id="59"/>
    </w:p>
    <w:p>
      <w:pPr>
        <w:ind w:firstLine="480"/>
        <w:rPr>
          <w:color w:val="auto"/>
          <w:highlight w:val="none"/>
        </w:rPr>
      </w:pPr>
      <w:r>
        <w:rPr>
          <w:color w:val="auto"/>
          <w:highlight w:val="none"/>
        </w:rPr>
        <w:t>过滤通常是指用滤料层截留去除水中颗粒杂质的处理技术，</w:t>
      </w:r>
      <w:bookmarkStart w:id="60" w:name="5.5.7过滤工艺比选"/>
      <w:bookmarkEnd w:id="60"/>
      <w:r>
        <w:rPr>
          <w:color w:val="auto"/>
          <w:highlight w:val="none"/>
        </w:rPr>
        <w:t>在以地表水为水源 的饮用水处理中，过滤通常设在混凝沉淀之后，滤池进水浊度在</w:t>
      </w:r>
      <w:r>
        <w:rPr>
          <w:color w:val="auto"/>
          <w:spacing w:val="-53"/>
          <w:highlight w:val="none"/>
        </w:rPr>
        <w:t xml:space="preserve"> </w:t>
      </w:r>
      <w:r>
        <w:rPr>
          <w:rFonts w:eastAsia="Times New Roman"/>
          <w:color w:val="auto"/>
          <w:highlight w:val="none"/>
        </w:rPr>
        <w:t>5NTU</w:t>
      </w:r>
      <w:r>
        <w:rPr>
          <w:rFonts w:eastAsia="Times New Roman"/>
          <w:color w:val="auto"/>
          <w:spacing w:val="5"/>
          <w:highlight w:val="none"/>
        </w:rPr>
        <w:t xml:space="preserve"> </w:t>
      </w:r>
      <w:r>
        <w:rPr>
          <w:color w:val="auto"/>
          <w:spacing w:val="-7"/>
          <w:highlight w:val="none"/>
        </w:rPr>
        <w:t>左右，滤后</w:t>
      </w:r>
      <w:r>
        <w:rPr>
          <w:color w:val="auto"/>
          <w:highlight w:val="none"/>
        </w:rPr>
        <w:t>出水的浊度在</w:t>
      </w:r>
      <w:r>
        <w:rPr>
          <w:color w:val="auto"/>
          <w:spacing w:val="-61"/>
          <w:highlight w:val="none"/>
        </w:rPr>
        <w:t xml:space="preserve"> </w:t>
      </w:r>
      <w:r>
        <w:rPr>
          <w:rFonts w:eastAsia="Times New Roman"/>
          <w:color w:val="auto"/>
          <w:highlight w:val="none"/>
        </w:rPr>
        <w:t>0.5NTU</w:t>
      </w:r>
      <w:r>
        <w:rPr>
          <w:color w:val="auto"/>
          <w:highlight w:val="none"/>
        </w:rPr>
        <w:t>以下。</w:t>
      </w:r>
    </w:p>
    <w:p>
      <w:pPr>
        <w:ind w:firstLine="480"/>
        <w:rPr>
          <w:color w:val="auto"/>
          <w:highlight w:val="none"/>
        </w:rPr>
      </w:pPr>
      <w:r>
        <w:rPr>
          <w:color w:val="auto"/>
          <w:highlight w:val="none"/>
        </w:rPr>
        <w:t>现有滤池形式较多，其主要差别在于进出水及冲洗方式的不同，根据目前给水工程的实际应用情况，选择应用比较广泛的快滤池、</w:t>
      </w:r>
      <w:r>
        <w:rPr>
          <w:rFonts w:eastAsia="Times New Roman"/>
          <w:color w:val="auto"/>
          <w:highlight w:val="none"/>
        </w:rPr>
        <w:t>V</w:t>
      </w:r>
      <w:r>
        <w:rPr>
          <w:rFonts w:eastAsia="Times New Roman"/>
          <w:color w:val="auto"/>
          <w:spacing w:val="-1"/>
          <w:highlight w:val="none"/>
        </w:rPr>
        <w:t xml:space="preserve"> </w:t>
      </w:r>
      <w:r>
        <w:rPr>
          <w:color w:val="auto"/>
          <w:highlight w:val="none"/>
        </w:rPr>
        <w:t>型滤池进行比选。</w:t>
      </w:r>
    </w:p>
    <w:p>
      <w:pPr>
        <w:ind w:firstLine="480"/>
        <w:rPr>
          <w:color w:val="auto"/>
          <w:highlight w:val="none"/>
        </w:rPr>
      </w:pPr>
      <w:r>
        <w:rPr>
          <w:rFonts w:eastAsia="Times New Roman"/>
          <w:color w:val="auto"/>
          <w:highlight w:val="none"/>
        </w:rPr>
        <w:t>1</w:t>
      </w:r>
      <w:r>
        <w:rPr>
          <w:color w:val="auto"/>
          <w:highlight w:val="none"/>
        </w:rPr>
        <w:t>、</w:t>
      </w:r>
      <w:r>
        <w:rPr>
          <w:rFonts w:eastAsia="Times New Roman"/>
          <w:color w:val="auto"/>
          <w:highlight w:val="none"/>
        </w:rPr>
        <w:t>V</w:t>
      </w:r>
      <w:r>
        <w:rPr>
          <w:rFonts w:eastAsia="Times New Roman"/>
          <w:color w:val="auto"/>
          <w:spacing w:val="-1"/>
          <w:highlight w:val="none"/>
        </w:rPr>
        <w:t xml:space="preserve"> </w:t>
      </w:r>
      <w:r>
        <w:rPr>
          <w:color w:val="auto"/>
          <w:highlight w:val="none"/>
        </w:rPr>
        <w:t>型滤池</w:t>
      </w:r>
    </w:p>
    <w:p>
      <w:pPr>
        <w:ind w:firstLine="480"/>
        <w:rPr>
          <w:color w:val="auto"/>
          <w:highlight w:val="none"/>
        </w:rPr>
      </w:pPr>
      <w:r>
        <w:rPr>
          <w:rFonts w:eastAsia="Times New Roman"/>
          <w:color w:val="auto"/>
          <w:highlight w:val="none"/>
        </w:rPr>
        <w:t xml:space="preserve">V </w:t>
      </w:r>
      <w:r>
        <w:rPr>
          <w:color w:val="auto"/>
          <w:highlight w:val="none"/>
        </w:rPr>
        <w:t>型滤池全称为</w:t>
      </w:r>
      <w:r>
        <w:rPr>
          <w:rFonts w:eastAsia="Times New Roman"/>
          <w:color w:val="auto"/>
          <w:highlight w:val="none"/>
        </w:rPr>
        <w:t>AQUAZUR-V</w:t>
      </w:r>
      <w:r>
        <w:rPr>
          <w:rFonts w:eastAsia="Times New Roman"/>
          <w:color w:val="auto"/>
          <w:spacing w:val="-15"/>
          <w:highlight w:val="none"/>
        </w:rPr>
        <w:t xml:space="preserve"> </w:t>
      </w:r>
      <w:r>
        <w:rPr>
          <w:color w:val="auto"/>
          <w:highlight w:val="none"/>
        </w:rPr>
        <w:t>型滤池，是由法国得利满公司开发的一种快滤 池，因进水采用</w:t>
      </w:r>
      <w:r>
        <w:rPr>
          <w:color w:val="auto"/>
          <w:spacing w:val="-63"/>
          <w:highlight w:val="none"/>
        </w:rPr>
        <w:t xml:space="preserve"> </w:t>
      </w:r>
      <w:r>
        <w:rPr>
          <w:rFonts w:eastAsia="Times New Roman"/>
          <w:color w:val="auto"/>
          <w:highlight w:val="none"/>
        </w:rPr>
        <w:t>V</w:t>
      </w:r>
      <w:r>
        <w:rPr>
          <w:rFonts w:eastAsia="Times New Roman"/>
          <w:color w:val="auto"/>
          <w:spacing w:val="-4"/>
          <w:highlight w:val="none"/>
        </w:rPr>
        <w:t xml:space="preserve"> </w:t>
      </w:r>
      <w:r>
        <w:rPr>
          <w:color w:val="auto"/>
          <w:highlight w:val="none"/>
        </w:rPr>
        <w:t>型槽而得名。上世纪</w:t>
      </w:r>
      <w:r>
        <w:rPr>
          <w:color w:val="auto"/>
          <w:spacing w:val="-63"/>
          <w:highlight w:val="none"/>
        </w:rPr>
        <w:t xml:space="preserve"> </w:t>
      </w:r>
      <w:r>
        <w:rPr>
          <w:rFonts w:eastAsia="Times New Roman"/>
          <w:color w:val="auto"/>
          <w:highlight w:val="none"/>
        </w:rPr>
        <w:t>60</w:t>
      </w:r>
      <w:r>
        <w:rPr>
          <w:color w:val="auto"/>
          <w:highlight w:val="none"/>
        </w:rPr>
        <w:t>年代末在巴黎奥利水厂首先采用。</w:t>
      </w:r>
      <w:r>
        <w:rPr>
          <w:rFonts w:eastAsia="Times New Roman"/>
          <w:color w:val="auto"/>
          <w:highlight w:val="none"/>
        </w:rPr>
        <w:t>V</w:t>
      </w:r>
      <w:r>
        <w:rPr>
          <w:color w:val="auto"/>
          <w:highlight w:val="none"/>
        </w:rPr>
        <w:t>型滤池由于具有出水水质好、滤速高、滤水周期长、反冲洗效果好和便于自动化管理</w:t>
      </w:r>
      <w:r>
        <w:rPr>
          <w:color w:val="auto"/>
          <w:spacing w:val="-102"/>
          <w:highlight w:val="none"/>
        </w:rPr>
        <w:t xml:space="preserve"> </w:t>
      </w:r>
      <w:r>
        <w:rPr>
          <w:color w:val="auto"/>
          <w:spacing w:val="-10"/>
          <w:highlight w:val="none"/>
        </w:rPr>
        <w:t>等特点，因而在国内外得到了广泛应用。</w:t>
      </w:r>
      <w:r>
        <w:rPr>
          <w:rFonts w:eastAsia="Times New Roman"/>
          <w:color w:val="auto"/>
          <w:spacing w:val="-10"/>
          <w:highlight w:val="none"/>
        </w:rPr>
        <w:t xml:space="preserve">1987 </w:t>
      </w:r>
      <w:r>
        <w:rPr>
          <w:color w:val="auto"/>
          <w:highlight w:val="none"/>
        </w:rPr>
        <w:t xml:space="preserve">年我国第一座 </w:t>
      </w:r>
      <w:r>
        <w:rPr>
          <w:rFonts w:eastAsia="Times New Roman"/>
          <w:color w:val="auto"/>
          <w:highlight w:val="none"/>
        </w:rPr>
        <w:t>V</w:t>
      </w:r>
      <w:r>
        <w:rPr>
          <w:rFonts w:eastAsia="Times New Roman"/>
          <w:color w:val="auto"/>
          <w:spacing w:val="-34"/>
          <w:highlight w:val="none"/>
        </w:rPr>
        <w:t xml:space="preserve"> </w:t>
      </w:r>
      <w:r>
        <w:rPr>
          <w:color w:val="auto"/>
          <w:highlight w:val="none"/>
        </w:rPr>
        <w:t>型滤池在西安投产，随后新建的大、中型净水厂在工艺构筑物的选型中差不多都采用了</w:t>
      </w:r>
      <w:r>
        <w:rPr>
          <w:color w:val="auto"/>
          <w:spacing w:val="-60"/>
          <w:highlight w:val="none"/>
        </w:rPr>
        <w:t xml:space="preserve"> </w:t>
      </w:r>
      <w:r>
        <w:rPr>
          <w:rFonts w:eastAsia="Times New Roman"/>
          <w:color w:val="auto"/>
          <w:highlight w:val="none"/>
        </w:rPr>
        <w:t>V</w:t>
      </w:r>
      <w:r>
        <w:rPr>
          <w:rFonts w:eastAsia="Times New Roman"/>
          <w:color w:val="auto"/>
          <w:spacing w:val="-1"/>
          <w:highlight w:val="none"/>
        </w:rPr>
        <w:t xml:space="preserve"> </w:t>
      </w:r>
      <w:r>
        <w:rPr>
          <w:color w:val="auto"/>
          <w:highlight w:val="none"/>
        </w:rPr>
        <w:t>型滤池。</w:t>
      </w:r>
    </w:p>
    <w:p>
      <w:pPr>
        <w:ind w:firstLine="480"/>
        <w:rPr>
          <w:color w:val="auto"/>
          <w:highlight w:val="none"/>
        </w:rPr>
      </w:pPr>
      <w:r>
        <w:rPr>
          <w:color w:val="auto"/>
          <w:highlight w:val="none"/>
        </w:rPr>
        <w:t>单格</w:t>
      </w:r>
      <w:r>
        <w:rPr>
          <w:color w:val="auto"/>
          <w:spacing w:val="-66"/>
          <w:highlight w:val="none"/>
        </w:rPr>
        <w:t xml:space="preserve"> </w:t>
      </w:r>
      <w:r>
        <w:rPr>
          <w:rFonts w:eastAsia="Times New Roman"/>
          <w:color w:val="auto"/>
          <w:highlight w:val="none"/>
        </w:rPr>
        <w:t>V</w:t>
      </w:r>
      <w:r>
        <w:rPr>
          <w:rFonts w:eastAsia="Times New Roman"/>
          <w:color w:val="auto"/>
          <w:spacing w:val="-7"/>
          <w:highlight w:val="none"/>
        </w:rPr>
        <w:t xml:space="preserve"> </w:t>
      </w:r>
      <w:r>
        <w:rPr>
          <w:color w:val="auto"/>
          <w:highlight w:val="none"/>
        </w:rPr>
        <w:t>型滤池共设</w:t>
      </w:r>
      <w:r>
        <w:rPr>
          <w:color w:val="auto"/>
          <w:spacing w:val="-66"/>
          <w:highlight w:val="none"/>
        </w:rPr>
        <w:t xml:space="preserve"> </w:t>
      </w:r>
      <w:r>
        <w:rPr>
          <w:rFonts w:eastAsia="Times New Roman"/>
          <w:color w:val="auto"/>
          <w:highlight w:val="none"/>
        </w:rPr>
        <w:t>6</w:t>
      </w:r>
      <w:r>
        <w:rPr>
          <w:color w:val="auto"/>
          <w:highlight w:val="none"/>
        </w:rPr>
        <w:t>个阀门，又称</w:t>
      </w:r>
      <w:r>
        <w:rPr>
          <w:color w:val="auto"/>
          <w:spacing w:val="-66"/>
          <w:highlight w:val="none"/>
        </w:rPr>
        <w:t xml:space="preserve"> </w:t>
      </w:r>
      <w:r>
        <w:rPr>
          <w:rFonts w:eastAsia="Times New Roman"/>
          <w:color w:val="auto"/>
          <w:highlight w:val="none"/>
        </w:rPr>
        <w:t>6</w:t>
      </w:r>
      <w:r>
        <w:rPr>
          <w:color w:val="auto"/>
          <w:highlight w:val="none"/>
        </w:rPr>
        <w:t>阀滤池，分别是进水阀</w:t>
      </w:r>
      <w:r>
        <w:rPr>
          <w:rFonts w:eastAsia="Times New Roman"/>
          <w:color w:val="auto"/>
          <w:highlight w:val="none"/>
        </w:rPr>
        <w:t>/</w:t>
      </w:r>
      <w:r>
        <w:rPr>
          <w:color w:val="auto"/>
          <w:highlight w:val="none"/>
        </w:rPr>
        <w:t>出水阀、气冲阀</w:t>
      </w:r>
      <w:r>
        <w:rPr>
          <w:rFonts w:eastAsia="Times New Roman"/>
          <w:color w:val="auto"/>
          <w:highlight w:val="none"/>
        </w:rPr>
        <w:t xml:space="preserve">/ </w:t>
      </w:r>
      <w:r>
        <w:rPr>
          <w:color w:val="auto"/>
          <w:spacing w:val="-12"/>
          <w:highlight w:val="none"/>
        </w:rPr>
        <w:t>水冲阀、排污阀</w:t>
      </w:r>
      <w:r>
        <w:rPr>
          <w:rFonts w:eastAsia="Times New Roman"/>
          <w:color w:val="auto"/>
          <w:spacing w:val="-12"/>
          <w:highlight w:val="none"/>
        </w:rPr>
        <w:t>/</w:t>
      </w:r>
      <w:r>
        <w:rPr>
          <w:color w:val="auto"/>
          <w:spacing w:val="-12"/>
          <w:highlight w:val="none"/>
        </w:rPr>
        <w:t>排气阀。采用</w:t>
      </w:r>
      <w:r>
        <w:rPr>
          <w:rFonts w:eastAsia="Times New Roman"/>
          <w:color w:val="auto"/>
          <w:highlight w:val="none"/>
        </w:rPr>
        <w:t>PLC</w:t>
      </w:r>
      <w:r>
        <w:rPr>
          <w:rFonts w:eastAsia="Times New Roman"/>
          <w:color w:val="auto"/>
          <w:spacing w:val="-39"/>
          <w:highlight w:val="none"/>
        </w:rPr>
        <w:t xml:space="preserve"> </w:t>
      </w:r>
      <w:r>
        <w:rPr>
          <w:color w:val="auto"/>
          <w:spacing w:val="-4"/>
          <w:highlight w:val="none"/>
        </w:rPr>
        <w:t>控制自动运行，由液位开关控制出水阀的开度，</w:t>
      </w:r>
      <w:r>
        <w:rPr>
          <w:color w:val="auto"/>
          <w:highlight w:val="none"/>
        </w:rPr>
        <w:t>从而保证</w:t>
      </w:r>
      <w:r>
        <w:rPr>
          <w:color w:val="auto"/>
          <w:spacing w:val="-60"/>
          <w:highlight w:val="none"/>
        </w:rPr>
        <w:t xml:space="preserve"> </w:t>
      </w:r>
      <w:r>
        <w:rPr>
          <w:rFonts w:eastAsia="Times New Roman"/>
          <w:color w:val="auto"/>
          <w:highlight w:val="none"/>
        </w:rPr>
        <w:t>V</w:t>
      </w:r>
      <w:r>
        <w:rPr>
          <w:color w:val="auto"/>
          <w:highlight w:val="none"/>
        </w:rPr>
        <w:t>型滤池等水头匀速过滤。</w:t>
      </w:r>
    </w:p>
    <w:p>
      <w:pPr>
        <w:ind w:firstLine="480"/>
        <w:rPr>
          <w:color w:val="auto"/>
          <w:highlight w:val="none"/>
        </w:rPr>
      </w:pPr>
      <w:r>
        <w:rPr>
          <w:rFonts w:eastAsia="Times New Roman"/>
          <w:color w:val="auto"/>
          <w:highlight w:val="none"/>
        </w:rPr>
        <w:t>V</w:t>
      </w:r>
      <w:r>
        <w:rPr>
          <w:rFonts w:eastAsia="Times New Roman"/>
          <w:color w:val="auto"/>
          <w:spacing w:val="-1"/>
          <w:highlight w:val="none"/>
        </w:rPr>
        <w:t xml:space="preserve"> </w:t>
      </w:r>
      <w:r>
        <w:rPr>
          <w:color w:val="auto"/>
          <w:highlight w:val="none"/>
        </w:rPr>
        <w:t>型滤池主要技术特点是：</w:t>
      </w:r>
    </w:p>
    <w:p>
      <w:pPr>
        <w:ind w:firstLine="480"/>
        <w:rPr>
          <w:color w:val="auto"/>
          <w:highlight w:val="none"/>
        </w:rPr>
      </w:pPr>
      <w:r>
        <w:rPr>
          <w:color w:val="auto"/>
          <w:highlight w:val="none"/>
        </w:rPr>
        <w:t>（1）过滤周期长，滤料层利用率高，滤速较高，滤后水质好，采用汽水反冲洗，耗水量少，具有成熟的运行经验，运行稳妥可靠，适用于大、中型水厂。</w:t>
      </w:r>
    </w:p>
    <w:p>
      <w:pPr>
        <w:ind w:firstLine="480"/>
        <w:rPr>
          <w:color w:val="auto"/>
          <w:highlight w:val="none"/>
        </w:rPr>
      </w:pPr>
      <w:r>
        <w:rPr>
          <w:color w:val="auto"/>
          <w:highlight w:val="none"/>
        </w:rPr>
        <w:t>（2）由于增加反洗供气系统，自控要求高，反冲洗设备较多。</w:t>
      </w:r>
    </w:p>
    <w:p>
      <w:pPr>
        <w:ind w:firstLine="480"/>
        <w:rPr>
          <w:color w:val="auto"/>
          <w:highlight w:val="none"/>
        </w:rPr>
      </w:pPr>
      <w:r>
        <w:rPr>
          <w:color w:val="auto"/>
          <w:highlight w:val="none"/>
        </w:rPr>
        <w:t xml:space="preserve">2、快滤池 </w:t>
      </w:r>
    </w:p>
    <w:p>
      <w:pPr>
        <w:ind w:firstLine="480"/>
        <w:rPr>
          <w:color w:val="auto"/>
          <w:highlight w:val="none"/>
        </w:rPr>
      </w:pPr>
      <w:r>
        <w:rPr>
          <w:color w:val="auto"/>
          <w:highlight w:val="none"/>
        </w:rPr>
        <w:t>快滤池是应用历史悠久、典型的过滤设备。普通快滤池是给水处理中过滤工艺的传统池型，水的过滤原理是水流通过一定厚度、一定粒径的介质过滤层后达到过滤的效果。介质可以是石英砂、砂砾或其他颗粒状的原料，过滤的等级取决于组成滤床的介质颗粒直径和水流通过滤床的流速。水流从过滤器进水口进入并流经过滤层后，水中的悬浮杂质被过滤层所吸附，滤后的水则从滤水帽流向出水口，过滤器的清洁可通过反冲洗来完成，此时的水流反向从滤水帽向上流出，引起过滤层的紊流扰动，所吸附的杂质被释放出来并通过排放阀排出，反清洗过程可根据进出口的压差或定时来自动完成。它由滤池本体、管线及冲洗设备组成。</w:t>
      </w:r>
    </w:p>
    <w:p>
      <w:pPr>
        <w:ind w:firstLine="480"/>
        <w:rPr>
          <w:color w:val="auto"/>
          <w:highlight w:val="none"/>
        </w:rPr>
      </w:pPr>
      <w:r>
        <w:rPr>
          <w:color w:val="auto"/>
          <w:highlight w:val="none"/>
        </w:rPr>
        <w:t>快滤池主要技术特点是：</w:t>
      </w:r>
    </w:p>
    <w:p>
      <w:pPr>
        <w:ind w:firstLine="480"/>
        <w:rPr>
          <w:color w:val="auto"/>
          <w:highlight w:val="none"/>
        </w:rPr>
      </w:pPr>
      <w:r>
        <w:rPr>
          <w:color w:val="auto"/>
          <w:highlight w:val="none"/>
        </w:rPr>
        <w:t>（</w:t>
      </w:r>
      <w:r>
        <w:rPr>
          <w:rFonts w:eastAsia="Times New Roman"/>
          <w:color w:val="auto"/>
          <w:highlight w:val="none"/>
        </w:rPr>
        <w:t>1</w:t>
      </w:r>
      <w:r>
        <w:rPr>
          <w:color w:val="auto"/>
          <w:highlight w:val="none"/>
        </w:rPr>
        <w:t>）运行管理可靠，有成熟的运行经验。</w:t>
      </w:r>
    </w:p>
    <w:p>
      <w:pPr>
        <w:ind w:firstLine="480"/>
        <w:rPr>
          <w:color w:val="auto"/>
          <w:highlight w:val="none"/>
        </w:rPr>
      </w:pPr>
      <w:r>
        <w:rPr>
          <w:color w:val="auto"/>
          <w:highlight w:val="none"/>
        </w:rPr>
        <w:t>（</w:t>
      </w:r>
      <w:r>
        <w:rPr>
          <w:rFonts w:eastAsia="Times New Roman"/>
          <w:color w:val="auto"/>
          <w:highlight w:val="none"/>
        </w:rPr>
        <w:t>2</w:t>
      </w:r>
      <w:r>
        <w:rPr>
          <w:color w:val="auto"/>
          <w:highlight w:val="none"/>
        </w:rPr>
        <w:t>）采用气、水反冲，冲洗效果好，冲洗水量大大减少。</w:t>
      </w:r>
    </w:p>
    <w:p>
      <w:pPr>
        <w:ind w:firstLine="480"/>
        <w:rPr>
          <w:color w:val="auto"/>
          <w:highlight w:val="none"/>
        </w:rPr>
      </w:pPr>
      <w:r>
        <w:rPr>
          <w:color w:val="auto"/>
          <w:highlight w:val="none"/>
        </w:rPr>
        <w:t>（</w:t>
      </w:r>
      <w:r>
        <w:rPr>
          <w:rFonts w:eastAsia="Times New Roman"/>
          <w:color w:val="auto"/>
          <w:highlight w:val="none"/>
        </w:rPr>
        <w:t>3</w:t>
      </w:r>
      <w:r>
        <w:rPr>
          <w:color w:val="auto"/>
          <w:highlight w:val="none"/>
        </w:rPr>
        <w:t>）运行自动化程度高、管理方便。</w:t>
      </w:r>
    </w:p>
    <w:p>
      <w:pPr>
        <w:ind w:firstLine="480"/>
        <w:rPr>
          <w:color w:val="auto"/>
          <w:highlight w:val="none"/>
        </w:rPr>
      </w:pPr>
      <w:r>
        <w:rPr>
          <w:color w:val="auto"/>
          <w:highlight w:val="none"/>
        </w:rPr>
        <w:t>（</w:t>
      </w:r>
      <w:r>
        <w:rPr>
          <w:rFonts w:eastAsia="Times New Roman"/>
          <w:color w:val="auto"/>
          <w:highlight w:val="none"/>
        </w:rPr>
        <w:t>4</w:t>
      </w:r>
      <w:r>
        <w:rPr>
          <w:color w:val="auto"/>
          <w:highlight w:val="none"/>
        </w:rPr>
        <w:t>）投资省，适合各类水厂。</w:t>
      </w:r>
    </w:p>
    <w:p>
      <w:pPr>
        <w:ind w:firstLine="480"/>
        <w:rPr>
          <w:rFonts w:eastAsia="Times New Roman"/>
          <w:color w:val="auto"/>
          <w:highlight w:val="none"/>
        </w:rPr>
      </w:pPr>
      <w:r>
        <w:rPr>
          <w:rFonts w:eastAsia="Times New Roman"/>
          <w:color w:val="auto"/>
          <w:highlight w:val="none"/>
        </w:rPr>
        <w:t>3</w:t>
      </w:r>
      <w:r>
        <w:rPr>
          <w:color w:val="auto"/>
          <w:highlight w:val="none"/>
        </w:rPr>
        <w:t>、比选</w:t>
      </w:r>
      <w:r>
        <w:rPr>
          <w:color w:val="auto"/>
          <w:spacing w:val="2"/>
          <w:highlight w:val="none"/>
        </w:rPr>
        <w:t>综合考虑了工程特点、运行水耗和电耗及管理经验等因素，滤池考虑采用</w:t>
      </w:r>
      <w:r>
        <w:rPr>
          <w:color w:val="auto"/>
          <w:highlight w:val="none"/>
        </w:rPr>
        <w:t>快滤池。</w:t>
      </w:r>
    </w:p>
    <w:p>
      <w:pPr>
        <w:pStyle w:val="4"/>
        <w:rPr>
          <w:rFonts w:cs="Times New Roman"/>
          <w:color w:val="auto"/>
          <w:highlight w:val="none"/>
        </w:rPr>
      </w:pPr>
      <w:r>
        <w:rPr>
          <w:rFonts w:hint="eastAsia"/>
          <w:color w:val="auto"/>
          <w:highlight w:val="none"/>
        </w:rPr>
        <w:t>5.6.6</w:t>
      </w:r>
      <w:bookmarkStart w:id="61" w:name="_Toc37884297"/>
      <w:r>
        <w:rPr>
          <w:rFonts w:cs="Times New Roman"/>
          <w:color w:val="auto"/>
          <w:highlight w:val="none"/>
        </w:rPr>
        <w:t>消毒</w:t>
      </w:r>
      <w:bookmarkEnd w:id="61"/>
    </w:p>
    <w:p>
      <w:pPr>
        <w:ind w:firstLine="480"/>
        <w:rPr>
          <w:color w:val="auto"/>
          <w:highlight w:val="none"/>
        </w:rPr>
      </w:pPr>
      <w:r>
        <w:rPr>
          <w:color w:val="auto"/>
          <w:highlight w:val="none"/>
        </w:rPr>
        <w:t>消毒方法大体可分为两类：物理方法和化学方法。物理方法主要有加热、冷冻、辐照、紫外线和微波消毒等方法。化学方法是利用各种化学药剂进行消毒，常用的化学消毒药剂有多种氧化剂（氯、臭氧、碘高锰酸钾等）、某些重金属离子（银、铜等）及阳离子型表面活性剂等</w:t>
      </w:r>
    </w:p>
    <w:p>
      <w:pPr>
        <w:ind w:firstLine="480"/>
        <w:rPr>
          <w:color w:val="auto"/>
          <w:highlight w:val="none"/>
        </w:rPr>
      </w:pPr>
      <w:r>
        <w:rPr>
          <w:color w:val="auto"/>
          <w:highlight w:val="none"/>
        </w:rPr>
        <w:t>对消毒剂的评价要综合考虑到杀菌能力与在水中的稳定性。对水处理常用的4 种消毒剂（氯、二氧化氯、臭氧、氯氨）而言，从杀菌能力看，臭氧＞二氧化氯＞氯＞氯氨；从稳定性看，氯氨＞氯＞二氧化氯＞臭氧。综合而言，二氧化氯是其中较好的一种消毒剂。与氯不同，二氧化氯的一个重要的特点是在碱性条件下仍具有很好的杀菌能力。</w:t>
      </w:r>
    </w:p>
    <w:p>
      <w:pPr>
        <w:ind w:firstLine="480"/>
        <w:rPr>
          <w:color w:val="auto"/>
          <w:highlight w:val="none"/>
        </w:rPr>
      </w:pPr>
      <w:r>
        <w:rPr>
          <w:color w:val="auto"/>
          <w:highlight w:val="none"/>
        </w:rPr>
        <w:t>考虑到本工程建设意义重大，本设计推荐采用二氧化氯消毒工艺进行设计。</w:t>
      </w:r>
    </w:p>
    <w:p>
      <w:pPr>
        <w:pStyle w:val="4"/>
        <w:rPr>
          <w:color w:val="auto"/>
          <w:highlight w:val="none"/>
        </w:rPr>
      </w:pPr>
      <w:r>
        <w:rPr>
          <w:rFonts w:hint="eastAsia"/>
          <w:color w:val="auto"/>
          <w:highlight w:val="none"/>
        </w:rPr>
        <w:t>5.6.7</w:t>
      </w:r>
      <w:bookmarkStart w:id="62" w:name="_Toc37884298"/>
      <w:r>
        <w:rPr>
          <w:color w:val="auto"/>
          <w:highlight w:val="none"/>
        </w:rPr>
        <w:t>净水厂主体结构形式方案比选</w:t>
      </w:r>
      <w:bookmarkEnd w:id="62"/>
    </w:p>
    <w:p>
      <w:pPr>
        <w:ind w:firstLine="480"/>
        <w:rPr>
          <w:color w:val="auto"/>
          <w:highlight w:val="none"/>
        </w:rPr>
      </w:pPr>
      <w:r>
        <w:rPr>
          <w:color w:val="auto"/>
          <w:highlight w:val="none"/>
        </w:rPr>
        <w:t>目前在国内小型净水厂的主体处理单元</w:t>
      </w:r>
      <w:r>
        <w:rPr>
          <w:b/>
          <w:bCs/>
          <w:color w:val="auto"/>
          <w:highlight w:val="none"/>
        </w:rPr>
        <w:t>（絮凝沉淀+滤池）</w:t>
      </w:r>
      <w:r>
        <w:rPr>
          <w:color w:val="auto"/>
          <w:highlight w:val="none"/>
        </w:rPr>
        <w:t>结构形式主要有以下两种：（1）钢筋混凝土结构；（2）集成式一体化净水设备。这两种形式都有已建成的工程实例，并各有利弊。其经济技术比较详见下表（以0.5万m</w:t>
      </w:r>
      <w:r>
        <w:rPr>
          <w:color w:val="auto"/>
          <w:highlight w:val="none"/>
          <w:vertAlign w:val="superscript"/>
        </w:rPr>
        <w:t>3</w:t>
      </w:r>
      <w:r>
        <w:rPr>
          <w:color w:val="auto"/>
          <w:highlight w:val="none"/>
        </w:rPr>
        <w:t>/d 设计规模为例）：</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3118"/>
        <w:gridCol w:w="3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2122" w:type="dxa"/>
          </w:tcPr>
          <w:p>
            <w:pPr>
              <w:spacing w:beforeLines="0" w:afterLines="0"/>
              <w:ind w:right="240" w:firstLine="0" w:firstLineChars="0"/>
              <w:jc w:val="center"/>
              <w:rPr>
                <w:rFonts w:cs="Times New Roman"/>
                <w:b/>
                <w:bCs/>
                <w:color w:val="auto"/>
                <w:sz w:val="21"/>
                <w:highlight w:val="none"/>
              </w:rPr>
            </w:pPr>
            <w:r>
              <w:rPr>
                <w:rFonts w:cs="Times New Roman"/>
                <w:b/>
                <w:bCs/>
                <w:color w:val="auto"/>
                <w:sz w:val="21"/>
                <w:highlight w:val="none"/>
              </w:rPr>
              <w:t>项目</w:t>
            </w:r>
          </w:p>
        </w:tc>
        <w:tc>
          <w:tcPr>
            <w:tcW w:w="3118" w:type="dxa"/>
          </w:tcPr>
          <w:p>
            <w:pPr>
              <w:spacing w:beforeLines="0" w:afterLines="0"/>
              <w:ind w:firstLine="0" w:firstLineChars="0"/>
              <w:jc w:val="center"/>
              <w:rPr>
                <w:rFonts w:cs="Times New Roman"/>
                <w:b/>
                <w:bCs/>
                <w:color w:val="auto"/>
                <w:sz w:val="21"/>
                <w:highlight w:val="none"/>
              </w:rPr>
            </w:pPr>
            <w:r>
              <w:rPr>
                <w:rFonts w:cs="Times New Roman"/>
                <w:b/>
                <w:bCs/>
                <w:color w:val="auto"/>
                <w:sz w:val="21"/>
                <w:highlight w:val="none"/>
              </w:rPr>
              <w:t>钢筋混凝土结构</w:t>
            </w:r>
          </w:p>
        </w:tc>
        <w:tc>
          <w:tcPr>
            <w:tcW w:w="3056" w:type="dxa"/>
          </w:tcPr>
          <w:p>
            <w:pPr>
              <w:spacing w:beforeLines="0" w:afterLines="0"/>
              <w:ind w:firstLine="0" w:firstLineChars="0"/>
              <w:jc w:val="center"/>
              <w:rPr>
                <w:rFonts w:cs="Times New Roman"/>
                <w:b/>
                <w:bCs/>
                <w:color w:val="auto"/>
                <w:sz w:val="21"/>
                <w:highlight w:val="none"/>
              </w:rPr>
            </w:pPr>
            <w:r>
              <w:rPr>
                <w:rFonts w:cs="Times New Roman"/>
                <w:b/>
                <w:bCs/>
                <w:color w:val="auto"/>
                <w:sz w:val="21"/>
                <w:highlight w:val="none"/>
              </w:rPr>
              <w:t>模块化净水系统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22" w:type="dxa"/>
            <w:vAlign w:val="center"/>
          </w:tcPr>
          <w:p>
            <w:pPr>
              <w:spacing w:beforeLines="0" w:afterLines="0"/>
              <w:ind w:firstLine="0" w:firstLineChars="0"/>
              <w:jc w:val="center"/>
              <w:rPr>
                <w:rFonts w:cs="Times New Roman"/>
                <w:color w:val="auto"/>
                <w:sz w:val="21"/>
                <w:highlight w:val="none"/>
              </w:rPr>
            </w:pPr>
            <w:r>
              <w:rPr>
                <w:rFonts w:cs="Times New Roman"/>
                <w:color w:val="auto"/>
                <w:kern w:val="0"/>
                <w:sz w:val="21"/>
                <w:highlight w:val="none"/>
              </w:rPr>
              <w:t>建设内容</w:t>
            </w:r>
          </w:p>
        </w:tc>
        <w:tc>
          <w:tcPr>
            <w:tcW w:w="3118" w:type="dxa"/>
            <w:vAlign w:val="center"/>
          </w:tcPr>
          <w:p>
            <w:pPr>
              <w:autoSpaceDE w:val="0"/>
              <w:autoSpaceDN w:val="0"/>
              <w:adjustRightInd w:val="0"/>
              <w:spacing w:beforeLines="0" w:afterLines="0" w:line="240" w:lineRule="auto"/>
              <w:ind w:firstLine="0" w:firstLineChars="0"/>
              <w:rPr>
                <w:rFonts w:cs="Times New Roman"/>
                <w:color w:val="auto"/>
                <w:kern w:val="0"/>
                <w:sz w:val="21"/>
                <w:highlight w:val="none"/>
              </w:rPr>
            </w:pPr>
            <w:r>
              <w:rPr>
                <w:rFonts w:cs="Times New Roman"/>
                <w:color w:val="auto"/>
                <w:kern w:val="0"/>
                <w:sz w:val="21"/>
                <w:highlight w:val="none"/>
              </w:rPr>
              <w:t>净化间一座；一级泵站1座；稳压配水井1 座；絮凝沉淀池1 座；V 型滤池1 座；清水池1座，二级泵站1座。</w:t>
            </w:r>
          </w:p>
        </w:tc>
        <w:tc>
          <w:tcPr>
            <w:tcW w:w="3056" w:type="dxa"/>
            <w:vAlign w:val="center"/>
          </w:tcPr>
          <w:p>
            <w:pPr>
              <w:autoSpaceDE w:val="0"/>
              <w:autoSpaceDN w:val="0"/>
              <w:adjustRightInd w:val="0"/>
              <w:spacing w:beforeLines="0" w:afterLines="0" w:line="240" w:lineRule="auto"/>
              <w:ind w:firstLine="0" w:firstLineChars="0"/>
              <w:rPr>
                <w:rFonts w:cs="Times New Roman"/>
                <w:color w:val="auto"/>
                <w:kern w:val="0"/>
                <w:sz w:val="21"/>
                <w:highlight w:val="none"/>
              </w:rPr>
            </w:pPr>
            <w:r>
              <w:rPr>
                <w:rFonts w:cs="Times New Roman"/>
                <w:color w:val="auto"/>
                <w:kern w:val="0"/>
                <w:sz w:val="21"/>
                <w:highlight w:val="none"/>
              </w:rPr>
              <w:t>净化间一座；一级泵站1座；一体化设备3台清水池1座，二级泵站1座。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22" w:type="dxa"/>
            <w:vAlign w:val="center"/>
          </w:tcPr>
          <w:p>
            <w:pPr>
              <w:autoSpaceDE w:val="0"/>
              <w:autoSpaceDN w:val="0"/>
              <w:adjustRightInd w:val="0"/>
              <w:spacing w:beforeLines="0" w:afterLines="0" w:line="240" w:lineRule="auto"/>
              <w:ind w:firstLine="0" w:firstLineChars="0"/>
              <w:jc w:val="center"/>
              <w:rPr>
                <w:rFonts w:cs="Times New Roman"/>
                <w:color w:val="auto"/>
                <w:kern w:val="0"/>
                <w:sz w:val="21"/>
                <w:highlight w:val="none"/>
              </w:rPr>
            </w:pPr>
            <w:r>
              <w:rPr>
                <w:rFonts w:cs="Times New Roman"/>
                <w:color w:val="auto"/>
                <w:kern w:val="0"/>
                <w:sz w:val="21"/>
                <w:highlight w:val="none"/>
              </w:rPr>
              <w:t>占地面积</w:t>
            </w:r>
          </w:p>
        </w:tc>
        <w:tc>
          <w:tcPr>
            <w:tcW w:w="3118" w:type="dxa"/>
            <w:vAlign w:val="center"/>
          </w:tcPr>
          <w:p>
            <w:pPr>
              <w:autoSpaceDE w:val="0"/>
              <w:autoSpaceDN w:val="0"/>
              <w:adjustRightInd w:val="0"/>
              <w:spacing w:beforeLines="0" w:afterLines="0" w:line="240" w:lineRule="auto"/>
              <w:ind w:firstLine="0" w:firstLineChars="0"/>
              <w:jc w:val="center"/>
              <w:rPr>
                <w:rFonts w:cs="Times New Roman"/>
                <w:color w:val="auto"/>
                <w:kern w:val="0"/>
                <w:sz w:val="21"/>
                <w:highlight w:val="none"/>
              </w:rPr>
            </w:pPr>
            <w:r>
              <w:rPr>
                <w:rFonts w:cs="Times New Roman"/>
                <w:color w:val="auto"/>
                <w:kern w:val="0"/>
                <w:sz w:val="21"/>
                <w:highlight w:val="none"/>
              </w:rPr>
              <w:t>17.5亩</w:t>
            </w:r>
          </w:p>
        </w:tc>
        <w:tc>
          <w:tcPr>
            <w:tcW w:w="3056" w:type="dxa"/>
            <w:vAlign w:val="center"/>
          </w:tcPr>
          <w:p>
            <w:pPr>
              <w:autoSpaceDE w:val="0"/>
              <w:autoSpaceDN w:val="0"/>
              <w:adjustRightInd w:val="0"/>
              <w:spacing w:beforeLines="0" w:afterLines="0" w:line="240" w:lineRule="auto"/>
              <w:ind w:firstLine="0" w:firstLineChars="0"/>
              <w:jc w:val="center"/>
              <w:rPr>
                <w:rFonts w:cs="Times New Roman"/>
                <w:color w:val="auto"/>
                <w:kern w:val="0"/>
                <w:sz w:val="21"/>
                <w:highlight w:val="none"/>
              </w:rPr>
            </w:pPr>
            <w:r>
              <w:rPr>
                <w:rFonts w:cs="Times New Roman"/>
                <w:color w:val="auto"/>
                <w:kern w:val="0"/>
                <w:sz w:val="21"/>
                <w:highlight w:val="none"/>
              </w:rPr>
              <w:t>10亩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22" w:type="dxa"/>
            <w:vAlign w:val="center"/>
          </w:tcPr>
          <w:p>
            <w:pPr>
              <w:spacing w:beforeLines="0" w:afterLines="0"/>
              <w:ind w:firstLine="0" w:firstLineChars="0"/>
              <w:jc w:val="center"/>
              <w:rPr>
                <w:rFonts w:cs="Times New Roman"/>
                <w:color w:val="auto"/>
                <w:sz w:val="21"/>
                <w:highlight w:val="none"/>
              </w:rPr>
            </w:pPr>
            <w:r>
              <w:rPr>
                <w:rFonts w:cs="Times New Roman"/>
                <w:color w:val="auto"/>
                <w:kern w:val="0"/>
                <w:sz w:val="21"/>
                <w:highlight w:val="none"/>
              </w:rPr>
              <w:t>建设工期</w:t>
            </w:r>
          </w:p>
        </w:tc>
        <w:tc>
          <w:tcPr>
            <w:tcW w:w="3118" w:type="dxa"/>
            <w:vAlign w:val="center"/>
          </w:tcPr>
          <w:p>
            <w:pPr>
              <w:autoSpaceDE w:val="0"/>
              <w:autoSpaceDN w:val="0"/>
              <w:adjustRightInd w:val="0"/>
              <w:spacing w:beforeLines="0" w:afterLines="0" w:line="240" w:lineRule="auto"/>
              <w:ind w:firstLine="0" w:firstLineChars="0"/>
              <w:jc w:val="center"/>
              <w:rPr>
                <w:rFonts w:cs="Times New Roman"/>
                <w:color w:val="auto"/>
                <w:kern w:val="0"/>
                <w:sz w:val="21"/>
                <w:highlight w:val="none"/>
              </w:rPr>
            </w:pPr>
            <w:r>
              <w:rPr>
                <w:rFonts w:cs="Times New Roman"/>
                <w:color w:val="auto"/>
                <w:kern w:val="0"/>
                <w:sz w:val="21"/>
                <w:highlight w:val="none"/>
              </w:rPr>
              <w:t>1年</w:t>
            </w:r>
          </w:p>
        </w:tc>
        <w:tc>
          <w:tcPr>
            <w:tcW w:w="3056" w:type="dxa"/>
            <w:vAlign w:val="center"/>
          </w:tcPr>
          <w:p>
            <w:pPr>
              <w:autoSpaceDE w:val="0"/>
              <w:autoSpaceDN w:val="0"/>
              <w:adjustRightInd w:val="0"/>
              <w:spacing w:beforeLines="0" w:afterLines="0" w:line="240" w:lineRule="auto"/>
              <w:ind w:firstLine="0" w:firstLineChars="0"/>
              <w:jc w:val="center"/>
              <w:rPr>
                <w:rFonts w:cs="Times New Roman"/>
                <w:color w:val="auto"/>
                <w:kern w:val="0"/>
                <w:sz w:val="21"/>
                <w:highlight w:val="none"/>
              </w:rPr>
            </w:pPr>
            <w:r>
              <w:rPr>
                <w:rFonts w:cs="Times New Roman"/>
                <w:color w:val="auto"/>
                <w:kern w:val="0"/>
                <w:sz w:val="21"/>
                <w:highlight w:val="none"/>
              </w:rPr>
              <w:t>4个月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22" w:type="dxa"/>
            <w:vAlign w:val="center"/>
          </w:tcPr>
          <w:p>
            <w:pPr>
              <w:autoSpaceDE w:val="0"/>
              <w:autoSpaceDN w:val="0"/>
              <w:adjustRightInd w:val="0"/>
              <w:spacing w:beforeLines="0" w:afterLines="0" w:line="240" w:lineRule="auto"/>
              <w:ind w:firstLine="0" w:firstLineChars="0"/>
              <w:jc w:val="center"/>
              <w:rPr>
                <w:rFonts w:cs="Times New Roman"/>
                <w:color w:val="auto"/>
                <w:kern w:val="0"/>
                <w:sz w:val="21"/>
                <w:highlight w:val="none"/>
              </w:rPr>
            </w:pPr>
            <w:r>
              <w:rPr>
                <w:rFonts w:cs="Times New Roman"/>
                <w:color w:val="auto"/>
                <w:kern w:val="0"/>
                <w:sz w:val="21"/>
                <w:highlight w:val="none"/>
              </w:rPr>
              <w:t>建设及安装难易程度</w:t>
            </w:r>
          </w:p>
        </w:tc>
        <w:tc>
          <w:tcPr>
            <w:tcW w:w="3118" w:type="dxa"/>
            <w:vAlign w:val="center"/>
          </w:tcPr>
          <w:p>
            <w:pPr>
              <w:autoSpaceDE w:val="0"/>
              <w:autoSpaceDN w:val="0"/>
              <w:adjustRightInd w:val="0"/>
              <w:spacing w:beforeLines="0" w:afterLines="0" w:line="240" w:lineRule="auto"/>
              <w:ind w:firstLine="0" w:firstLineChars="0"/>
              <w:rPr>
                <w:rFonts w:cs="Times New Roman"/>
                <w:color w:val="auto"/>
                <w:kern w:val="0"/>
                <w:sz w:val="21"/>
                <w:highlight w:val="none"/>
              </w:rPr>
            </w:pPr>
            <w:r>
              <w:rPr>
                <w:rFonts w:cs="Times New Roman"/>
                <w:color w:val="auto"/>
                <w:kern w:val="0"/>
                <w:sz w:val="21"/>
                <w:highlight w:val="none"/>
              </w:rPr>
              <w:t>结构简单，部件少，钢筋混凝土，施工建设麻烦。</w:t>
            </w:r>
          </w:p>
        </w:tc>
        <w:tc>
          <w:tcPr>
            <w:tcW w:w="3056" w:type="dxa"/>
            <w:vAlign w:val="center"/>
          </w:tcPr>
          <w:p>
            <w:pPr>
              <w:autoSpaceDE w:val="0"/>
              <w:autoSpaceDN w:val="0"/>
              <w:adjustRightInd w:val="0"/>
              <w:spacing w:beforeLines="0" w:afterLines="0" w:line="240" w:lineRule="auto"/>
              <w:ind w:firstLine="0" w:firstLineChars="0"/>
              <w:rPr>
                <w:rFonts w:cs="Times New Roman"/>
                <w:color w:val="auto"/>
                <w:kern w:val="0"/>
                <w:sz w:val="21"/>
                <w:highlight w:val="none"/>
              </w:rPr>
            </w:pPr>
            <w:r>
              <w:rPr>
                <w:rFonts w:cs="Times New Roman"/>
                <w:color w:val="auto"/>
                <w:kern w:val="0"/>
                <w:sz w:val="21"/>
                <w:highlight w:val="none"/>
              </w:rPr>
              <w:t>主体结构需现场加工， 施工简单。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22" w:type="dxa"/>
            <w:vAlign w:val="center"/>
          </w:tcPr>
          <w:p>
            <w:pPr>
              <w:autoSpaceDE w:val="0"/>
              <w:autoSpaceDN w:val="0"/>
              <w:adjustRightInd w:val="0"/>
              <w:spacing w:beforeLines="0" w:afterLines="0" w:line="240" w:lineRule="auto"/>
              <w:ind w:firstLine="0" w:firstLineChars="0"/>
              <w:jc w:val="center"/>
              <w:rPr>
                <w:rFonts w:cs="Times New Roman"/>
                <w:color w:val="auto"/>
                <w:kern w:val="0"/>
                <w:sz w:val="21"/>
                <w:highlight w:val="none"/>
              </w:rPr>
            </w:pPr>
            <w:r>
              <w:rPr>
                <w:rFonts w:cs="Times New Roman"/>
                <w:color w:val="auto"/>
                <w:kern w:val="0"/>
                <w:sz w:val="21"/>
                <w:highlight w:val="none"/>
              </w:rPr>
              <w:t>管理方便程度</w:t>
            </w:r>
          </w:p>
        </w:tc>
        <w:tc>
          <w:tcPr>
            <w:tcW w:w="3118" w:type="dxa"/>
            <w:vAlign w:val="center"/>
          </w:tcPr>
          <w:p>
            <w:pPr>
              <w:autoSpaceDE w:val="0"/>
              <w:autoSpaceDN w:val="0"/>
              <w:adjustRightInd w:val="0"/>
              <w:spacing w:beforeLines="0" w:afterLines="0" w:line="240" w:lineRule="auto"/>
              <w:ind w:firstLine="0" w:firstLineChars="0"/>
              <w:rPr>
                <w:rFonts w:cs="Times New Roman"/>
                <w:color w:val="auto"/>
                <w:kern w:val="0"/>
                <w:sz w:val="21"/>
                <w:highlight w:val="none"/>
              </w:rPr>
            </w:pPr>
            <w:r>
              <w:rPr>
                <w:rFonts w:cs="Times New Roman"/>
                <w:color w:val="auto"/>
                <w:kern w:val="0"/>
                <w:sz w:val="21"/>
                <w:highlight w:val="none"/>
              </w:rPr>
              <w:t>自动化控制复杂，管理麻烦。</w:t>
            </w:r>
          </w:p>
        </w:tc>
        <w:tc>
          <w:tcPr>
            <w:tcW w:w="3056" w:type="dxa"/>
            <w:vAlign w:val="center"/>
          </w:tcPr>
          <w:p>
            <w:pPr>
              <w:autoSpaceDE w:val="0"/>
              <w:autoSpaceDN w:val="0"/>
              <w:adjustRightInd w:val="0"/>
              <w:spacing w:beforeLines="0" w:afterLines="0" w:line="240" w:lineRule="auto"/>
              <w:ind w:firstLine="0" w:firstLineChars="0"/>
              <w:rPr>
                <w:rFonts w:cs="Times New Roman"/>
                <w:color w:val="auto"/>
                <w:kern w:val="0"/>
                <w:sz w:val="21"/>
                <w:highlight w:val="none"/>
              </w:rPr>
            </w:pPr>
            <w:r>
              <w:rPr>
                <w:rFonts w:cs="Times New Roman"/>
                <w:color w:val="auto"/>
                <w:kern w:val="0"/>
                <w:sz w:val="21"/>
                <w:highlight w:val="none"/>
              </w:rPr>
              <w:t>运行自动化程度高、可根据用水量自动投入运行的模块数、管理方便。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22" w:type="dxa"/>
            <w:vAlign w:val="center"/>
          </w:tcPr>
          <w:p>
            <w:pPr>
              <w:autoSpaceDE w:val="0"/>
              <w:autoSpaceDN w:val="0"/>
              <w:adjustRightInd w:val="0"/>
              <w:spacing w:beforeLines="0" w:afterLines="0" w:line="240" w:lineRule="auto"/>
              <w:ind w:firstLine="0" w:firstLineChars="0"/>
              <w:jc w:val="center"/>
              <w:rPr>
                <w:rFonts w:cs="Times New Roman"/>
                <w:color w:val="auto"/>
                <w:kern w:val="0"/>
                <w:sz w:val="21"/>
                <w:highlight w:val="none"/>
              </w:rPr>
            </w:pPr>
            <w:r>
              <w:rPr>
                <w:rFonts w:cs="Times New Roman"/>
                <w:color w:val="auto"/>
                <w:kern w:val="0"/>
                <w:sz w:val="21"/>
                <w:highlight w:val="none"/>
              </w:rPr>
              <w:t>一次直接建设投资</w:t>
            </w:r>
          </w:p>
        </w:tc>
        <w:tc>
          <w:tcPr>
            <w:tcW w:w="3118" w:type="dxa"/>
            <w:vAlign w:val="center"/>
          </w:tcPr>
          <w:p>
            <w:pPr>
              <w:autoSpaceDE w:val="0"/>
              <w:autoSpaceDN w:val="0"/>
              <w:adjustRightInd w:val="0"/>
              <w:spacing w:beforeLines="0" w:afterLines="0" w:line="240" w:lineRule="auto"/>
              <w:ind w:firstLine="0" w:firstLineChars="0"/>
              <w:jc w:val="center"/>
              <w:rPr>
                <w:rFonts w:cs="Times New Roman"/>
                <w:color w:val="auto"/>
                <w:kern w:val="0"/>
                <w:sz w:val="21"/>
                <w:highlight w:val="none"/>
              </w:rPr>
            </w:pPr>
            <w:r>
              <w:rPr>
                <w:rFonts w:cs="Times New Roman"/>
                <w:color w:val="auto"/>
                <w:kern w:val="0"/>
                <w:sz w:val="21"/>
                <w:highlight w:val="none"/>
              </w:rPr>
              <w:t>1800万</w:t>
            </w:r>
          </w:p>
        </w:tc>
        <w:tc>
          <w:tcPr>
            <w:tcW w:w="3056" w:type="dxa"/>
            <w:vAlign w:val="center"/>
          </w:tcPr>
          <w:p>
            <w:pPr>
              <w:autoSpaceDE w:val="0"/>
              <w:autoSpaceDN w:val="0"/>
              <w:adjustRightInd w:val="0"/>
              <w:spacing w:beforeLines="0" w:afterLines="0" w:line="240" w:lineRule="auto"/>
              <w:ind w:firstLine="0" w:firstLineChars="0"/>
              <w:jc w:val="center"/>
              <w:rPr>
                <w:rFonts w:cs="Times New Roman"/>
                <w:color w:val="auto"/>
                <w:kern w:val="0"/>
                <w:sz w:val="21"/>
                <w:highlight w:val="none"/>
              </w:rPr>
            </w:pPr>
            <w:r>
              <w:rPr>
                <w:rFonts w:cs="Times New Roman"/>
                <w:color w:val="auto"/>
                <w:kern w:val="0"/>
                <w:sz w:val="21"/>
                <w:highlight w:val="none"/>
              </w:rPr>
              <w:t>1130万</w:t>
            </w:r>
          </w:p>
        </w:tc>
      </w:tr>
    </w:tbl>
    <w:p>
      <w:pPr>
        <w:ind w:firstLine="480"/>
        <w:rPr>
          <w:color w:val="auto"/>
          <w:highlight w:val="none"/>
        </w:rPr>
        <w:sectPr>
          <w:type w:val="continuous"/>
          <w:pgSz w:w="11906" w:h="16838"/>
          <w:pgMar w:top="1440" w:right="1800" w:bottom="1440" w:left="1800" w:header="851" w:footer="992" w:gutter="0"/>
          <w:cols w:space="425" w:num="1"/>
          <w:docGrid w:type="lines" w:linePitch="312" w:charSpace="0"/>
        </w:sectPr>
      </w:pPr>
      <w:r>
        <w:rPr>
          <w:color w:val="auto"/>
          <w:highlight w:val="none"/>
        </w:rPr>
        <w:t>根据本项目规划，</w:t>
      </w:r>
      <w:r>
        <w:rPr>
          <w:rFonts w:hint="eastAsia"/>
          <w:color w:val="auto"/>
          <w:highlight w:val="none"/>
        </w:rPr>
        <w:t>东部水厂</w:t>
      </w:r>
      <w:r>
        <w:rPr>
          <w:color w:val="auto"/>
          <w:highlight w:val="none"/>
        </w:rPr>
        <w:t>主体处理单元选择模块化净水系统。</w:t>
      </w:r>
    </w:p>
    <w:p>
      <w:pPr>
        <w:pStyle w:val="4"/>
        <w:rPr>
          <w:color w:val="auto"/>
          <w:highlight w:val="none"/>
        </w:rPr>
      </w:pPr>
      <w:r>
        <w:rPr>
          <w:rFonts w:hint="eastAsia"/>
          <w:color w:val="auto"/>
          <w:highlight w:val="none"/>
        </w:rPr>
        <w:t>5.6.8主要工艺单元设计</w:t>
      </w:r>
    </w:p>
    <w:p>
      <w:pPr>
        <w:pStyle w:val="5"/>
        <w:rPr>
          <w:color w:val="auto"/>
          <w:highlight w:val="none"/>
        </w:rPr>
      </w:pPr>
      <w:r>
        <w:rPr>
          <w:rFonts w:hint="eastAsia"/>
          <w:color w:val="auto"/>
          <w:highlight w:val="none"/>
        </w:rPr>
        <w:t>5.6.8.1</w:t>
      </w:r>
      <w:r>
        <w:rPr>
          <w:color w:val="auto"/>
          <w:highlight w:val="none"/>
        </w:rPr>
        <w:t>模块化净水设备工艺</w:t>
      </w:r>
    </w:p>
    <w:p>
      <w:pPr>
        <w:ind w:firstLine="480"/>
        <w:rPr>
          <w:rFonts w:cs="Times New Roman"/>
          <w:color w:val="auto"/>
          <w:highlight w:val="none"/>
        </w:rPr>
      </w:pPr>
      <w:r>
        <w:rPr>
          <w:rFonts w:cs="Times New Roman"/>
          <w:color w:val="auto"/>
          <w:highlight w:val="none"/>
        </w:rPr>
        <w:t>1、混合工艺</w:t>
      </w:r>
    </w:p>
    <w:p>
      <w:pPr>
        <w:ind w:firstLine="480"/>
        <w:rPr>
          <w:rFonts w:cs="Times New Roman"/>
          <w:color w:val="auto"/>
          <w:highlight w:val="none"/>
        </w:rPr>
      </w:pPr>
      <w:r>
        <w:rPr>
          <w:color w:val="auto"/>
          <w:highlight w:val="none"/>
        </w:rPr>
        <w:t>目前在净水项目的设计中，广泛采用先进的管式静态混合器，其内部结构具有分割流体、径向混合和交叉混合等作用。在絮凝状态下，组合单元两端产生漩涡，这种漩涡可产生反向旋流混合作用，从而能促进两种介质在瞬间达到快速急剧的有效混合。使混合质在各个方向扩散，既均化了混凝剂在被处理水中的分布，又提高了接触面积，混合效果好。管式静态混合器的结构</w:t>
      </w:r>
      <w:r>
        <w:rPr>
          <w:rFonts w:cs="Times New Roman"/>
          <w:color w:val="auto"/>
          <w:highlight w:val="none"/>
        </w:rPr>
        <w:t xml:space="preserve">示意图如下： </w:t>
      </w:r>
    </w:p>
    <w:p>
      <w:pPr>
        <w:ind w:firstLine="480"/>
        <w:rPr>
          <w:rFonts w:cs="Times New Roman"/>
          <w:color w:val="auto"/>
          <w:highlight w:val="none"/>
        </w:rPr>
      </w:pPr>
      <w:r>
        <w:rPr>
          <w:rFonts w:cs="Times New Roman"/>
          <w:color w:val="auto"/>
          <w:highlight w:val="none"/>
        </w:rPr>
        <w:drawing>
          <wp:anchor distT="0" distB="0" distL="114300" distR="114300" simplePos="0" relativeHeight="251664384" behindDoc="0" locked="0" layoutInCell="1" allowOverlap="1">
            <wp:simplePos x="0" y="0"/>
            <wp:positionH relativeFrom="margin">
              <wp:posOffset>352425</wp:posOffset>
            </wp:positionH>
            <wp:positionV relativeFrom="margin">
              <wp:posOffset>2570480</wp:posOffset>
            </wp:positionV>
            <wp:extent cx="4656455" cy="1483360"/>
            <wp:effectExtent l="19050" t="0" r="0" b="0"/>
            <wp:wrapNone/>
            <wp:docPr id="5" name="图片 5" descr="说明: 4XUA4O@R(DZ~@OY%_[8IH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说明: 4XUA4O@R(DZ~@OY%_[8IHXM"/>
                    <pic:cNvPicPr>
                      <a:picLocks noChangeAspect="1" noChangeArrowheads="1"/>
                    </pic:cNvPicPr>
                  </pic:nvPicPr>
                  <pic:blipFill>
                    <a:blip r:embed="rId36" cstate="print">
                      <a:extLst>
                        <a:ext uri="{28A0092B-C50C-407E-A947-70E740481C1C}">
                          <a14:useLocalDpi xmlns:a14="http://schemas.microsoft.com/office/drawing/2010/main" val="0"/>
                        </a:ext>
                      </a:extLst>
                    </a:blip>
                    <a:srcRect l="3619" t="568" r="2715" b="2658"/>
                    <a:stretch>
                      <a:fillRect/>
                    </a:stretch>
                  </pic:blipFill>
                  <pic:spPr>
                    <a:xfrm>
                      <a:off x="0" y="0"/>
                      <a:ext cx="4656455" cy="1483360"/>
                    </a:xfrm>
                    <a:prstGeom prst="rect">
                      <a:avLst/>
                    </a:prstGeom>
                    <a:noFill/>
                    <a:ln>
                      <a:noFill/>
                    </a:ln>
                  </pic:spPr>
                </pic:pic>
              </a:graphicData>
            </a:graphic>
          </wp:anchor>
        </w:drawing>
      </w:r>
    </w:p>
    <w:p>
      <w:pPr>
        <w:ind w:firstLine="480"/>
        <w:rPr>
          <w:rFonts w:cs="Times New Roman"/>
          <w:color w:val="auto"/>
          <w:highlight w:val="none"/>
        </w:rPr>
      </w:pPr>
    </w:p>
    <w:p>
      <w:pPr>
        <w:ind w:firstLine="480"/>
        <w:rPr>
          <w:rFonts w:cs="Times New Roman"/>
          <w:color w:val="auto"/>
          <w:highlight w:val="none"/>
        </w:rPr>
      </w:pPr>
    </w:p>
    <w:p>
      <w:pPr>
        <w:ind w:firstLine="480"/>
        <w:rPr>
          <w:rFonts w:cs="Times New Roman"/>
          <w:color w:val="auto"/>
          <w:highlight w:val="none"/>
        </w:rPr>
      </w:pPr>
    </w:p>
    <w:p>
      <w:pPr>
        <w:ind w:firstLine="480"/>
        <w:rPr>
          <w:rFonts w:cs="Times New Roman"/>
          <w:color w:val="auto"/>
          <w:highlight w:val="none"/>
        </w:rPr>
      </w:pPr>
    </w:p>
    <w:p>
      <w:pPr>
        <w:ind w:firstLine="422"/>
        <w:jc w:val="center"/>
        <w:rPr>
          <w:rFonts w:cs="Times New Roman"/>
          <w:b/>
          <w:bCs/>
          <w:color w:val="auto"/>
          <w:sz w:val="21"/>
          <w:highlight w:val="none"/>
        </w:rPr>
      </w:pPr>
      <w:r>
        <w:rPr>
          <w:rFonts w:cs="Times New Roman"/>
          <w:b/>
          <w:bCs/>
          <w:color w:val="auto"/>
          <w:sz w:val="21"/>
          <w:highlight w:val="none"/>
        </w:rPr>
        <w:t>图</w:t>
      </w:r>
      <w:r>
        <w:rPr>
          <w:rFonts w:hint="eastAsia" w:cs="Times New Roman"/>
          <w:b/>
          <w:bCs/>
          <w:color w:val="auto"/>
          <w:sz w:val="21"/>
          <w:highlight w:val="none"/>
        </w:rPr>
        <w:t>5.6-3</w:t>
      </w:r>
      <w:r>
        <w:rPr>
          <w:rFonts w:cs="Times New Roman"/>
          <w:b/>
          <w:bCs/>
          <w:color w:val="auto"/>
          <w:sz w:val="21"/>
          <w:highlight w:val="none"/>
        </w:rPr>
        <w:t>管式静态混合器示意图</w:t>
      </w:r>
    </w:p>
    <w:p>
      <w:pPr>
        <w:ind w:firstLine="480"/>
        <w:rPr>
          <w:rFonts w:cs="Times New Roman"/>
          <w:color w:val="auto"/>
          <w:highlight w:val="none"/>
        </w:rPr>
      </w:pPr>
      <w:bookmarkStart w:id="63" w:name="_Toc16740"/>
      <w:bookmarkStart w:id="64" w:name="_Toc12122"/>
      <w:bookmarkStart w:id="65" w:name="_Toc379899010"/>
      <w:r>
        <w:rPr>
          <w:rFonts w:cs="Times New Roman"/>
          <w:color w:val="auto"/>
          <w:highlight w:val="none"/>
        </w:rPr>
        <w:t>2、絮凝工艺</w:t>
      </w:r>
      <w:bookmarkEnd w:id="63"/>
      <w:bookmarkEnd w:id="64"/>
      <w:bookmarkEnd w:id="65"/>
      <w:r>
        <w:rPr>
          <w:rFonts w:cs="Times New Roman"/>
          <w:color w:val="auto"/>
          <w:highlight w:val="none"/>
        </w:rPr>
        <w:t xml:space="preserve"> </w:t>
      </w:r>
    </w:p>
    <w:p>
      <w:pPr>
        <w:ind w:firstLine="480"/>
        <w:rPr>
          <w:rFonts w:cs="Times New Roman"/>
          <w:color w:val="auto"/>
          <w:highlight w:val="none"/>
        </w:rPr>
      </w:pPr>
      <w:r>
        <w:rPr>
          <w:rFonts w:cs="Times New Roman"/>
          <w:color w:val="auto"/>
          <w:highlight w:val="none"/>
        </w:rPr>
        <w:t>絮凝阶段的主要任务是，创造适当的水力条件，使药剂与水混合后所产生的微絮凝体，在一定时间内凝聚成具有良好物理性能的絮凝体，它应有足够大的粒度（0.6～1.0mm）、密度和强度（不易破碎）；并为杂质颗粒在沉淀澄清阶段迅速沉降分离创造良好的条件。</w:t>
      </w:r>
    </w:p>
    <w:p>
      <w:pPr>
        <w:ind w:firstLine="480"/>
        <w:rPr>
          <w:rFonts w:cs="Times New Roman"/>
          <w:color w:val="auto"/>
          <w:highlight w:val="none"/>
        </w:rPr>
      </w:pPr>
      <w:r>
        <w:rPr>
          <w:rFonts w:cs="Times New Roman"/>
          <w:color w:val="auto"/>
          <w:highlight w:val="none"/>
        </w:rPr>
        <w:t>絮凝池的类型有很多种，我们采用的是多级旋流絮凝池中最常用的一种穿孔旋流絮凝池，穿孔旋流絮凝池是由若干方格组成，分格数一般不少于6格，各格之间的隔墙上沿池壁开孔，孔口上下交错布置。水流沿池壁切线方向进入后形成旋流。第一格孔口尺寸最小，流速最大，水流在池内旋流转速也最大。而后孔口尺寸逐渐增大，流速逐格减小，速度梯度G值也相应逐格减小以适应絮凝体的成长。絮凝时间16～25min。但是普通的絮凝池存在施工难度大、防腐效果差，模块化净水设备采用了均压阀技术。保证了絮凝井之间的水位均衡，水位高差不超过20～30mm，当水位高差小于此数据时均压阀保持关闭，当超过此数据时均压阀自动开启，调节水位保持平衡。</w:t>
      </w:r>
      <w:bookmarkStart w:id="66" w:name="_Toc14504"/>
      <w:bookmarkStart w:id="67" w:name="_Toc12738"/>
      <w:bookmarkStart w:id="68" w:name="_Toc379899011"/>
    </w:p>
    <w:p>
      <w:pPr>
        <w:ind w:firstLine="480"/>
        <w:rPr>
          <w:rFonts w:cs="Times New Roman"/>
          <w:color w:val="auto"/>
          <w:highlight w:val="none"/>
        </w:rPr>
      </w:pPr>
      <w:r>
        <w:rPr>
          <w:rFonts w:cs="Times New Roman"/>
          <w:color w:val="auto"/>
          <w:highlight w:val="none"/>
        </w:rPr>
        <w:t>3、沉淀工艺</w:t>
      </w:r>
      <w:bookmarkEnd w:id="66"/>
      <w:bookmarkEnd w:id="67"/>
      <w:bookmarkEnd w:id="68"/>
      <w:r>
        <w:rPr>
          <w:rFonts w:cs="Times New Roman"/>
          <w:color w:val="auto"/>
          <w:highlight w:val="none"/>
        </w:rPr>
        <w:t xml:space="preserve"> </w:t>
      </w:r>
    </w:p>
    <w:p>
      <w:pPr>
        <w:ind w:firstLine="480"/>
        <w:rPr>
          <w:rFonts w:cs="Times New Roman"/>
          <w:color w:val="auto"/>
          <w:highlight w:val="none"/>
        </w:rPr>
      </w:pPr>
      <w:r>
        <w:rPr>
          <w:rFonts w:cs="Times New Roman"/>
          <w:color w:val="auto"/>
          <w:highlight w:val="none"/>
        </w:rPr>
        <w:drawing>
          <wp:anchor distT="0" distB="0" distL="114300" distR="114300" simplePos="0" relativeHeight="251662336" behindDoc="0" locked="0" layoutInCell="1" allowOverlap="1">
            <wp:simplePos x="0" y="0"/>
            <wp:positionH relativeFrom="column">
              <wp:posOffset>1767205</wp:posOffset>
            </wp:positionH>
            <wp:positionV relativeFrom="paragraph">
              <wp:posOffset>852170</wp:posOffset>
            </wp:positionV>
            <wp:extent cx="1676400" cy="1422400"/>
            <wp:effectExtent l="0" t="0" r="0" b="0"/>
            <wp:wrapNone/>
            <wp:docPr id="4" name="图片 4" descr="{D6307609-67C3-4A94-A3D7-17FF2734D2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6307609-67C3-4A94-A3D7-17FF2734D207}.bmp"/>
                    <pic:cNvPicPr>
                      <a:picLocks noChangeAspect="1" noChangeArrowheads="1"/>
                    </pic:cNvPicPr>
                  </pic:nvPicPr>
                  <pic:blipFill>
                    <a:blip r:embed="rId37" cstate="print">
                      <a:extLst>
                        <a:ext uri="{28A0092B-C50C-407E-A947-70E740481C1C}">
                          <a14:useLocalDpi xmlns:a14="http://schemas.microsoft.com/office/drawing/2010/main" val="0"/>
                        </a:ext>
                      </a:extLst>
                    </a:blip>
                    <a:srcRect t="4045" r="4927"/>
                    <a:stretch>
                      <a:fillRect/>
                    </a:stretch>
                  </pic:blipFill>
                  <pic:spPr>
                    <a:xfrm>
                      <a:off x="0" y="0"/>
                      <a:ext cx="1674495" cy="1420784"/>
                    </a:xfrm>
                    <a:prstGeom prst="rect">
                      <a:avLst/>
                    </a:prstGeom>
                    <a:noFill/>
                    <a:ln>
                      <a:noFill/>
                    </a:ln>
                  </pic:spPr>
                </pic:pic>
              </a:graphicData>
            </a:graphic>
          </wp:anchor>
        </w:drawing>
      </w:r>
      <w:r>
        <w:rPr>
          <w:rFonts w:cs="Times New Roman"/>
          <w:color w:val="auto"/>
          <w:highlight w:val="none"/>
        </w:rPr>
        <w:t>斜管沉淀池是把与水平面成一定角度（一般60°左右）和管状组件（断面矩形或六角形等）置于沉淀池中构成。水流从下向上流动，颗粒则沉于众多斜管底部，而后自动滑下。斜管沉淀池的沉淀原理如图</w:t>
      </w:r>
      <w:r>
        <w:rPr>
          <w:rFonts w:hint="eastAsia" w:cs="Times New Roman"/>
          <w:color w:val="auto"/>
          <w:highlight w:val="none"/>
        </w:rPr>
        <w:t>5.8-4</w:t>
      </w:r>
      <w:r>
        <w:rPr>
          <w:rFonts w:cs="Times New Roman"/>
          <w:color w:val="auto"/>
          <w:highlight w:val="none"/>
        </w:rPr>
        <w:t>所示。</w:t>
      </w:r>
    </w:p>
    <w:p>
      <w:pPr>
        <w:ind w:firstLine="480"/>
        <w:rPr>
          <w:rFonts w:cs="Times New Roman"/>
          <w:color w:val="auto"/>
          <w:highlight w:val="none"/>
        </w:rPr>
      </w:pPr>
    </w:p>
    <w:p>
      <w:pPr>
        <w:ind w:firstLine="480"/>
        <w:rPr>
          <w:rFonts w:cs="Times New Roman"/>
          <w:color w:val="auto"/>
          <w:highlight w:val="none"/>
        </w:rPr>
      </w:pPr>
    </w:p>
    <w:p>
      <w:pPr>
        <w:ind w:firstLine="480"/>
        <w:rPr>
          <w:rFonts w:cs="Times New Roman"/>
          <w:color w:val="auto"/>
          <w:highlight w:val="none"/>
        </w:rPr>
      </w:pPr>
    </w:p>
    <w:p>
      <w:pPr>
        <w:ind w:firstLine="480"/>
        <w:rPr>
          <w:rFonts w:cs="Times New Roman"/>
          <w:color w:val="auto"/>
          <w:highlight w:val="none"/>
        </w:rPr>
      </w:pPr>
    </w:p>
    <w:p>
      <w:pPr>
        <w:ind w:firstLine="480"/>
        <w:rPr>
          <w:rFonts w:cs="Times New Roman"/>
          <w:color w:val="auto"/>
          <w:highlight w:val="none"/>
        </w:rPr>
      </w:pPr>
    </w:p>
    <w:p>
      <w:pPr>
        <w:ind w:firstLine="0" w:firstLineChars="0"/>
        <w:jc w:val="center"/>
        <w:rPr>
          <w:rFonts w:cs="Times New Roman"/>
          <w:b/>
          <w:bCs/>
          <w:color w:val="auto"/>
          <w:sz w:val="21"/>
          <w:highlight w:val="none"/>
        </w:rPr>
      </w:pPr>
      <w:r>
        <w:rPr>
          <w:rFonts w:cs="Times New Roman"/>
          <w:b/>
          <w:bCs/>
          <w:color w:val="auto"/>
          <w:sz w:val="21"/>
          <w:highlight w:val="none"/>
        </w:rPr>
        <w:t>图</w:t>
      </w:r>
      <w:r>
        <w:rPr>
          <w:rFonts w:hint="eastAsia" w:cs="Times New Roman"/>
          <w:b/>
          <w:bCs/>
          <w:color w:val="auto"/>
          <w:sz w:val="21"/>
          <w:highlight w:val="none"/>
        </w:rPr>
        <w:t xml:space="preserve">5.6-4  </w:t>
      </w:r>
      <w:r>
        <w:rPr>
          <w:rFonts w:cs="Times New Roman"/>
          <w:b/>
          <w:bCs/>
          <w:color w:val="auto"/>
          <w:sz w:val="21"/>
          <w:highlight w:val="none"/>
        </w:rPr>
        <w:t>斜管沉淀池原理示意图</w:t>
      </w:r>
    </w:p>
    <w:p>
      <w:pPr>
        <w:ind w:firstLine="480"/>
        <w:rPr>
          <w:rFonts w:cs="Times New Roman"/>
          <w:color w:val="auto"/>
          <w:highlight w:val="none"/>
        </w:rPr>
      </w:pPr>
      <w:r>
        <w:rPr>
          <w:rFonts w:cs="Times New Roman"/>
          <w:color w:val="auto"/>
          <w:highlight w:val="none"/>
        </w:rPr>
        <w:drawing>
          <wp:anchor distT="0" distB="0" distL="114300" distR="114300" simplePos="0" relativeHeight="251663360" behindDoc="0" locked="0" layoutInCell="1" allowOverlap="1">
            <wp:simplePos x="0" y="0"/>
            <wp:positionH relativeFrom="margin">
              <wp:posOffset>611505</wp:posOffset>
            </wp:positionH>
            <wp:positionV relativeFrom="margin">
              <wp:posOffset>4028440</wp:posOffset>
            </wp:positionV>
            <wp:extent cx="4293870" cy="3476625"/>
            <wp:effectExtent l="19050" t="0" r="0" b="0"/>
            <wp:wrapNone/>
            <wp:docPr id="8" name="图片 3" descr="斜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斜管.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293893" cy="3476446"/>
                    </a:xfrm>
                    <a:prstGeom prst="rect">
                      <a:avLst/>
                    </a:prstGeom>
                    <a:noFill/>
                    <a:ln>
                      <a:noFill/>
                    </a:ln>
                  </pic:spPr>
                </pic:pic>
              </a:graphicData>
            </a:graphic>
          </wp:anchor>
        </w:drawing>
      </w:r>
      <w:r>
        <w:rPr>
          <w:rFonts w:cs="Times New Roman"/>
          <w:color w:val="auto"/>
          <w:highlight w:val="none"/>
        </w:rPr>
        <w:t>在斜管沉淀池中，水的流动方向是是从斜管底部进入，上部流出，沉泥由管的下端滑出，水与泥层呈相反方向运动，故一般称异向流斜管沉淀池，如图</w:t>
      </w:r>
      <w:r>
        <w:rPr>
          <w:rFonts w:hint="eastAsia" w:cs="Times New Roman"/>
          <w:color w:val="auto"/>
          <w:highlight w:val="none"/>
        </w:rPr>
        <w:t>5.8-5</w:t>
      </w:r>
      <w:r>
        <w:rPr>
          <w:rFonts w:cs="Times New Roman"/>
          <w:color w:val="auto"/>
          <w:highlight w:val="none"/>
        </w:rPr>
        <w:t>所示。</w:t>
      </w:r>
    </w:p>
    <w:p>
      <w:pPr>
        <w:ind w:firstLine="480"/>
        <w:rPr>
          <w:rFonts w:cs="Times New Roman"/>
          <w:color w:val="auto"/>
          <w:highlight w:val="none"/>
        </w:rPr>
      </w:pPr>
    </w:p>
    <w:p>
      <w:pPr>
        <w:ind w:firstLine="480"/>
        <w:rPr>
          <w:rFonts w:cs="Times New Roman"/>
          <w:color w:val="auto"/>
          <w:highlight w:val="none"/>
        </w:rPr>
      </w:pPr>
    </w:p>
    <w:p>
      <w:pPr>
        <w:ind w:firstLine="480"/>
        <w:rPr>
          <w:rFonts w:cs="Times New Roman"/>
          <w:color w:val="auto"/>
          <w:highlight w:val="none"/>
        </w:rPr>
      </w:pPr>
    </w:p>
    <w:p>
      <w:pPr>
        <w:ind w:firstLine="480"/>
        <w:rPr>
          <w:rFonts w:cs="Times New Roman"/>
          <w:color w:val="auto"/>
          <w:highlight w:val="none"/>
        </w:rPr>
      </w:pPr>
    </w:p>
    <w:p>
      <w:pPr>
        <w:ind w:firstLine="480"/>
        <w:rPr>
          <w:rFonts w:cs="Times New Roman"/>
          <w:color w:val="auto"/>
          <w:highlight w:val="none"/>
        </w:rPr>
      </w:pPr>
    </w:p>
    <w:p>
      <w:pPr>
        <w:ind w:firstLine="480"/>
        <w:rPr>
          <w:rFonts w:cs="Times New Roman"/>
          <w:color w:val="auto"/>
          <w:highlight w:val="none"/>
        </w:rPr>
      </w:pPr>
    </w:p>
    <w:p>
      <w:pPr>
        <w:ind w:firstLine="480"/>
        <w:rPr>
          <w:rFonts w:cs="Times New Roman"/>
          <w:color w:val="auto"/>
          <w:highlight w:val="none"/>
        </w:rPr>
      </w:pPr>
    </w:p>
    <w:p>
      <w:pPr>
        <w:ind w:firstLine="480"/>
        <w:rPr>
          <w:rFonts w:cs="Times New Roman"/>
          <w:color w:val="auto"/>
          <w:highlight w:val="none"/>
        </w:rPr>
      </w:pPr>
    </w:p>
    <w:p>
      <w:pPr>
        <w:ind w:firstLine="480"/>
        <w:rPr>
          <w:rFonts w:cs="Times New Roman"/>
          <w:color w:val="auto"/>
          <w:highlight w:val="none"/>
        </w:rPr>
      </w:pPr>
    </w:p>
    <w:p>
      <w:pPr>
        <w:ind w:firstLine="480"/>
        <w:rPr>
          <w:rFonts w:cs="Times New Roman"/>
          <w:color w:val="auto"/>
          <w:highlight w:val="none"/>
        </w:rPr>
      </w:pPr>
    </w:p>
    <w:p>
      <w:pPr>
        <w:ind w:firstLine="480"/>
        <w:rPr>
          <w:rFonts w:cs="Times New Roman"/>
          <w:color w:val="auto"/>
          <w:highlight w:val="none"/>
        </w:rPr>
      </w:pPr>
    </w:p>
    <w:p>
      <w:pPr>
        <w:ind w:firstLine="422"/>
        <w:jc w:val="center"/>
        <w:rPr>
          <w:rFonts w:cs="Times New Roman"/>
          <w:b/>
          <w:bCs/>
          <w:color w:val="auto"/>
          <w:sz w:val="21"/>
          <w:highlight w:val="none"/>
        </w:rPr>
      </w:pPr>
      <w:r>
        <w:rPr>
          <w:rFonts w:cs="Times New Roman"/>
          <w:b/>
          <w:bCs/>
          <w:color w:val="auto"/>
          <w:sz w:val="21"/>
          <w:highlight w:val="none"/>
        </w:rPr>
        <w:t>图</w:t>
      </w:r>
      <w:r>
        <w:rPr>
          <w:rFonts w:hint="eastAsia" w:cs="Times New Roman"/>
          <w:b/>
          <w:bCs/>
          <w:color w:val="auto"/>
          <w:sz w:val="21"/>
          <w:highlight w:val="none"/>
        </w:rPr>
        <w:t>5.6-5</w:t>
      </w:r>
      <w:r>
        <w:rPr>
          <w:rFonts w:cs="Times New Roman"/>
          <w:b/>
          <w:bCs/>
          <w:color w:val="auto"/>
          <w:sz w:val="21"/>
          <w:highlight w:val="none"/>
        </w:rPr>
        <w:t xml:space="preserve">  斜管沉淀池</w:t>
      </w:r>
    </w:p>
    <w:p>
      <w:pPr>
        <w:ind w:firstLine="480"/>
        <w:rPr>
          <w:rFonts w:cs="Times New Roman"/>
          <w:color w:val="auto"/>
          <w:highlight w:val="none"/>
        </w:rPr>
      </w:pPr>
      <w:bookmarkStart w:id="69" w:name="_Toc14839"/>
      <w:bookmarkStart w:id="70" w:name="_Toc18455"/>
      <w:bookmarkStart w:id="71" w:name="_Toc379899012"/>
      <w:r>
        <w:rPr>
          <w:rFonts w:cs="Times New Roman"/>
          <w:color w:val="auto"/>
          <w:highlight w:val="none"/>
        </w:rPr>
        <w:t>4、过滤工艺</w:t>
      </w:r>
      <w:bookmarkEnd w:id="69"/>
      <w:bookmarkEnd w:id="70"/>
      <w:bookmarkEnd w:id="71"/>
    </w:p>
    <w:p>
      <w:pPr>
        <w:ind w:firstLine="480"/>
        <w:rPr>
          <w:rFonts w:cs="Times New Roman"/>
          <w:color w:val="auto"/>
          <w:highlight w:val="none"/>
        </w:rPr>
      </w:pPr>
      <w:r>
        <w:rPr>
          <w:rFonts w:cs="Times New Roman"/>
          <w:color w:val="auto"/>
          <w:highlight w:val="none"/>
        </w:rPr>
        <w:t>水的过滤原理是水流通过一定厚度、一定粒径的介质过滤层后达到过滤的效果。介质可以是石英砂、砂砾或其它的颗粒状的原料，过滤的等级取决于组成滤床的介质颗粒的直径和水流通过滤床的流速。</w:t>
      </w:r>
    </w:p>
    <w:p>
      <w:pPr>
        <w:ind w:firstLine="480"/>
        <w:rPr>
          <w:rFonts w:cs="Times New Roman"/>
          <w:color w:val="auto"/>
          <w:highlight w:val="none"/>
        </w:rPr>
      </w:pPr>
      <w:r>
        <w:rPr>
          <w:rFonts w:cs="Times New Roman"/>
          <w:color w:val="auto"/>
          <w:highlight w:val="none"/>
        </w:rPr>
        <w:t>水流从过滤器进水口进入并流经过滤层后，水中的悬浮杂质被过滤层所吸附滤后的水则从滤水帽流向出水口。过滤器的清洁可通过反冲洗来完成，些时的水流是反向从滤水帽向上流出，引起过滤层的紊流扰动，此时所吸附的杂质被释放出来并通过排放阀排出，反清洗过程可根据进出口的压差或定时来自动完成。</w:t>
      </w:r>
    </w:p>
    <w:p>
      <w:pPr>
        <w:pStyle w:val="5"/>
        <w:rPr>
          <w:color w:val="auto"/>
          <w:highlight w:val="none"/>
        </w:rPr>
      </w:pPr>
      <w:r>
        <w:rPr>
          <w:rFonts w:hint="eastAsia"/>
          <w:color w:val="auto"/>
          <w:highlight w:val="none"/>
        </w:rPr>
        <w:t>5.6.8.2主要工艺系统组成</w:t>
      </w:r>
    </w:p>
    <w:p>
      <w:pPr>
        <w:ind w:firstLine="480"/>
        <w:rPr>
          <w:color w:val="auto"/>
          <w:highlight w:val="none"/>
        </w:rPr>
      </w:pPr>
      <w:r>
        <w:rPr>
          <w:color w:val="auto"/>
          <w:highlight w:val="none"/>
        </w:rPr>
        <w:t>1、模块化净水系统</w:t>
      </w:r>
    </w:p>
    <w:p>
      <w:pPr>
        <w:ind w:firstLine="480"/>
        <w:rPr>
          <w:color w:val="auto"/>
          <w:highlight w:val="none"/>
        </w:rPr>
      </w:pPr>
      <w:r>
        <w:rPr>
          <w:color w:val="auto"/>
          <w:highlight w:val="none"/>
        </w:rPr>
        <w:t>DN600的入水总管分</w:t>
      </w:r>
      <w:r>
        <w:rPr>
          <w:rFonts w:hint="eastAsia"/>
          <w:color w:val="auto"/>
          <w:highlight w:val="none"/>
        </w:rPr>
        <w:t>7</w:t>
      </w:r>
      <w:r>
        <w:rPr>
          <w:color w:val="auto"/>
          <w:highlight w:val="none"/>
        </w:rPr>
        <w:t>路DN200分管，分管上通过安装电动阀来调节设备入水量，设备进水管前的静态混合器完成絮凝剂与原水的充分混合。</w:t>
      </w:r>
    </w:p>
    <w:p>
      <w:pPr>
        <w:ind w:firstLine="480"/>
        <w:rPr>
          <w:color w:val="auto"/>
          <w:highlight w:val="none"/>
        </w:rPr>
      </w:pPr>
      <w:r>
        <w:rPr>
          <w:color w:val="auto"/>
          <w:highlight w:val="none"/>
        </w:rPr>
        <w:t>采用2台新型2500</w:t>
      </w:r>
      <w:r>
        <w:rPr>
          <w:rFonts w:hint="eastAsia"/>
          <w:color w:val="auto"/>
          <w:highlight w:val="none"/>
        </w:rPr>
        <w:t>m</w:t>
      </w:r>
      <w:r>
        <w:rPr>
          <w:rFonts w:hint="eastAsia"/>
          <w:color w:val="auto"/>
          <w:highlight w:val="none"/>
          <w:vertAlign w:val="superscript"/>
        </w:rPr>
        <w:t>3</w:t>
      </w:r>
      <w:r>
        <w:rPr>
          <w:color w:val="auto"/>
          <w:highlight w:val="none"/>
        </w:rPr>
        <w:t>/</w:t>
      </w:r>
      <w:r>
        <w:rPr>
          <w:rFonts w:hint="eastAsia"/>
          <w:color w:val="auto"/>
          <w:highlight w:val="none"/>
        </w:rPr>
        <w:t>d及5台</w:t>
      </w:r>
      <w:r>
        <w:rPr>
          <w:color w:val="auto"/>
          <w:highlight w:val="none"/>
        </w:rPr>
        <w:t>新型</w:t>
      </w:r>
      <w:r>
        <w:rPr>
          <w:rFonts w:hint="eastAsia"/>
          <w:color w:val="auto"/>
          <w:highlight w:val="none"/>
        </w:rPr>
        <w:t>50</w:t>
      </w:r>
      <w:r>
        <w:rPr>
          <w:color w:val="auto"/>
          <w:highlight w:val="none"/>
        </w:rPr>
        <w:t>00</w:t>
      </w:r>
      <w:r>
        <w:rPr>
          <w:rFonts w:hint="eastAsia"/>
          <w:color w:val="auto"/>
          <w:highlight w:val="none"/>
        </w:rPr>
        <w:t>m</w:t>
      </w:r>
      <w:r>
        <w:rPr>
          <w:rFonts w:hint="eastAsia"/>
          <w:color w:val="auto"/>
          <w:highlight w:val="none"/>
          <w:vertAlign w:val="superscript"/>
        </w:rPr>
        <w:t>3</w:t>
      </w:r>
      <w:r>
        <w:rPr>
          <w:color w:val="auto"/>
          <w:highlight w:val="none"/>
        </w:rPr>
        <w:t>/</w:t>
      </w:r>
      <w:r>
        <w:rPr>
          <w:rFonts w:hint="eastAsia"/>
          <w:color w:val="auto"/>
          <w:highlight w:val="none"/>
        </w:rPr>
        <w:t>d</w:t>
      </w:r>
      <w:r>
        <w:rPr>
          <w:color w:val="auto"/>
          <w:highlight w:val="none"/>
        </w:rPr>
        <w:t>的净水模块。模块集絮凝、沉淀、过滤等工艺为一体，由方钢制成的框架和瓦楞钢板焊接构成。其长、宽、高分别为11680mm、4000mm、4480mm。采用具有专利的内防腐工艺技术，保证40年以上的设计使用寿命。</w:t>
      </w:r>
    </w:p>
    <w:p>
      <w:pPr>
        <w:ind w:firstLine="480"/>
        <w:rPr>
          <w:rFonts w:cs="Times New Roman"/>
          <w:color w:val="auto"/>
          <w:highlight w:val="none"/>
        </w:rPr>
      </w:pPr>
      <w:r>
        <w:rPr>
          <w:rFonts w:cs="Times New Roman"/>
          <w:color w:val="auto"/>
          <w:highlight w:val="none"/>
        </w:rPr>
        <w:t>外形图见下图</w:t>
      </w:r>
      <w:r>
        <w:rPr>
          <w:rFonts w:hint="eastAsia" w:cs="Times New Roman"/>
          <w:color w:val="auto"/>
          <w:highlight w:val="none"/>
        </w:rPr>
        <w:t>5.8-6</w:t>
      </w:r>
      <w:r>
        <w:rPr>
          <w:rFonts w:cs="Times New Roman"/>
          <w:color w:val="auto"/>
          <w:highlight w:val="none"/>
        </w:rPr>
        <w:t>。</w:t>
      </w:r>
    </w:p>
    <w:p>
      <w:pPr>
        <w:ind w:firstLine="480"/>
        <w:rPr>
          <w:rFonts w:cs="Times New Roman"/>
          <w:color w:val="auto"/>
          <w:highlight w:val="none"/>
        </w:rPr>
      </w:pPr>
      <w:r>
        <w:rPr>
          <w:color w:val="auto"/>
          <w:highlight w:val="none"/>
        </w:rPr>
        <w:drawing>
          <wp:inline distT="0" distB="0" distL="0" distR="0">
            <wp:extent cx="5274310" cy="2041525"/>
            <wp:effectExtent l="0" t="0" r="0" b="0"/>
            <wp:docPr id="10" name="图片 8" descr="说明: 设备剖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说明: 设备剖面图"/>
                    <pic:cNvPicPr>
                      <a:picLocks noChangeAspect="1" noChangeArrowheads="1"/>
                    </pic:cNvPicPr>
                  </pic:nvPicPr>
                  <pic:blipFill>
                    <a:blip r:embed="rId39" cstate="print">
                      <a:extLst>
                        <a:ext uri="{28A0092B-C50C-407E-A947-70E740481C1C}">
                          <a14:useLocalDpi xmlns:a14="http://schemas.microsoft.com/office/drawing/2010/main" val="0"/>
                        </a:ext>
                      </a:extLst>
                    </a:blip>
                    <a:srcRect l="2827" t="19119" r="2153" b="21138"/>
                    <a:stretch>
                      <a:fillRect/>
                    </a:stretch>
                  </pic:blipFill>
                  <pic:spPr>
                    <a:xfrm>
                      <a:off x="0" y="0"/>
                      <a:ext cx="5274310" cy="2041525"/>
                    </a:xfrm>
                    <a:prstGeom prst="rect">
                      <a:avLst/>
                    </a:prstGeom>
                    <a:noFill/>
                    <a:ln>
                      <a:noFill/>
                    </a:ln>
                  </pic:spPr>
                </pic:pic>
              </a:graphicData>
            </a:graphic>
          </wp:inline>
        </w:drawing>
      </w:r>
    </w:p>
    <w:p>
      <w:pPr>
        <w:ind w:firstLine="422"/>
        <w:jc w:val="center"/>
        <w:rPr>
          <w:rFonts w:cs="Times New Roman"/>
          <w:b/>
          <w:bCs/>
          <w:color w:val="auto"/>
          <w:sz w:val="21"/>
          <w:highlight w:val="none"/>
        </w:rPr>
      </w:pPr>
      <w:r>
        <w:rPr>
          <w:rFonts w:cs="Times New Roman"/>
          <w:b/>
          <w:bCs/>
          <w:color w:val="auto"/>
          <w:sz w:val="21"/>
          <w:highlight w:val="none"/>
        </w:rPr>
        <w:t>图</w:t>
      </w:r>
      <w:r>
        <w:rPr>
          <w:rFonts w:hint="eastAsia" w:cs="Times New Roman"/>
          <w:b/>
          <w:bCs/>
          <w:color w:val="auto"/>
          <w:sz w:val="21"/>
          <w:highlight w:val="none"/>
        </w:rPr>
        <w:t>5.6-6</w:t>
      </w:r>
      <w:r>
        <w:rPr>
          <w:rFonts w:cs="Times New Roman"/>
          <w:b/>
          <w:bCs/>
          <w:color w:val="auto"/>
          <w:sz w:val="21"/>
          <w:highlight w:val="none"/>
        </w:rPr>
        <w:t xml:space="preserve">  模块化净水设备的结构示意图</w:t>
      </w:r>
    </w:p>
    <w:p>
      <w:pPr>
        <w:ind w:firstLine="480"/>
        <w:rPr>
          <w:rFonts w:cs="Times New Roman"/>
          <w:color w:val="auto"/>
          <w:highlight w:val="none"/>
        </w:rPr>
      </w:pPr>
      <w:r>
        <w:rPr>
          <w:rFonts w:cs="Times New Roman"/>
          <w:color w:val="auto"/>
          <w:highlight w:val="none"/>
        </w:rPr>
        <w:t>控制方式为全自动式：</w:t>
      </w:r>
    </w:p>
    <w:p>
      <w:pPr>
        <w:ind w:firstLine="480"/>
        <w:rPr>
          <w:rFonts w:cs="Times New Roman"/>
          <w:color w:val="auto"/>
          <w:highlight w:val="none"/>
        </w:rPr>
      </w:pPr>
      <w:r>
        <w:rPr>
          <w:rFonts w:cs="Times New Roman"/>
          <w:color w:val="auto"/>
          <w:highlight w:val="none"/>
        </w:rPr>
        <w:t>（1）水池水位自动检测，根据清水池水位自动启停（入水阀门）；</w:t>
      </w:r>
    </w:p>
    <w:p>
      <w:pPr>
        <w:ind w:firstLine="480"/>
        <w:rPr>
          <w:rFonts w:cs="Times New Roman"/>
          <w:color w:val="auto"/>
          <w:highlight w:val="none"/>
        </w:rPr>
      </w:pPr>
      <w:r>
        <w:rPr>
          <w:rFonts w:cs="Times New Roman"/>
          <w:color w:val="auto"/>
          <w:highlight w:val="none"/>
        </w:rPr>
        <w:t>（2）自动检测过滤层水头损失，当过滤层水头损失达到设定值时自动启停入水阀门，打开电动排污阀，关闭电动出水阀，启动反冲洗泵和反冲阀门，对过滤层自动反冲洗；</w:t>
      </w:r>
    </w:p>
    <w:p>
      <w:pPr>
        <w:ind w:firstLine="480"/>
        <w:rPr>
          <w:rFonts w:cs="Times New Roman"/>
          <w:color w:val="auto"/>
          <w:highlight w:val="none"/>
        </w:rPr>
      </w:pPr>
      <w:r>
        <w:rPr>
          <w:rFonts w:cs="Times New Roman"/>
          <w:color w:val="auto"/>
          <w:highlight w:val="none"/>
        </w:rPr>
        <w:t>（3）模块化净化水装置采用国标钢制（材质：Q235B），壁厚5mm，瓦楞板型式。钢制设备焊接采用手工电弧焊或二氧化炭保护焊，焊接结构满足国家标准《焊接结构的一般尺寸公差和形位公差》（GB/T19804-2005）。</w:t>
      </w:r>
    </w:p>
    <w:p>
      <w:pPr>
        <w:ind w:firstLine="480"/>
        <w:rPr>
          <w:rFonts w:cs="Times New Roman"/>
          <w:color w:val="auto"/>
          <w:highlight w:val="none"/>
        </w:rPr>
      </w:pPr>
      <w:r>
        <w:rPr>
          <w:rFonts w:cs="Times New Roman"/>
          <w:color w:val="auto"/>
          <w:highlight w:val="none"/>
        </w:rPr>
        <w:t>（4）外防腐达到国家标准《涂装前钢材表面锈蚀等级和除锈等级》规定的Sa2.0等级。设计使用寿命不低于3年。</w:t>
      </w:r>
    </w:p>
    <w:p>
      <w:pPr>
        <w:ind w:firstLine="480"/>
        <w:rPr>
          <w:color w:val="auto"/>
          <w:highlight w:val="none"/>
        </w:rPr>
      </w:pPr>
      <w:r>
        <w:rPr>
          <w:color w:val="auto"/>
          <w:highlight w:val="none"/>
        </w:rPr>
        <w:t>2、自流出水系统</w:t>
      </w:r>
    </w:p>
    <w:p>
      <w:pPr>
        <w:ind w:firstLine="480"/>
        <w:rPr>
          <w:color w:val="auto"/>
          <w:highlight w:val="none"/>
        </w:rPr>
      </w:pPr>
      <w:r>
        <w:rPr>
          <w:color w:val="auto"/>
          <w:highlight w:val="none"/>
        </w:rPr>
        <w:t>模块化净水设备出水管选用DN250，由电动调节蝶阀控制设备出水量。出水总管选用DN700管路，出水总管</w:t>
      </w:r>
      <w:r>
        <w:rPr>
          <w:rFonts w:hint="eastAsia"/>
          <w:color w:val="auto"/>
          <w:highlight w:val="none"/>
        </w:rPr>
        <w:t>与</w:t>
      </w:r>
      <w:r>
        <w:rPr>
          <w:color w:val="auto"/>
          <w:highlight w:val="none"/>
        </w:rPr>
        <w:t>设清水池</w:t>
      </w:r>
      <w:r>
        <w:rPr>
          <w:rFonts w:hint="eastAsia"/>
          <w:color w:val="auto"/>
          <w:highlight w:val="none"/>
        </w:rPr>
        <w:t>连接</w:t>
      </w:r>
      <w:r>
        <w:rPr>
          <w:color w:val="auto"/>
          <w:highlight w:val="none"/>
        </w:rPr>
        <w:t>。</w:t>
      </w:r>
    </w:p>
    <w:p>
      <w:pPr>
        <w:ind w:firstLine="480"/>
        <w:rPr>
          <w:color w:val="auto"/>
          <w:highlight w:val="none"/>
        </w:rPr>
      </w:pPr>
      <w:r>
        <w:rPr>
          <w:color w:val="auto"/>
          <w:highlight w:val="none"/>
        </w:rPr>
        <w:t>3、反冲洗系统</w:t>
      </w:r>
    </w:p>
    <w:p>
      <w:pPr>
        <w:ind w:firstLine="480"/>
        <w:rPr>
          <w:color w:val="auto"/>
          <w:highlight w:val="none"/>
        </w:rPr>
      </w:pPr>
      <w:r>
        <w:rPr>
          <w:color w:val="auto"/>
          <w:highlight w:val="none"/>
        </w:rPr>
        <w:t>由反冲洗水泵及控制系统构成。</w:t>
      </w:r>
      <w:r>
        <w:rPr>
          <w:rFonts w:hint="eastAsia"/>
          <w:color w:val="auto"/>
          <w:highlight w:val="none"/>
        </w:rPr>
        <w:t>每个</w:t>
      </w:r>
      <w:r>
        <w:rPr>
          <w:color w:val="auto"/>
          <w:highlight w:val="none"/>
        </w:rPr>
        <w:t>模块过滤区总面积12m</w:t>
      </w:r>
      <w:r>
        <w:rPr>
          <w:color w:val="auto"/>
          <w:highlight w:val="none"/>
          <w:vertAlign w:val="superscript"/>
        </w:rPr>
        <w:t>2</w:t>
      </w:r>
      <w:r>
        <w:rPr>
          <w:color w:val="auto"/>
          <w:highlight w:val="none"/>
        </w:rPr>
        <w:t>，根据《室外给水设计规范 GB50013-2006》的规定，反冲洗强度为12～15L/(s·m</w:t>
      </w:r>
      <w:r>
        <w:rPr>
          <w:color w:val="auto"/>
          <w:highlight w:val="none"/>
          <w:vertAlign w:val="superscript"/>
        </w:rPr>
        <w:t>２</w:t>
      </w:r>
      <w:r>
        <w:rPr>
          <w:color w:val="auto"/>
          <w:highlight w:val="none"/>
        </w:rPr>
        <w:t>)，反冲强度按13L/(s·m</w:t>
      </w:r>
      <w:r>
        <w:rPr>
          <w:color w:val="auto"/>
          <w:highlight w:val="none"/>
          <w:vertAlign w:val="superscript"/>
        </w:rPr>
        <w:t>２</w:t>
      </w:r>
      <w:r>
        <w:rPr>
          <w:color w:val="auto"/>
          <w:highlight w:val="none"/>
        </w:rPr>
        <w:t>)计算得到反冲洗流量为560m</w:t>
      </w:r>
      <w:r>
        <w:rPr>
          <w:color w:val="auto"/>
          <w:highlight w:val="none"/>
          <w:vertAlign w:val="superscript"/>
        </w:rPr>
        <w:t>3</w:t>
      </w:r>
      <w:r>
        <w:rPr>
          <w:color w:val="auto"/>
          <w:highlight w:val="none"/>
        </w:rPr>
        <w:t>/h，因此，选用3台潜水供水泵，型号为：300QJ300-22-30（两用一备），每台流量300m</w:t>
      </w:r>
      <w:r>
        <w:rPr>
          <w:color w:val="auto"/>
          <w:highlight w:val="none"/>
          <w:vertAlign w:val="superscript"/>
        </w:rPr>
        <w:t>3</w:t>
      </w:r>
      <w:r>
        <w:rPr>
          <w:color w:val="auto"/>
          <w:highlight w:val="none"/>
        </w:rPr>
        <w:t>/h，扬程22</w:t>
      </w:r>
      <w:r>
        <w:rPr>
          <w:rFonts w:hint="eastAsia"/>
          <w:color w:val="auto"/>
          <w:highlight w:val="none"/>
        </w:rPr>
        <w:t>m</w:t>
      </w:r>
      <w:r>
        <w:rPr>
          <w:color w:val="auto"/>
          <w:highlight w:val="none"/>
        </w:rPr>
        <w:t>，功率30kW。</w:t>
      </w:r>
    </w:p>
    <w:p>
      <w:pPr>
        <w:ind w:firstLine="480"/>
        <w:rPr>
          <w:color w:val="auto"/>
          <w:highlight w:val="none"/>
        </w:rPr>
      </w:pPr>
      <w:r>
        <w:rPr>
          <w:color w:val="auto"/>
          <w:highlight w:val="none"/>
        </w:rPr>
        <w:t>反冲洗泵出水管为DN250，配备手动伸缩蝶阀及止回阀，反冲总管为DN400，反冲洗管入设备前配备DN250电动开关蝶阀及手动伸缩蝶阀及压力表。</w:t>
      </w:r>
    </w:p>
    <w:p>
      <w:pPr>
        <w:ind w:firstLine="480"/>
        <w:rPr>
          <w:color w:val="auto"/>
          <w:highlight w:val="none"/>
        </w:rPr>
      </w:pPr>
      <w:r>
        <w:rPr>
          <w:color w:val="auto"/>
          <w:highlight w:val="none"/>
        </w:rPr>
        <w:t>4、加药系统</w:t>
      </w:r>
    </w:p>
    <w:p>
      <w:pPr>
        <w:ind w:firstLine="480"/>
        <w:rPr>
          <w:color w:val="auto"/>
          <w:highlight w:val="none"/>
        </w:rPr>
      </w:pPr>
      <w:r>
        <w:rPr>
          <w:color w:val="auto"/>
          <w:highlight w:val="none"/>
        </w:rPr>
        <w:t>絮凝剂制配投加系统包括絮凝剂制配系统、计量投加泵、控制系统及配套管路管件等。</w:t>
      </w:r>
    </w:p>
    <w:p>
      <w:pPr>
        <w:ind w:firstLine="480"/>
        <w:rPr>
          <w:color w:val="auto"/>
          <w:highlight w:val="none"/>
        </w:rPr>
      </w:pPr>
      <w:r>
        <w:rPr>
          <w:color w:val="auto"/>
          <w:highlight w:val="none"/>
        </w:rPr>
        <w:t>絮凝剂的投加系统由机械隔膜泵、缓冲器，背压阀、安全阀等组成。</w:t>
      </w:r>
    </w:p>
    <w:p>
      <w:pPr>
        <w:ind w:firstLine="480"/>
        <w:rPr>
          <w:color w:val="auto"/>
          <w:highlight w:val="none"/>
        </w:rPr>
      </w:pPr>
      <w:r>
        <w:rPr>
          <w:color w:val="auto"/>
          <w:highlight w:val="none"/>
        </w:rPr>
        <w:t>5、消毒系统</w:t>
      </w:r>
    </w:p>
    <w:p>
      <w:pPr>
        <w:ind w:firstLine="480"/>
        <w:rPr>
          <w:color w:val="auto"/>
          <w:highlight w:val="none"/>
        </w:rPr>
      </w:pPr>
      <w:r>
        <w:rPr>
          <w:color w:val="auto"/>
          <w:highlight w:val="none"/>
        </w:rPr>
        <w:t>消毒是指杀灭外环境中病源微生物的方法。其目的是切断传染病的传播途径，预防传染病的发生或流行。据研究，可污染饮用水的致病微生物有上百种，为杜绝通过饮用水传染病的发生和流行，保证人体健康，生活饮用水必须经过消毒处理方可供饮用。</w:t>
      </w:r>
    </w:p>
    <w:p>
      <w:pPr>
        <w:ind w:firstLine="480"/>
        <w:rPr>
          <w:color w:val="auto"/>
          <w:highlight w:val="none"/>
        </w:rPr>
      </w:pPr>
      <w:r>
        <w:rPr>
          <w:color w:val="auto"/>
          <w:highlight w:val="none"/>
        </w:rPr>
        <w:t>目前我国用于饮用水消毒的方法主要有次氯酸钠消毒、二氧化氯消毒、紫外线消毒和臭氧消毒等。</w:t>
      </w:r>
    </w:p>
    <w:p>
      <w:pPr>
        <w:ind w:firstLine="480"/>
        <w:rPr>
          <w:color w:val="auto"/>
          <w:highlight w:val="none"/>
        </w:rPr>
      </w:pPr>
      <w:r>
        <w:rPr>
          <w:color w:val="auto"/>
          <w:highlight w:val="none"/>
        </w:rPr>
        <w:t>经比较可以看出，氯、氯胺和臭氧都有与水中有机物和无机化合物反应产生有毒的或有“三致”作用的副产物的可能；紫外消毒技术在消毒的剂量范围内不会产生副产物，但是紫外线消毒技术应用于自来水厂的还较少，需补加有余氯作用的药剂；二氧化氯消毒在原料采购、使用、运输等方面都收管控，原料盐酸目前国家管控严格，不方便采购运输储存在安全隐患！</w:t>
      </w:r>
    </w:p>
    <w:p>
      <w:pPr>
        <w:ind w:firstLine="480"/>
        <w:rPr>
          <w:color w:val="auto"/>
          <w:highlight w:val="none"/>
        </w:rPr>
      </w:pPr>
      <w:r>
        <w:rPr>
          <w:color w:val="auto"/>
          <w:highlight w:val="none"/>
        </w:rPr>
        <w:t>大量工程实践表明：次氯酸钠在消毒制水的应用领域里有其独特的优越性：不受pH值影响，水中溶解度大，杀藻灭菌速度快，分解速度慢，具有持续杀菌能力。</w:t>
      </w:r>
    </w:p>
    <w:p>
      <w:pPr>
        <w:ind w:firstLine="480"/>
        <w:rPr>
          <w:color w:val="auto"/>
          <w:highlight w:val="none"/>
        </w:rPr>
      </w:pPr>
      <w:r>
        <w:rPr>
          <w:color w:val="auto"/>
          <w:highlight w:val="none"/>
        </w:rPr>
        <w:t>目前通过电解低浓度食盐水生成0.8%次氯酸钠溶液，液态低浓度投加，可准确控制加氯量，由于氧化能力弱于氯气，三致物质较少，是最为安全的化学消毒方法，对环境无毒害，液态投药安全性好。因此，次氯酸钠效果卓越，明显优于其他常规消毒剂。随着人们对水质要求的日益提高，以目前国内饮用水消毒工艺的发展趋势，次氯酸钠消毒工艺将会逐渐取代其它消毒产品，在给排水行业被广泛应用。故本工程消毒工艺选用次氯酸钠消毒工艺。</w:t>
      </w:r>
    </w:p>
    <w:p>
      <w:pPr>
        <w:pStyle w:val="4"/>
        <w:rPr>
          <w:color w:val="auto"/>
          <w:highlight w:val="none"/>
        </w:rPr>
      </w:pPr>
      <w:r>
        <w:rPr>
          <w:rFonts w:hint="eastAsia"/>
          <w:color w:val="auto"/>
          <w:highlight w:val="none"/>
        </w:rPr>
        <w:t>5.6.9</w:t>
      </w:r>
      <w:r>
        <w:rPr>
          <w:color w:val="auto"/>
          <w:highlight w:val="none"/>
        </w:rPr>
        <w:t>配水井</w:t>
      </w:r>
    </w:p>
    <w:p>
      <w:pPr>
        <w:ind w:firstLine="480"/>
        <w:rPr>
          <w:color w:val="auto"/>
          <w:highlight w:val="none"/>
        </w:rPr>
      </w:pPr>
      <w:r>
        <w:rPr>
          <w:color w:val="auto"/>
          <w:highlight w:val="none"/>
        </w:rPr>
        <w:t>功能：配水井兼集水、稳流、配水作用。</w:t>
      </w:r>
    </w:p>
    <w:p>
      <w:pPr>
        <w:ind w:firstLine="480"/>
        <w:rPr>
          <w:color w:val="auto"/>
          <w:highlight w:val="none"/>
        </w:rPr>
      </w:pPr>
      <w:r>
        <w:rPr>
          <w:color w:val="auto"/>
          <w:highlight w:val="none"/>
        </w:rPr>
        <w:t>结构型式：地上钢混结构</w:t>
      </w:r>
    </w:p>
    <w:p>
      <w:pPr>
        <w:ind w:firstLine="480"/>
        <w:rPr>
          <w:color w:val="auto"/>
          <w:highlight w:val="none"/>
        </w:rPr>
      </w:pPr>
      <w:r>
        <w:rPr>
          <w:color w:val="auto"/>
          <w:highlight w:val="none"/>
        </w:rPr>
        <w:t>数量：1座</w:t>
      </w:r>
    </w:p>
    <w:p>
      <w:pPr>
        <w:ind w:firstLine="480"/>
        <w:rPr>
          <w:color w:val="auto"/>
          <w:highlight w:val="none"/>
        </w:rPr>
      </w:pPr>
      <w:r>
        <w:rPr>
          <w:color w:val="auto"/>
          <w:highlight w:val="none"/>
        </w:rPr>
        <w:t>设计参数：</w:t>
      </w:r>
    </w:p>
    <w:p>
      <w:pPr>
        <w:ind w:firstLine="480"/>
        <w:rPr>
          <w:color w:val="auto"/>
          <w:highlight w:val="none"/>
        </w:rPr>
      </w:pPr>
      <w:r>
        <w:rPr>
          <w:color w:val="auto"/>
          <w:highlight w:val="none"/>
        </w:rPr>
        <w:t>有效水深：3.5m</w:t>
      </w:r>
    </w:p>
    <w:p>
      <w:pPr>
        <w:ind w:firstLine="480"/>
        <w:rPr>
          <w:color w:val="auto"/>
          <w:sz w:val="16"/>
          <w:szCs w:val="16"/>
          <w:highlight w:val="none"/>
        </w:rPr>
      </w:pPr>
      <w:r>
        <w:rPr>
          <w:color w:val="auto"/>
          <w:highlight w:val="none"/>
        </w:rPr>
        <w:t>总 容 积：V=80</w:t>
      </w:r>
      <w:r>
        <w:rPr>
          <w:color w:val="auto"/>
          <w:szCs w:val="24"/>
          <w:highlight w:val="none"/>
        </w:rPr>
        <w:t>m</w:t>
      </w:r>
      <w:r>
        <w:rPr>
          <w:color w:val="auto"/>
          <w:szCs w:val="24"/>
          <w:highlight w:val="none"/>
          <w:vertAlign w:val="superscript"/>
        </w:rPr>
        <w:t>3</w:t>
      </w:r>
    </w:p>
    <w:p>
      <w:pPr>
        <w:ind w:firstLine="480"/>
        <w:rPr>
          <w:color w:val="auto"/>
          <w:highlight w:val="none"/>
        </w:rPr>
      </w:pPr>
      <w:r>
        <w:rPr>
          <w:color w:val="auto"/>
          <w:highlight w:val="none"/>
        </w:rPr>
        <w:t>池体尺寸：L×B×H =4×5×4m</w:t>
      </w:r>
    </w:p>
    <w:p>
      <w:pPr>
        <w:pStyle w:val="4"/>
        <w:rPr>
          <w:color w:val="auto"/>
          <w:highlight w:val="none"/>
        </w:rPr>
      </w:pPr>
      <w:r>
        <w:rPr>
          <w:rFonts w:hint="eastAsia"/>
          <w:color w:val="auto"/>
          <w:highlight w:val="none"/>
        </w:rPr>
        <w:t>5.6.10</w:t>
      </w:r>
      <w:r>
        <w:rPr>
          <w:color w:val="auto"/>
          <w:highlight w:val="none"/>
        </w:rPr>
        <w:t>清水池+吸水井</w:t>
      </w:r>
    </w:p>
    <w:p>
      <w:pPr>
        <w:ind w:firstLine="480"/>
        <w:rPr>
          <w:rFonts w:cs="Times New Roman"/>
          <w:color w:val="auto"/>
          <w:highlight w:val="none"/>
        </w:rPr>
      </w:pPr>
      <w:r>
        <w:rPr>
          <w:rFonts w:cs="Times New Roman"/>
          <w:color w:val="auto"/>
          <w:highlight w:val="none"/>
        </w:rPr>
        <w:t>清水池主要功能：接受并储存滤池产水，调节产水与供水差值，同时满足接触消毒的功能。</w:t>
      </w:r>
    </w:p>
    <w:p>
      <w:pPr>
        <w:ind w:firstLine="480"/>
        <w:rPr>
          <w:rFonts w:cs="Times New Roman"/>
          <w:color w:val="auto"/>
          <w:highlight w:val="none"/>
        </w:rPr>
      </w:pPr>
      <w:r>
        <w:rPr>
          <w:rFonts w:cs="Times New Roman"/>
          <w:color w:val="auto"/>
          <w:highlight w:val="none"/>
        </w:rPr>
        <w:t>结构类型：半地下式钢筋混凝土结构，池顶覆土。</w:t>
      </w:r>
    </w:p>
    <w:p>
      <w:pPr>
        <w:ind w:firstLine="480"/>
        <w:rPr>
          <w:rFonts w:cs="Times New Roman"/>
          <w:color w:val="auto"/>
          <w:highlight w:val="none"/>
        </w:rPr>
      </w:pPr>
      <w:r>
        <w:rPr>
          <w:rFonts w:cs="Times New Roman"/>
          <w:color w:val="auto"/>
          <w:highlight w:val="none"/>
        </w:rPr>
        <w:t>池体数量：</w:t>
      </w:r>
      <w:r>
        <w:rPr>
          <w:rFonts w:hint="eastAsia" w:cs="Times New Roman"/>
          <w:color w:val="auto"/>
          <w:highlight w:val="none"/>
        </w:rPr>
        <w:t>3</w:t>
      </w:r>
      <w:r>
        <w:rPr>
          <w:rFonts w:cs="Times New Roman"/>
          <w:color w:val="auto"/>
          <w:highlight w:val="none"/>
        </w:rPr>
        <w:t>座，</w:t>
      </w:r>
      <w:r>
        <w:rPr>
          <w:rFonts w:hint="eastAsia" w:cs="Times New Roman"/>
          <w:color w:val="auto"/>
          <w:highlight w:val="none"/>
        </w:rPr>
        <w:t>每座</w:t>
      </w:r>
      <w:r>
        <w:rPr>
          <w:rFonts w:cs="Times New Roman"/>
          <w:color w:val="auto"/>
          <w:highlight w:val="none"/>
        </w:rPr>
        <w:t>分两格</w:t>
      </w:r>
    </w:p>
    <w:p>
      <w:pPr>
        <w:ind w:firstLine="480"/>
        <w:rPr>
          <w:rFonts w:cs="Times New Roman"/>
          <w:color w:val="auto"/>
          <w:highlight w:val="none"/>
        </w:rPr>
      </w:pPr>
      <w:r>
        <w:rPr>
          <w:rFonts w:hint="eastAsia" w:cs="Times New Roman"/>
          <w:color w:val="auto"/>
          <w:highlight w:val="none"/>
        </w:rPr>
        <w:t>单座清水池</w:t>
      </w:r>
      <w:r>
        <w:rPr>
          <w:rFonts w:cs="Times New Roman"/>
          <w:color w:val="auto"/>
          <w:highlight w:val="none"/>
        </w:rPr>
        <w:t>主要参数：</w:t>
      </w:r>
    </w:p>
    <w:p>
      <w:pPr>
        <w:ind w:firstLine="1416" w:firstLineChars="590"/>
        <w:rPr>
          <w:rFonts w:cs="Times New Roman"/>
          <w:color w:val="auto"/>
          <w:szCs w:val="24"/>
          <w:highlight w:val="none"/>
        </w:rPr>
      </w:pPr>
      <w:r>
        <w:rPr>
          <w:rFonts w:cs="Times New Roman"/>
          <w:color w:val="auto"/>
          <w:szCs w:val="24"/>
          <w:highlight w:val="none"/>
        </w:rPr>
        <w:t>有效容积：V=1500m</w:t>
      </w:r>
      <w:r>
        <w:rPr>
          <w:rFonts w:cs="Times New Roman"/>
          <w:color w:val="auto"/>
          <w:szCs w:val="24"/>
          <w:highlight w:val="none"/>
          <w:vertAlign w:val="superscript"/>
        </w:rPr>
        <w:t>3</w:t>
      </w:r>
    </w:p>
    <w:p>
      <w:pPr>
        <w:ind w:firstLine="1416" w:firstLineChars="590"/>
        <w:rPr>
          <w:rFonts w:cs="Times New Roman"/>
          <w:color w:val="auto"/>
          <w:szCs w:val="24"/>
          <w:highlight w:val="none"/>
        </w:rPr>
      </w:pPr>
      <w:r>
        <w:rPr>
          <w:rFonts w:cs="Times New Roman"/>
          <w:color w:val="auto"/>
          <w:szCs w:val="24"/>
          <w:highlight w:val="none"/>
        </w:rPr>
        <w:t>总 容 积：V=1600m</w:t>
      </w:r>
      <w:r>
        <w:rPr>
          <w:rFonts w:cs="Times New Roman"/>
          <w:color w:val="auto"/>
          <w:szCs w:val="24"/>
          <w:highlight w:val="none"/>
          <w:vertAlign w:val="superscript"/>
        </w:rPr>
        <w:t>3</w:t>
      </w:r>
    </w:p>
    <w:p>
      <w:pPr>
        <w:ind w:firstLine="1416" w:firstLineChars="590"/>
        <w:rPr>
          <w:rFonts w:cs="Times New Roman"/>
          <w:color w:val="auto"/>
          <w:szCs w:val="24"/>
          <w:highlight w:val="none"/>
        </w:rPr>
      </w:pPr>
      <w:r>
        <w:rPr>
          <w:rFonts w:cs="Times New Roman"/>
          <w:color w:val="auto"/>
          <w:szCs w:val="24"/>
          <w:highlight w:val="none"/>
        </w:rPr>
        <w:t>有效水深：H=3.72m</w:t>
      </w:r>
    </w:p>
    <w:p>
      <w:pPr>
        <w:ind w:firstLine="1416" w:firstLineChars="590"/>
        <w:rPr>
          <w:rFonts w:cs="Times New Roman"/>
          <w:color w:val="auto"/>
          <w:szCs w:val="24"/>
          <w:highlight w:val="none"/>
        </w:rPr>
      </w:pPr>
      <w:r>
        <w:rPr>
          <w:rFonts w:cs="Times New Roman"/>
          <w:color w:val="auto"/>
          <w:szCs w:val="24"/>
          <w:highlight w:val="none"/>
        </w:rPr>
        <w:t>池体尺寸：L×B×H=20×20×4.5m</w:t>
      </w:r>
    </w:p>
    <w:p>
      <w:pPr>
        <w:ind w:firstLine="480"/>
        <w:rPr>
          <w:rFonts w:cs="Times New Roman"/>
          <w:color w:val="auto"/>
          <w:highlight w:val="none"/>
        </w:rPr>
      </w:pPr>
      <w:r>
        <w:rPr>
          <w:rFonts w:cs="Times New Roman"/>
          <w:color w:val="auto"/>
          <w:highlight w:val="none"/>
        </w:rPr>
        <w:t>吸水井主要功能：满足水泵吸水的水力要求。</w:t>
      </w:r>
    </w:p>
    <w:p>
      <w:pPr>
        <w:ind w:firstLine="480"/>
        <w:rPr>
          <w:rFonts w:cs="Times New Roman"/>
          <w:color w:val="auto"/>
          <w:highlight w:val="none"/>
        </w:rPr>
      </w:pPr>
      <w:r>
        <w:rPr>
          <w:rFonts w:cs="Times New Roman"/>
          <w:color w:val="auto"/>
          <w:highlight w:val="none"/>
        </w:rPr>
        <w:t>结构类型：半地下式钢筋混凝土结构</w:t>
      </w:r>
    </w:p>
    <w:p>
      <w:pPr>
        <w:ind w:firstLine="480"/>
        <w:rPr>
          <w:rFonts w:cs="Times New Roman"/>
          <w:color w:val="auto"/>
          <w:highlight w:val="none"/>
        </w:rPr>
      </w:pPr>
      <w:r>
        <w:rPr>
          <w:rFonts w:cs="Times New Roman"/>
          <w:color w:val="auto"/>
          <w:highlight w:val="none"/>
        </w:rPr>
        <w:t>池体数量：</w:t>
      </w:r>
      <w:r>
        <w:rPr>
          <w:rFonts w:hint="eastAsia" w:cs="Times New Roman"/>
          <w:color w:val="auto"/>
          <w:highlight w:val="none"/>
        </w:rPr>
        <w:t>3</w:t>
      </w:r>
      <w:r>
        <w:rPr>
          <w:rFonts w:cs="Times New Roman"/>
          <w:color w:val="auto"/>
          <w:highlight w:val="none"/>
        </w:rPr>
        <w:t xml:space="preserve"> 座</w:t>
      </w:r>
    </w:p>
    <w:p>
      <w:pPr>
        <w:ind w:firstLine="480"/>
        <w:rPr>
          <w:rFonts w:cs="Times New Roman"/>
          <w:color w:val="auto"/>
          <w:szCs w:val="24"/>
          <w:highlight w:val="none"/>
        </w:rPr>
      </w:pPr>
      <w:r>
        <w:rPr>
          <w:rFonts w:hint="eastAsia" w:cs="Times New Roman"/>
          <w:color w:val="auto"/>
          <w:szCs w:val="24"/>
          <w:highlight w:val="none"/>
        </w:rPr>
        <w:t>单座</w:t>
      </w:r>
      <w:r>
        <w:rPr>
          <w:rFonts w:cs="Times New Roman"/>
          <w:color w:val="auto"/>
          <w:szCs w:val="24"/>
          <w:highlight w:val="none"/>
        </w:rPr>
        <w:t>主要参数：</w:t>
      </w:r>
    </w:p>
    <w:p>
      <w:pPr>
        <w:ind w:firstLine="1416" w:firstLineChars="590"/>
        <w:rPr>
          <w:rFonts w:cs="Times New Roman"/>
          <w:color w:val="auto"/>
          <w:szCs w:val="24"/>
          <w:highlight w:val="none"/>
        </w:rPr>
      </w:pPr>
      <w:r>
        <w:rPr>
          <w:rFonts w:cs="Times New Roman"/>
          <w:color w:val="auto"/>
          <w:szCs w:val="24"/>
          <w:highlight w:val="none"/>
        </w:rPr>
        <w:t>总 容 积：V=112.5m</w:t>
      </w:r>
      <w:r>
        <w:rPr>
          <w:rFonts w:cs="Times New Roman"/>
          <w:color w:val="auto"/>
          <w:szCs w:val="24"/>
          <w:highlight w:val="none"/>
          <w:vertAlign w:val="superscript"/>
        </w:rPr>
        <w:t>3</w:t>
      </w:r>
    </w:p>
    <w:p>
      <w:pPr>
        <w:ind w:firstLine="1416" w:firstLineChars="590"/>
        <w:rPr>
          <w:rFonts w:cs="Times New Roman"/>
          <w:color w:val="auto"/>
          <w:szCs w:val="24"/>
          <w:highlight w:val="none"/>
        </w:rPr>
      </w:pPr>
      <w:r>
        <w:rPr>
          <w:rFonts w:cs="Times New Roman"/>
          <w:color w:val="auto"/>
          <w:szCs w:val="24"/>
          <w:highlight w:val="none"/>
        </w:rPr>
        <w:t>有效水深：H=4.0m</w:t>
      </w:r>
    </w:p>
    <w:p>
      <w:pPr>
        <w:ind w:firstLine="1416" w:firstLineChars="590"/>
        <w:rPr>
          <w:rFonts w:cs="Times New Roman"/>
          <w:color w:val="auto"/>
          <w:szCs w:val="24"/>
          <w:highlight w:val="none"/>
        </w:rPr>
      </w:pPr>
      <w:r>
        <w:rPr>
          <w:rFonts w:cs="Times New Roman"/>
          <w:color w:val="auto"/>
          <w:szCs w:val="24"/>
          <w:highlight w:val="none"/>
        </w:rPr>
        <w:t>池体尺寸：L×B×H=5×5×4.5m</w:t>
      </w:r>
    </w:p>
    <w:p>
      <w:pPr>
        <w:pStyle w:val="4"/>
        <w:rPr>
          <w:color w:val="auto"/>
          <w:highlight w:val="none"/>
        </w:rPr>
      </w:pPr>
      <w:r>
        <w:rPr>
          <w:rFonts w:hint="eastAsia"/>
          <w:color w:val="auto"/>
          <w:highlight w:val="none"/>
        </w:rPr>
        <w:t>5.6.11</w:t>
      </w:r>
      <w:r>
        <w:rPr>
          <w:color w:val="auto"/>
          <w:highlight w:val="none"/>
        </w:rPr>
        <w:t>送水泵房</w:t>
      </w:r>
    </w:p>
    <w:p>
      <w:pPr>
        <w:ind w:firstLine="480"/>
        <w:rPr>
          <w:color w:val="auto"/>
          <w:highlight w:val="none"/>
        </w:rPr>
      </w:pPr>
      <w:r>
        <w:rPr>
          <w:color w:val="auto"/>
          <w:highlight w:val="none"/>
        </w:rPr>
        <w:t>主要功能：布置二级提升泵及配电设施，将净水输入配水管网。</w:t>
      </w:r>
    </w:p>
    <w:p>
      <w:pPr>
        <w:ind w:firstLine="480"/>
        <w:rPr>
          <w:color w:val="auto"/>
          <w:highlight w:val="none"/>
        </w:rPr>
      </w:pPr>
      <w:r>
        <w:rPr>
          <w:color w:val="auto"/>
          <w:highlight w:val="none"/>
        </w:rPr>
        <w:t>结构类型：地上框架结构，地下部分钢混结构</w:t>
      </w:r>
    </w:p>
    <w:p>
      <w:pPr>
        <w:ind w:firstLine="480"/>
        <w:rPr>
          <w:rFonts w:cs="Times New Roman"/>
          <w:color w:val="auto"/>
          <w:highlight w:val="none"/>
        </w:rPr>
      </w:pPr>
      <w:r>
        <w:rPr>
          <w:rFonts w:cs="Times New Roman"/>
          <w:color w:val="auto"/>
          <w:highlight w:val="none"/>
        </w:rPr>
        <w:t>数    量：1 座</w:t>
      </w:r>
    </w:p>
    <w:p>
      <w:pPr>
        <w:ind w:firstLine="480"/>
        <w:rPr>
          <w:rFonts w:cs="Times New Roman"/>
          <w:color w:val="auto"/>
          <w:highlight w:val="none"/>
        </w:rPr>
      </w:pPr>
      <w:r>
        <w:rPr>
          <w:rFonts w:cs="Times New Roman"/>
          <w:color w:val="auto"/>
          <w:highlight w:val="none"/>
        </w:rPr>
        <w:t>房间尺寸：L×B×H=24.3×6×6.2m（泵室）+24.3×7.5×3.9m（配电室）</w:t>
      </w:r>
    </w:p>
    <w:p>
      <w:pPr>
        <w:ind w:firstLine="480"/>
        <w:rPr>
          <w:rFonts w:cs="Times New Roman"/>
          <w:color w:val="auto"/>
          <w:highlight w:val="none"/>
        </w:rPr>
      </w:pPr>
      <w:r>
        <w:rPr>
          <w:rFonts w:cs="Times New Roman"/>
          <w:color w:val="auto"/>
          <w:highlight w:val="none"/>
        </w:rPr>
        <w:t>主要设备：</w:t>
      </w:r>
    </w:p>
    <w:p>
      <w:pPr>
        <w:ind w:firstLine="480"/>
        <w:rPr>
          <w:rFonts w:cs="Times New Roman"/>
          <w:color w:val="auto"/>
          <w:szCs w:val="24"/>
          <w:highlight w:val="none"/>
        </w:rPr>
      </w:pPr>
      <w:r>
        <w:rPr>
          <w:rFonts w:cs="Times New Roman"/>
          <w:color w:val="auto"/>
          <w:szCs w:val="24"/>
          <w:highlight w:val="none"/>
        </w:rPr>
        <w:t>（1）送水水泵：</w:t>
      </w:r>
    </w:p>
    <w:p>
      <w:pPr>
        <w:ind w:firstLine="480"/>
        <w:rPr>
          <w:rFonts w:cs="Times New Roman"/>
          <w:color w:val="auto"/>
          <w:szCs w:val="24"/>
          <w:highlight w:val="none"/>
        </w:rPr>
      </w:pPr>
      <w:r>
        <w:rPr>
          <w:rFonts w:cs="Times New Roman"/>
          <w:color w:val="auto"/>
          <w:szCs w:val="24"/>
          <w:highlight w:val="none"/>
        </w:rPr>
        <w:t>设备形式：立式离心泵</w:t>
      </w:r>
    </w:p>
    <w:p>
      <w:pPr>
        <w:ind w:firstLine="480"/>
        <w:rPr>
          <w:rFonts w:cs="Times New Roman"/>
          <w:color w:val="auto"/>
          <w:highlight w:val="none"/>
        </w:rPr>
      </w:pPr>
      <w:r>
        <w:rPr>
          <w:rFonts w:cs="Times New Roman"/>
          <w:color w:val="auto"/>
          <w:highlight w:val="none"/>
        </w:rPr>
        <w:t>设备数量：</w:t>
      </w:r>
      <w:r>
        <w:rPr>
          <w:rFonts w:hint="eastAsia" w:cs="Times New Roman"/>
          <w:color w:val="auto"/>
          <w:highlight w:val="none"/>
        </w:rPr>
        <w:t>6</w:t>
      </w:r>
      <w:r>
        <w:rPr>
          <w:rFonts w:cs="Times New Roman"/>
          <w:color w:val="auto"/>
          <w:highlight w:val="none"/>
        </w:rPr>
        <w:t>台，</w:t>
      </w:r>
      <w:r>
        <w:rPr>
          <w:rFonts w:hint="eastAsia" w:cs="Times New Roman"/>
          <w:color w:val="auto"/>
          <w:highlight w:val="none"/>
        </w:rPr>
        <w:t>5</w:t>
      </w:r>
      <w:r>
        <w:rPr>
          <w:rFonts w:cs="Times New Roman"/>
          <w:color w:val="auto"/>
          <w:highlight w:val="none"/>
        </w:rPr>
        <w:t>用1备（</w:t>
      </w:r>
      <w:r>
        <w:rPr>
          <w:rFonts w:hint="eastAsia" w:cs="Times New Roman"/>
          <w:color w:val="auto"/>
          <w:highlight w:val="none"/>
        </w:rPr>
        <w:t>3</w:t>
      </w:r>
      <w:r>
        <w:rPr>
          <w:rFonts w:cs="Times New Roman"/>
          <w:color w:val="auto"/>
          <w:highlight w:val="none"/>
        </w:rPr>
        <w:t>台变频）</w:t>
      </w:r>
    </w:p>
    <w:p>
      <w:pPr>
        <w:ind w:firstLine="480"/>
        <w:rPr>
          <w:rFonts w:cs="Times New Roman"/>
          <w:color w:val="auto"/>
          <w:highlight w:val="none"/>
        </w:rPr>
      </w:pPr>
      <w:r>
        <w:rPr>
          <w:rFonts w:cs="Times New Roman"/>
          <w:color w:val="auto"/>
          <w:highlight w:val="none"/>
        </w:rPr>
        <w:t>（2）排水泵（潜污泵）</w:t>
      </w:r>
    </w:p>
    <w:p>
      <w:pPr>
        <w:ind w:firstLine="480"/>
        <w:rPr>
          <w:rFonts w:cs="Times New Roman"/>
          <w:color w:val="auto"/>
          <w:highlight w:val="none"/>
        </w:rPr>
      </w:pPr>
      <w:r>
        <w:rPr>
          <w:rFonts w:cs="Times New Roman"/>
          <w:color w:val="auto"/>
          <w:highlight w:val="none"/>
        </w:rPr>
        <w:t>设备参数：Q=22m</w:t>
      </w:r>
      <w:r>
        <w:rPr>
          <w:rFonts w:cs="Times New Roman"/>
          <w:color w:val="auto"/>
          <w:highlight w:val="none"/>
          <w:vertAlign w:val="superscript"/>
        </w:rPr>
        <w:t>3</w:t>
      </w:r>
      <w:r>
        <w:rPr>
          <w:rFonts w:cs="Times New Roman"/>
          <w:color w:val="auto"/>
          <w:highlight w:val="none"/>
        </w:rPr>
        <w:t>/h，H=16m，n=2840r/min，N=2.2 kW</w:t>
      </w:r>
    </w:p>
    <w:p>
      <w:pPr>
        <w:ind w:firstLine="480"/>
        <w:rPr>
          <w:rFonts w:cs="Times New Roman"/>
          <w:color w:val="auto"/>
          <w:highlight w:val="none"/>
        </w:rPr>
      </w:pPr>
      <w:r>
        <w:rPr>
          <w:rFonts w:cs="Times New Roman"/>
          <w:color w:val="auto"/>
          <w:highlight w:val="none"/>
        </w:rPr>
        <w:t>设备数量：</w:t>
      </w:r>
      <w:r>
        <w:rPr>
          <w:rFonts w:hint="eastAsia" w:cs="Times New Roman"/>
          <w:color w:val="auto"/>
          <w:highlight w:val="none"/>
        </w:rPr>
        <w:t>3</w:t>
      </w:r>
      <w:r>
        <w:rPr>
          <w:rFonts w:cs="Times New Roman"/>
          <w:color w:val="auto"/>
          <w:highlight w:val="none"/>
        </w:rPr>
        <w:t>台</w:t>
      </w:r>
    </w:p>
    <w:p>
      <w:pPr>
        <w:ind w:firstLine="480"/>
        <w:rPr>
          <w:rFonts w:cs="Times New Roman"/>
          <w:color w:val="auto"/>
          <w:highlight w:val="none"/>
        </w:rPr>
      </w:pPr>
      <w:r>
        <w:rPr>
          <w:rFonts w:cs="Times New Roman"/>
          <w:color w:val="auto"/>
          <w:highlight w:val="none"/>
        </w:rPr>
        <w:t>（3）电动单梁起重机</w:t>
      </w:r>
    </w:p>
    <w:p>
      <w:pPr>
        <w:ind w:firstLine="480"/>
        <w:rPr>
          <w:rFonts w:cs="Times New Roman"/>
          <w:color w:val="auto"/>
          <w:highlight w:val="none"/>
        </w:rPr>
      </w:pPr>
      <w:r>
        <w:rPr>
          <w:rFonts w:cs="Times New Roman"/>
          <w:color w:val="auto"/>
          <w:highlight w:val="none"/>
        </w:rPr>
        <w:t>设备参数：G=2T，S=4.0m，H=9m， N=3.0+2×0.8 kW+0.4 kW</w:t>
      </w:r>
    </w:p>
    <w:p>
      <w:pPr>
        <w:ind w:firstLine="480"/>
        <w:rPr>
          <w:rFonts w:cs="Times New Roman"/>
          <w:color w:val="auto"/>
          <w:highlight w:val="none"/>
        </w:rPr>
      </w:pPr>
      <w:r>
        <w:rPr>
          <w:rFonts w:cs="Times New Roman"/>
          <w:color w:val="auto"/>
          <w:highlight w:val="none"/>
        </w:rPr>
        <w:t>设备数量：</w:t>
      </w:r>
      <w:r>
        <w:rPr>
          <w:rFonts w:hint="eastAsia" w:cs="Times New Roman"/>
          <w:color w:val="auto"/>
          <w:highlight w:val="none"/>
        </w:rPr>
        <w:t>2</w:t>
      </w:r>
      <w:r>
        <w:rPr>
          <w:rFonts w:cs="Times New Roman"/>
          <w:color w:val="auto"/>
          <w:highlight w:val="none"/>
        </w:rPr>
        <w:t xml:space="preserve"> 套</w:t>
      </w:r>
    </w:p>
    <w:p>
      <w:pPr>
        <w:pStyle w:val="4"/>
        <w:rPr>
          <w:color w:val="auto"/>
          <w:highlight w:val="none"/>
        </w:rPr>
      </w:pPr>
      <w:r>
        <w:rPr>
          <w:rFonts w:hint="eastAsia"/>
          <w:color w:val="auto"/>
          <w:highlight w:val="none"/>
        </w:rPr>
        <w:t>5.6.12</w:t>
      </w:r>
      <w:r>
        <w:rPr>
          <w:color w:val="auto"/>
          <w:highlight w:val="none"/>
        </w:rPr>
        <w:t>水厂附属建筑物</w:t>
      </w:r>
    </w:p>
    <w:p>
      <w:pPr>
        <w:ind w:firstLine="480"/>
        <w:rPr>
          <w:color w:val="auto"/>
          <w:highlight w:val="none"/>
        </w:rPr>
      </w:pPr>
      <w:r>
        <w:rPr>
          <w:color w:val="auto"/>
          <w:highlight w:val="none"/>
        </w:rPr>
        <w:t>水厂生产附属建筑物包括：水厂控制中心、生产厂房、机修间、仓库、汽车库等。</w:t>
      </w:r>
    </w:p>
    <w:p>
      <w:pPr>
        <w:ind w:firstLine="480"/>
        <w:rPr>
          <w:color w:val="auto"/>
          <w:highlight w:val="none"/>
        </w:rPr>
      </w:pPr>
      <w:r>
        <w:rPr>
          <w:color w:val="auto"/>
          <w:highlight w:val="none"/>
        </w:rPr>
        <w:t>水厂生活附属建筑物包括：综合办公楼、食堂、浴室、职工宿舍等。</w:t>
      </w:r>
    </w:p>
    <w:p>
      <w:pPr>
        <w:ind w:firstLine="480"/>
        <w:rPr>
          <w:color w:val="auto"/>
          <w:highlight w:val="none"/>
        </w:rPr>
      </w:pPr>
      <w:r>
        <w:rPr>
          <w:color w:val="auto"/>
          <w:highlight w:val="none"/>
        </w:rPr>
        <w:t>化验室布置在水厂控制中心大楼内，化验设备配备满足《生活饮用水卫生标准》</w:t>
      </w:r>
      <w:r>
        <w:rPr>
          <w:rFonts w:hint="eastAsia"/>
          <w:color w:val="auto"/>
          <w:highlight w:val="none"/>
        </w:rPr>
        <w:t>（</w:t>
      </w:r>
      <w:r>
        <w:rPr>
          <w:color w:val="auto"/>
          <w:highlight w:val="none"/>
        </w:rPr>
        <w:t>GB5749-2006</w:t>
      </w:r>
      <w:r>
        <w:rPr>
          <w:rFonts w:hint="eastAsia"/>
          <w:color w:val="auto"/>
          <w:highlight w:val="none"/>
        </w:rPr>
        <w:t>）</w:t>
      </w:r>
      <w:r>
        <w:rPr>
          <w:color w:val="auto"/>
          <w:highlight w:val="none"/>
        </w:rPr>
        <w:t>中常规42项指标。</w:t>
      </w:r>
    </w:p>
    <w:p>
      <w:pPr>
        <w:pStyle w:val="4"/>
        <w:rPr>
          <w:color w:val="auto"/>
          <w:highlight w:val="none"/>
        </w:rPr>
      </w:pPr>
      <w:bookmarkStart w:id="72" w:name="_Toc37884306"/>
      <w:r>
        <w:rPr>
          <w:rFonts w:hint="eastAsia"/>
          <w:color w:val="auto"/>
          <w:highlight w:val="none"/>
        </w:rPr>
        <w:t>5.6.13</w:t>
      </w:r>
      <w:r>
        <w:rPr>
          <w:color w:val="auto"/>
          <w:highlight w:val="none"/>
        </w:rPr>
        <w:t>控制系统设计</w:t>
      </w:r>
      <w:bookmarkEnd w:id="72"/>
    </w:p>
    <w:p>
      <w:pPr>
        <w:pStyle w:val="5"/>
        <w:rPr>
          <w:color w:val="auto"/>
          <w:highlight w:val="none"/>
        </w:rPr>
      </w:pPr>
      <w:r>
        <w:rPr>
          <w:rFonts w:hint="eastAsia"/>
          <w:color w:val="auto"/>
          <w:highlight w:val="none"/>
        </w:rPr>
        <w:t>5.6.13.1</w:t>
      </w:r>
      <w:r>
        <w:rPr>
          <w:color w:val="auto"/>
          <w:highlight w:val="none"/>
        </w:rPr>
        <w:t>净水设备控制系统</w:t>
      </w:r>
    </w:p>
    <w:p>
      <w:pPr>
        <w:ind w:firstLine="480"/>
        <w:rPr>
          <w:rFonts w:cs="Times New Roman"/>
          <w:color w:val="auto"/>
          <w:highlight w:val="none"/>
        </w:rPr>
      </w:pPr>
      <w:r>
        <w:rPr>
          <w:rFonts w:cs="Times New Roman"/>
          <w:color w:val="auto"/>
          <w:highlight w:val="none"/>
        </w:rPr>
        <w:t>（1）模块化净水设备控制系统负责模块化净水厂加药、消毒、排污、出水等的控制任务，负责被控对象的数据以及状态量的采集、上传中央控制系统；</w:t>
      </w:r>
    </w:p>
    <w:p>
      <w:pPr>
        <w:ind w:firstLine="480"/>
        <w:rPr>
          <w:rFonts w:cs="Times New Roman"/>
          <w:color w:val="auto"/>
          <w:highlight w:val="none"/>
        </w:rPr>
      </w:pPr>
      <w:r>
        <w:rPr>
          <w:rFonts w:cs="Times New Roman"/>
          <w:color w:val="auto"/>
          <w:highlight w:val="none"/>
        </w:rPr>
        <w:t>（2）入水及反冲控制系统负责模块化净水厂反冲洗泵等的控制任务，负责被控对象的数据以及状态量的采集、上传中央控制系统。</w:t>
      </w:r>
    </w:p>
    <w:p>
      <w:pPr>
        <w:ind w:firstLine="480"/>
        <w:rPr>
          <w:rFonts w:cs="Times New Roman"/>
          <w:color w:val="auto"/>
          <w:highlight w:val="none"/>
        </w:rPr>
      </w:pPr>
      <w:r>
        <w:rPr>
          <w:rFonts w:cs="Times New Roman"/>
          <w:color w:val="auto"/>
          <w:highlight w:val="none"/>
        </w:rPr>
        <w:t>（3）主、从站控制系统是模块化净水设备研制的最新控制系统，该系统能够实现模块化净水设备运行的自动、手动及远程控制运行模式。</w:t>
      </w:r>
    </w:p>
    <w:p>
      <w:pPr>
        <w:pStyle w:val="5"/>
        <w:rPr>
          <w:color w:val="auto"/>
          <w:highlight w:val="none"/>
        </w:rPr>
      </w:pPr>
      <w:r>
        <w:rPr>
          <w:color w:val="auto"/>
          <w:highlight w:val="none"/>
        </w:rPr>
        <w:drawing>
          <wp:anchor distT="0" distB="0" distL="114300" distR="114300" simplePos="0" relativeHeight="251666432" behindDoc="0" locked="0" layoutInCell="1" allowOverlap="1">
            <wp:simplePos x="0" y="0"/>
            <wp:positionH relativeFrom="column">
              <wp:posOffset>-180975</wp:posOffset>
            </wp:positionH>
            <wp:positionV relativeFrom="paragraph">
              <wp:posOffset>384175</wp:posOffset>
            </wp:positionV>
            <wp:extent cx="2597150" cy="1927860"/>
            <wp:effectExtent l="0" t="0" r="0" b="0"/>
            <wp:wrapTopAndBottom/>
            <wp:docPr id="11"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597150" cy="1927860"/>
                    </a:xfrm>
                    <a:prstGeom prst="rect">
                      <a:avLst/>
                    </a:prstGeom>
                    <a:noFill/>
                    <a:ln>
                      <a:noFill/>
                    </a:ln>
                  </pic:spPr>
                </pic:pic>
              </a:graphicData>
            </a:graphic>
          </wp:anchor>
        </w:drawing>
      </w:r>
      <w:r>
        <w:rPr>
          <w:color w:val="auto"/>
          <w:highlight w:val="none"/>
        </w:rPr>
        <w:drawing>
          <wp:anchor distT="0" distB="0" distL="114300" distR="114300" simplePos="0" relativeHeight="251665408" behindDoc="0" locked="0" layoutInCell="1" allowOverlap="1">
            <wp:simplePos x="0" y="0"/>
            <wp:positionH relativeFrom="column">
              <wp:posOffset>2498090</wp:posOffset>
            </wp:positionH>
            <wp:positionV relativeFrom="paragraph">
              <wp:posOffset>385445</wp:posOffset>
            </wp:positionV>
            <wp:extent cx="2645410" cy="1965960"/>
            <wp:effectExtent l="0" t="0" r="3175" b="0"/>
            <wp:wrapTopAndBottom/>
            <wp:docPr id="16"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645273" cy="1965833"/>
                    </a:xfrm>
                    <a:prstGeom prst="rect">
                      <a:avLst/>
                    </a:prstGeom>
                    <a:noFill/>
                    <a:ln>
                      <a:noFill/>
                    </a:ln>
                  </pic:spPr>
                </pic:pic>
              </a:graphicData>
            </a:graphic>
          </wp:anchor>
        </w:drawing>
      </w:r>
      <w:r>
        <w:rPr>
          <w:rFonts w:hint="eastAsia"/>
          <w:color w:val="auto"/>
          <w:highlight w:val="none"/>
        </w:rPr>
        <w:t>5.6.13.2</w:t>
      </w:r>
      <w:r>
        <w:rPr>
          <w:color w:val="auto"/>
          <w:highlight w:val="none"/>
        </w:rPr>
        <w:t>中央控制系统</w:t>
      </w:r>
    </w:p>
    <w:p>
      <w:pPr>
        <w:ind w:firstLine="480"/>
        <w:rPr>
          <w:color w:val="auto"/>
          <w:highlight w:val="none"/>
        </w:rPr>
      </w:pPr>
      <w:r>
        <w:rPr>
          <w:color w:val="auto"/>
          <w:highlight w:val="none"/>
        </w:rPr>
        <w:t>（1）能手动或自动控制模块化净水厂内被控制水泵、电动阀门以及相关设备的运行；</w:t>
      </w:r>
    </w:p>
    <w:p>
      <w:pPr>
        <w:ind w:firstLine="480"/>
        <w:rPr>
          <w:color w:val="auto"/>
          <w:highlight w:val="none"/>
        </w:rPr>
      </w:pPr>
      <w:r>
        <w:rPr>
          <w:color w:val="auto"/>
          <w:highlight w:val="none"/>
        </w:rPr>
        <w:t>（2）中央控制室能对所有检测到的数据进行处理并储存，能随时查询和打印输出；监测数据都能传至中央控制室，做到电脑显示；</w:t>
      </w:r>
    </w:p>
    <w:p>
      <w:pPr>
        <w:ind w:firstLine="480"/>
        <w:rPr>
          <w:color w:val="auto"/>
          <w:highlight w:val="none"/>
        </w:rPr>
      </w:pPr>
      <w:r>
        <w:rPr>
          <w:color w:val="auto"/>
          <w:highlight w:val="none"/>
        </w:rPr>
        <w:t>（3）能采集、显示、汇总模块化净水厂内相关的被控对象的数据信息，并形成日报、月报、年报以及变化曲线；</w:t>
      </w:r>
    </w:p>
    <w:p>
      <w:pPr>
        <w:ind w:firstLine="480"/>
        <w:rPr>
          <w:color w:val="auto"/>
          <w:highlight w:val="none"/>
        </w:rPr>
      </w:pPr>
      <w:r>
        <w:rPr>
          <w:color w:val="auto"/>
          <w:highlight w:val="none"/>
        </w:rPr>
        <w:t>（4）预留的传输端口可根据客户要求在自行配置相应的传输设备后，可将采集的数据通过有线或无线方式传输至上级监控中心。</w:t>
      </w:r>
    </w:p>
    <w:p>
      <w:pPr>
        <w:pStyle w:val="5"/>
        <w:rPr>
          <w:color w:val="auto"/>
          <w:highlight w:val="none"/>
        </w:rPr>
      </w:pPr>
      <w:r>
        <w:rPr>
          <w:rFonts w:hint="eastAsia"/>
          <w:color w:val="auto"/>
          <w:highlight w:val="none"/>
        </w:rPr>
        <w:t>5.6.13.3</w:t>
      </w:r>
      <w:r>
        <w:rPr>
          <w:color w:val="auto"/>
          <w:highlight w:val="none"/>
        </w:rPr>
        <w:t>出、入水水质在线监测系统</w:t>
      </w:r>
    </w:p>
    <w:p>
      <w:pPr>
        <w:ind w:firstLine="480"/>
        <w:rPr>
          <w:rFonts w:cs="Times New Roman"/>
          <w:color w:val="auto"/>
          <w:highlight w:val="none"/>
        </w:rPr>
      </w:pPr>
      <w:r>
        <w:rPr>
          <w:rFonts w:cs="Times New Roman"/>
          <w:color w:val="auto"/>
          <w:highlight w:val="none"/>
        </w:rPr>
        <w:t>为时时掌控出入水水质情况，采用精准的进口品牌在线仪表对出、入水水质进行自动监测，基本监测项目如下：</w:t>
      </w:r>
    </w:p>
    <w:p>
      <w:pPr>
        <w:ind w:firstLine="480"/>
        <w:rPr>
          <w:rFonts w:cs="Times New Roman"/>
          <w:color w:val="auto"/>
          <w:highlight w:val="none"/>
        </w:rPr>
      </w:pPr>
      <w:r>
        <w:rPr>
          <w:rFonts w:cs="Times New Roman"/>
          <w:color w:val="auto"/>
          <w:highlight w:val="none"/>
        </w:rPr>
        <w:t>（1）入水</w:t>
      </w:r>
    </w:p>
    <w:p>
      <w:pPr>
        <w:ind w:firstLine="480"/>
        <w:rPr>
          <w:rFonts w:cs="Times New Roman"/>
          <w:color w:val="auto"/>
          <w:highlight w:val="none"/>
        </w:rPr>
      </w:pPr>
      <w:r>
        <w:rPr>
          <w:rFonts w:cs="Times New Roman"/>
          <w:color w:val="auto"/>
          <w:highlight w:val="none"/>
        </w:rPr>
        <w:t>浊度（原水进入在线监测室通过浊度仪监测）、流量（通过安装于单元净水模块入水管的流量计监测）及入水PH值（入水进入在线监测室通过pH计监测）。</w:t>
      </w:r>
    </w:p>
    <w:p>
      <w:pPr>
        <w:ind w:firstLine="480"/>
        <w:rPr>
          <w:rFonts w:cs="Times New Roman"/>
          <w:color w:val="auto"/>
          <w:highlight w:val="none"/>
        </w:rPr>
      </w:pPr>
      <w:r>
        <w:rPr>
          <w:rFonts w:cs="Times New Roman"/>
          <w:color w:val="auto"/>
          <w:highlight w:val="none"/>
        </w:rPr>
        <w:t>（2）出水</w:t>
      </w:r>
    </w:p>
    <w:p>
      <w:pPr>
        <w:ind w:firstLine="480"/>
        <w:rPr>
          <w:rFonts w:cs="Times New Roman"/>
          <w:color w:val="auto"/>
          <w:highlight w:val="none"/>
        </w:rPr>
      </w:pPr>
      <w:r>
        <w:rPr>
          <w:rFonts w:cs="Times New Roman"/>
          <w:color w:val="auto"/>
          <w:highlight w:val="none"/>
        </w:rPr>
        <w:t>浊度（出水进入在线监测室通过浊度仪监测）、二氧化氯余氯（出水进入在线监测室通过余氯在线测定仪监测）、pH值（出水进入在线监测室通过pH计监测）、流量（通过安装于总出水管的流量计监测）。</w:t>
      </w:r>
    </w:p>
    <w:p>
      <w:pPr>
        <w:pStyle w:val="5"/>
        <w:rPr>
          <w:color w:val="auto"/>
          <w:highlight w:val="none"/>
        </w:rPr>
      </w:pPr>
      <w:r>
        <w:rPr>
          <w:rFonts w:hint="eastAsia"/>
          <w:color w:val="auto"/>
          <w:highlight w:val="none"/>
        </w:rPr>
        <w:t>5.6.13.4</w:t>
      </w:r>
      <w:r>
        <w:rPr>
          <w:color w:val="auto"/>
          <w:highlight w:val="none"/>
        </w:rPr>
        <w:t>水质化验实验室</w:t>
      </w:r>
    </w:p>
    <w:p>
      <w:pPr>
        <w:ind w:firstLine="480"/>
        <w:rPr>
          <w:rFonts w:cs="Times New Roman"/>
          <w:color w:val="auto"/>
          <w:highlight w:val="none"/>
        </w:rPr>
      </w:pPr>
      <w:r>
        <w:rPr>
          <w:rFonts w:cs="Times New Roman"/>
          <w:color w:val="auto"/>
          <w:highlight w:val="none"/>
        </w:rPr>
        <w:t>本设计配置的水质化验设备，可满足浑浊度、色度、臭和味、肉眼可见物、COD</w:t>
      </w:r>
      <w:r>
        <w:rPr>
          <w:rFonts w:cs="Times New Roman"/>
          <w:color w:val="auto"/>
          <w:highlight w:val="none"/>
          <w:vertAlign w:val="subscript"/>
        </w:rPr>
        <w:t>Mn</w:t>
      </w:r>
      <w:r>
        <w:rPr>
          <w:rFonts w:cs="Times New Roman"/>
          <w:color w:val="auto"/>
          <w:highlight w:val="none"/>
        </w:rPr>
        <w:t>、细菌总数、总大肠菌群、耐热大肠菌群、二氧化氯余氯等9项常规指标所需的检测仪器设备。</w:t>
      </w:r>
    </w:p>
    <w:p>
      <w:pPr>
        <w:pStyle w:val="5"/>
        <w:rPr>
          <w:color w:val="auto"/>
          <w:highlight w:val="none"/>
          <w:lang w:val="zh-CN"/>
        </w:rPr>
      </w:pPr>
      <w:r>
        <w:rPr>
          <w:rFonts w:hint="eastAsia"/>
          <w:color w:val="auto"/>
          <w:highlight w:val="none"/>
          <w:lang w:val="zh-CN"/>
        </w:rPr>
        <w:t>5.6.13.5</w:t>
      </w:r>
      <w:r>
        <w:rPr>
          <w:color w:val="auto"/>
          <w:highlight w:val="none"/>
          <w:lang w:val="zh-CN"/>
        </w:rPr>
        <w:t>排泥水处理系统</w:t>
      </w:r>
    </w:p>
    <w:p>
      <w:pPr>
        <w:ind w:firstLine="480"/>
        <w:rPr>
          <w:rFonts w:cs="Times New Roman"/>
          <w:color w:val="auto"/>
          <w:highlight w:val="none"/>
        </w:rPr>
      </w:pPr>
      <w:r>
        <w:rPr>
          <w:rFonts w:cs="Times New Roman"/>
          <w:color w:val="auto"/>
          <w:highlight w:val="none"/>
        </w:rPr>
        <w:t>本项目排泥水处理系统按照3万吨/天进行总体设计，包括排泥水沉淀和污泥处理两部分，排泥水沉淀部分设计沉淀池及桥式刮吸泥机，污泥处理部分包括提升泵、叠螺式污泥脱水机及药剂投加设备。</w:t>
      </w:r>
    </w:p>
    <w:p>
      <w:pPr>
        <w:ind w:firstLine="480"/>
        <w:rPr>
          <w:rFonts w:cs="Times New Roman"/>
          <w:color w:val="auto"/>
          <w:highlight w:val="none"/>
        </w:rPr>
      </w:pPr>
      <w:r>
        <w:rPr>
          <w:rFonts w:cs="Times New Roman"/>
          <w:color w:val="auto"/>
          <w:highlight w:val="none"/>
        </w:rPr>
        <w:t>在原水浊度不发生突然升高等情况下，单元净水模块设计反冲洗周期为24h，排泥周期约为48h，单台模块每天排水量约为110m</w:t>
      </w:r>
      <w:r>
        <w:rPr>
          <w:rFonts w:cs="Times New Roman"/>
          <w:color w:val="auto"/>
          <w:highlight w:val="none"/>
          <w:vertAlign w:val="superscript"/>
        </w:rPr>
        <w:t>3</w:t>
      </w:r>
      <w:r>
        <w:rPr>
          <w:rFonts w:cs="Times New Roman"/>
          <w:color w:val="auto"/>
          <w:highlight w:val="none"/>
        </w:rPr>
        <w:t>，共6台模块，因此每天排水总量为660m</w:t>
      </w:r>
      <w:r>
        <w:rPr>
          <w:rFonts w:cs="Times New Roman"/>
          <w:color w:val="auto"/>
          <w:highlight w:val="none"/>
          <w:vertAlign w:val="superscript"/>
        </w:rPr>
        <w:t>3</w:t>
      </w:r>
      <w:r>
        <w:rPr>
          <w:rFonts w:cs="Times New Roman"/>
          <w:color w:val="auto"/>
          <w:highlight w:val="none"/>
        </w:rPr>
        <w:t>。本工程排泥水处理池按两座池体设计，考虑到检修排泥等因素，单池即可满足一天排泥水处理能力。</w:t>
      </w:r>
    </w:p>
    <w:p>
      <w:pPr>
        <w:ind w:firstLine="480"/>
        <w:rPr>
          <w:rFonts w:cs="Times New Roman"/>
          <w:color w:val="auto"/>
          <w:highlight w:val="none"/>
        </w:rPr>
      </w:pPr>
      <w:r>
        <w:rPr>
          <w:rFonts w:cs="Times New Roman"/>
          <w:color w:val="auto"/>
          <w:highlight w:val="none"/>
        </w:rPr>
        <w:t>本项目污泥处理采用叠螺式污泥脱水机，按照原水浊度50NTU计算，每天绝干污泥产量为105kg/h，按照此处理量配置叠螺式污泥脱水机、污泥提升泵及药剂制配投加设备。。</w:t>
      </w:r>
    </w:p>
    <w:p>
      <w:pPr>
        <w:pStyle w:val="4"/>
        <w:rPr>
          <w:color w:val="auto"/>
          <w:highlight w:val="none"/>
        </w:rPr>
      </w:pPr>
      <w:bookmarkStart w:id="73" w:name="_Toc37884309"/>
      <w:r>
        <w:rPr>
          <w:rFonts w:hint="eastAsia"/>
          <w:color w:val="auto"/>
          <w:highlight w:val="none"/>
        </w:rPr>
        <w:t>5.6.14</w:t>
      </w:r>
      <w:r>
        <w:rPr>
          <w:color w:val="auto"/>
          <w:highlight w:val="none"/>
        </w:rPr>
        <w:t>劳动定员</w:t>
      </w:r>
      <w:bookmarkEnd w:id="73"/>
    </w:p>
    <w:p>
      <w:pPr>
        <w:ind w:firstLine="480"/>
        <w:rPr>
          <w:color w:val="auto"/>
          <w:highlight w:val="none"/>
        </w:rPr>
      </w:pPr>
      <w:r>
        <w:rPr>
          <w:color w:val="auto"/>
          <w:highlight w:val="none"/>
        </w:rPr>
        <w:t>水厂的工作制度为</w:t>
      </w:r>
      <w:r>
        <w:rPr>
          <w:rFonts w:eastAsia="Times New Roman"/>
          <w:color w:val="auto"/>
          <w:highlight w:val="none"/>
        </w:rPr>
        <w:t>24</w:t>
      </w:r>
      <w:r>
        <w:rPr>
          <w:color w:val="auto"/>
          <w:highlight w:val="none"/>
        </w:rPr>
        <w:t xml:space="preserve">小时运行，工作人员包括生产人员（直接生产工人及辅 </w:t>
      </w:r>
      <w:r>
        <w:rPr>
          <w:color w:val="auto"/>
          <w:spacing w:val="-3"/>
          <w:highlight w:val="none"/>
        </w:rPr>
        <w:t>助生产工人）、管理技术人员和勤杂服务人员。根据生产规模和运行管理的需要，</w:t>
      </w:r>
      <w:r>
        <w:rPr>
          <w:color w:val="auto"/>
          <w:spacing w:val="-107"/>
          <w:highlight w:val="none"/>
        </w:rPr>
        <w:t xml:space="preserve"> </w:t>
      </w:r>
      <w:r>
        <w:rPr>
          <w:color w:val="auto"/>
          <w:spacing w:val="-11"/>
          <w:highlight w:val="none"/>
        </w:rPr>
        <w:t>参照《城市给水工程项目建设标准》（建标</w:t>
      </w:r>
      <w:r>
        <w:rPr>
          <w:rFonts w:eastAsia="Times New Roman"/>
          <w:color w:val="auto"/>
          <w:spacing w:val="-8"/>
          <w:highlight w:val="none"/>
        </w:rPr>
        <w:t>120-2009</w:t>
      </w:r>
      <w:r>
        <w:rPr>
          <w:color w:val="auto"/>
          <w:spacing w:val="-8"/>
          <w:highlight w:val="none"/>
        </w:rPr>
        <w:t>），考虑到水厂的自动化程度很</w:t>
      </w:r>
      <w:r>
        <w:rPr>
          <w:color w:val="auto"/>
          <w:spacing w:val="-117"/>
          <w:highlight w:val="none"/>
        </w:rPr>
        <w:t xml:space="preserve"> </w:t>
      </w:r>
      <w:r>
        <w:rPr>
          <w:color w:val="auto"/>
          <w:highlight w:val="none"/>
        </w:rPr>
        <w:t>高，确定本项目的人员编制，具体人员编制如下表：</w:t>
      </w:r>
    </w:p>
    <w:p>
      <w:pPr>
        <w:ind w:firstLine="480"/>
        <w:rPr>
          <w:color w:val="auto"/>
          <w:highlight w:val="none"/>
        </w:rPr>
      </w:pPr>
    </w:p>
    <w:p>
      <w:pPr>
        <w:ind w:firstLine="480"/>
        <w:rPr>
          <w:color w:val="auto"/>
          <w:highlight w:val="none"/>
        </w:rPr>
      </w:pPr>
    </w:p>
    <w:p>
      <w:pPr>
        <w:spacing w:line="240" w:lineRule="auto"/>
        <w:ind w:firstLine="0" w:firstLineChars="0"/>
        <w:jc w:val="center"/>
        <w:rPr>
          <w:rFonts w:eastAsia="黑体" w:cs="Times New Roman"/>
          <w:b/>
          <w:bCs/>
          <w:color w:val="auto"/>
          <w:highlight w:val="none"/>
        </w:rPr>
      </w:pPr>
      <w:r>
        <w:rPr>
          <w:rFonts w:eastAsia="黑体" w:cs="Times New Roman"/>
          <w:b/>
          <w:bCs/>
          <w:color w:val="auto"/>
          <w:highlight w:val="none"/>
        </w:rPr>
        <w:t>水厂人员编制表</w:t>
      </w:r>
    </w:p>
    <w:tbl>
      <w:tblPr>
        <w:tblStyle w:val="15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62"/>
        <w:gridCol w:w="2056"/>
        <w:gridCol w:w="1533"/>
        <w:gridCol w:w="1533"/>
        <w:gridCol w:w="1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99" w:type="pct"/>
            <w:vAlign w:val="center"/>
          </w:tcPr>
          <w:p>
            <w:pPr>
              <w:spacing w:line="240" w:lineRule="auto"/>
              <w:ind w:firstLine="0" w:firstLineChars="0"/>
              <w:jc w:val="center"/>
              <w:rPr>
                <w:rFonts w:cs="Times New Roman" w:asciiTheme="minorHAnsi" w:hAnsiTheme="minorHAnsi" w:eastAsiaTheme="minorEastAsia"/>
                <w:color w:val="auto"/>
                <w:sz w:val="21"/>
                <w:szCs w:val="21"/>
                <w:highlight w:val="none"/>
                <w:lang w:eastAsia="en-US"/>
              </w:rPr>
            </w:pPr>
          </w:p>
        </w:tc>
        <w:tc>
          <w:tcPr>
            <w:tcW w:w="1236" w:type="pct"/>
            <w:vAlign w:val="center"/>
          </w:tcPr>
          <w:p>
            <w:pPr>
              <w:pStyle w:val="16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岗位</w:t>
            </w:r>
          </w:p>
        </w:tc>
        <w:tc>
          <w:tcPr>
            <w:tcW w:w="922" w:type="pct"/>
            <w:vAlign w:val="center"/>
          </w:tcPr>
          <w:p>
            <w:pPr>
              <w:pStyle w:val="16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生产班次</w:t>
            </w:r>
          </w:p>
        </w:tc>
        <w:tc>
          <w:tcPr>
            <w:tcW w:w="922" w:type="pct"/>
            <w:vAlign w:val="center"/>
          </w:tcPr>
          <w:p>
            <w:pPr>
              <w:pStyle w:val="16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每班人数</w:t>
            </w:r>
          </w:p>
        </w:tc>
        <w:tc>
          <w:tcPr>
            <w:tcW w:w="921" w:type="pct"/>
            <w:vAlign w:val="center"/>
          </w:tcPr>
          <w:p>
            <w:pPr>
              <w:pStyle w:val="16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班组人数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99" w:type="pct"/>
            <w:vMerge w:val="restart"/>
            <w:vAlign w:val="center"/>
          </w:tcPr>
          <w:p>
            <w:pPr>
              <w:pStyle w:val="160"/>
              <w:ind w:right="506"/>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生产人</w:t>
            </w:r>
            <w:r>
              <w:rPr>
                <w:rFonts w:ascii="Times New Roman" w:hAnsi="Times New Roman" w:eastAsia="宋体" w:cs="Times New Roman"/>
                <w:color w:val="auto"/>
                <w:sz w:val="21"/>
                <w:szCs w:val="21"/>
                <w:highlight w:val="none"/>
                <w:lang w:eastAsia="zh-CN"/>
              </w:rPr>
              <w:t>员</w:t>
            </w:r>
          </w:p>
        </w:tc>
        <w:tc>
          <w:tcPr>
            <w:tcW w:w="1236" w:type="pct"/>
            <w:vAlign w:val="center"/>
          </w:tcPr>
          <w:p>
            <w:pPr>
              <w:pStyle w:val="16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水处理工段</w:t>
            </w:r>
          </w:p>
        </w:tc>
        <w:tc>
          <w:tcPr>
            <w:tcW w:w="922" w:type="pct"/>
            <w:vAlign w:val="center"/>
          </w:tcPr>
          <w:p>
            <w:pPr>
              <w:pStyle w:val="160"/>
              <w:jc w:val="center"/>
              <w:rPr>
                <w:rFonts w:ascii="Times New Roman" w:hAnsi="Times New Roman" w:eastAsia="Times New Roman" w:cs="Times New Roman"/>
                <w:color w:val="auto"/>
                <w:sz w:val="21"/>
                <w:szCs w:val="21"/>
                <w:highlight w:val="none"/>
              </w:rPr>
            </w:pPr>
            <w:r>
              <w:rPr>
                <w:rFonts w:ascii="Times New Roman" w:hAnsi="Times New Roman" w:cs="Times New Roman"/>
                <w:color w:val="auto"/>
                <w:sz w:val="21"/>
                <w:szCs w:val="21"/>
                <w:highlight w:val="none"/>
              </w:rPr>
              <w:t>3</w:t>
            </w:r>
          </w:p>
        </w:tc>
        <w:tc>
          <w:tcPr>
            <w:tcW w:w="922" w:type="pct"/>
            <w:vAlign w:val="center"/>
          </w:tcPr>
          <w:p>
            <w:pPr>
              <w:pStyle w:val="160"/>
              <w:jc w:val="center"/>
              <w:rPr>
                <w:rFonts w:ascii="Times New Roman" w:hAnsi="Times New Roman" w:eastAsia="Times New Roman" w:cs="Times New Roman"/>
                <w:color w:val="auto"/>
                <w:sz w:val="21"/>
                <w:szCs w:val="21"/>
                <w:highlight w:val="none"/>
              </w:rPr>
            </w:pPr>
            <w:r>
              <w:rPr>
                <w:rFonts w:ascii="Times New Roman" w:hAnsi="Times New Roman" w:cs="Times New Roman"/>
                <w:color w:val="auto"/>
                <w:sz w:val="21"/>
                <w:szCs w:val="21"/>
                <w:highlight w:val="none"/>
              </w:rPr>
              <w:t>1</w:t>
            </w:r>
          </w:p>
        </w:tc>
        <w:tc>
          <w:tcPr>
            <w:tcW w:w="921" w:type="pct"/>
            <w:vAlign w:val="center"/>
          </w:tcPr>
          <w:p>
            <w:pPr>
              <w:pStyle w:val="160"/>
              <w:ind w:left="4"/>
              <w:jc w:val="center"/>
              <w:rPr>
                <w:rFonts w:ascii="Times New Roman" w:hAnsi="Times New Roman" w:eastAsia="Times New Roman" w:cs="Times New Roman"/>
                <w:color w:val="auto"/>
                <w:sz w:val="21"/>
                <w:szCs w:val="21"/>
                <w:highlight w:val="none"/>
              </w:rPr>
            </w:pPr>
            <w:r>
              <w:rPr>
                <w:rFonts w:ascii="Times New Roman" w:hAnsi="Times New Roman" w:cs="Times New Roman"/>
                <w:color w:val="auto"/>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99" w:type="pct"/>
            <w:vMerge w:val="continue"/>
            <w:vAlign w:val="center"/>
          </w:tcPr>
          <w:p>
            <w:pPr>
              <w:spacing w:line="240" w:lineRule="auto"/>
              <w:ind w:firstLine="0" w:firstLineChars="0"/>
              <w:jc w:val="center"/>
              <w:rPr>
                <w:rFonts w:cs="Times New Roman" w:asciiTheme="minorHAnsi" w:hAnsiTheme="minorHAnsi" w:eastAsiaTheme="minorEastAsia"/>
                <w:color w:val="auto"/>
                <w:sz w:val="21"/>
                <w:szCs w:val="21"/>
                <w:highlight w:val="none"/>
                <w:lang w:eastAsia="en-US"/>
              </w:rPr>
            </w:pPr>
          </w:p>
        </w:tc>
        <w:tc>
          <w:tcPr>
            <w:tcW w:w="1236" w:type="pct"/>
            <w:vAlign w:val="center"/>
          </w:tcPr>
          <w:p>
            <w:pPr>
              <w:pStyle w:val="16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化验室</w:t>
            </w:r>
          </w:p>
        </w:tc>
        <w:tc>
          <w:tcPr>
            <w:tcW w:w="922" w:type="pct"/>
            <w:vAlign w:val="center"/>
          </w:tcPr>
          <w:p>
            <w:pPr>
              <w:pStyle w:val="160"/>
              <w:jc w:val="center"/>
              <w:rPr>
                <w:rFonts w:ascii="Times New Roman" w:hAnsi="Times New Roman" w:eastAsia="Times New Roman" w:cs="Times New Roman"/>
                <w:color w:val="auto"/>
                <w:sz w:val="21"/>
                <w:szCs w:val="21"/>
                <w:highlight w:val="none"/>
              </w:rPr>
            </w:pPr>
            <w:r>
              <w:rPr>
                <w:rFonts w:ascii="Times New Roman" w:hAnsi="Times New Roman" w:cs="Times New Roman"/>
                <w:color w:val="auto"/>
                <w:sz w:val="21"/>
                <w:szCs w:val="21"/>
                <w:highlight w:val="none"/>
              </w:rPr>
              <w:t>1</w:t>
            </w:r>
          </w:p>
        </w:tc>
        <w:tc>
          <w:tcPr>
            <w:tcW w:w="922" w:type="pct"/>
            <w:vAlign w:val="center"/>
          </w:tcPr>
          <w:p>
            <w:pPr>
              <w:pStyle w:val="160"/>
              <w:jc w:val="center"/>
              <w:rPr>
                <w:rFonts w:ascii="Times New Roman" w:hAnsi="Times New Roman" w:eastAsia="Times New Roman" w:cs="Times New Roman"/>
                <w:color w:val="auto"/>
                <w:sz w:val="21"/>
                <w:szCs w:val="21"/>
                <w:highlight w:val="none"/>
              </w:rPr>
            </w:pPr>
            <w:r>
              <w:rPr>
                <w:rFonts w:ascii="Times New Roman" w:hAnsi="Times New Roman" w:cs="Times New Roman"/>
                <w:color w:val="auto"/>
                <w:sz w:val="21"/>
                <w:szCs w:val="21"/>
                <w:highlight w:val="none"/>
              </w:rPr>
              <w:t>1</w:t>
            </w:r>
          </w:p>
        </w:tc>
        <w:tc>
          <w:tcPr>
            <w:tcW w:w="921" w:type="pct"/>
            <w:vAlign w:val="center"/>
          </w:tcPr>
          <w:p>
            <w:pPr>
              <w:pStyle w:val="160"/>
              <w:ind w:left="4"/>
              <w:jc w:val="center"/>
              <w:rPr>
                <w:rFonts w:ascii="Times New Roman" w:hAnsi="Times New Roman" w:eastAsia="Times New Roman" w:cs="Times New Roman"/>
                <w:color w:val="auto"/>
                <w:sz w:val="21"/>
                <w:szCs w:val="21"/>
                <w:highlight w:val="none"/>
              </w:rPr>
            </w:pPr>
            <w:r>
              <w:rPr>
                <w:rFonts w:ascii="Times New Roman" w:hAnsi="Times New Roman"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99" w:type="pct"/>
            <w:vMerge w:val="continue"/>
            <w:vAlign w:val="center"/>
          </w:tcPr>
          <w:p>
            <w:pPr>
              <w:spacing w:line="240" w:lineRule="auto"/>
              <w:ind w:firstLine="0" w:firstLineChars="0"/>
              <w:jc w:val="center"/>
              <w:rPr>
                <w:rFonts w:cs="Times New Roman" w:asciiTheme="minorHAnsi" w:hAnsiTheme="minorHAnsi" w:eastAsiaTheme="minorEastAsia"/>
                <w:color w:val="auto"/>
                <w:sz w:val="21"/>
                <w:szCs w:val="21"/>
                <w:highlight w:val="none"/>
                <w:lang w:eastAsia="en-US"/>
              </w:rPr>
            </w:pPr>
          </w:p>
        </w:tc>
        <w:tc>
          <w:tcPr>
            <w:tcW w:w="1236" w:type="pct"/>
            <w:vAlign w:val="center"/>
          </w:tcPr>
          <w:p>
            <w:pPr>
              <w:pStyle w:val="16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小计</w:t>
            </w:r>
          </w:p>
        </w:tc>
        <w:tc>
          <w:tcPr>
            <w:tcW w:w="922" w:type="pct"/>
            <w:vAlign w:val="center"/>
          </w:tcPr>
          <w:p>
            <w:pPr>
              <w:spacing w:line="240" w:lineRule="auto"/>
              <w:ind w:firstLine="0" w:firstLineChars="0"/>
              <w:jc w:val="center"/>
              <w:rPr>
                <w:rFonts w:cs="Times New Roman" w:asciiTheme="minorHAnsi" w:hAnsiTheme="minorHAnsi" w:eastAsiaTheme="minorEastAsia"/>
                <w:color w:val="auto"/>
                <w:sz w:val="21"/>
                <w:szCs w:val="21"/>
                <w:highlight w:val="none"/>
                <w:lang w:eastAsia="en-US"/>
              </w:rPr>
            </w:pPr>
          </w:p>
        </w:tc>
        <w:tc>
          <w:tcPr>
            <w:tcW w:w="922" w:type="pct"/>
            <w:vAlign w:val="center"/>
          </w:tcPr>
          <w:p>
            <w:pPr>
              <w:spacing w:line="240" w:lineRule="auto"/>
              <w:ind w:firstLine="0" w:firstLineChars="0"/>
              <w:jc w:val="center"/>
              <w:rPr>
                <w:rFonts w:cs="Times New Roman" w:asciiTheme="minorHAnsi" w:hAnsiTheme="minorHAnsi" w:eastAsiaTheme="minorEastAsia"/>
                <w:color w:val="auto"/>
                <w:sz w:val="21"/>
                <w:szCs w:val="21"/>
                <w:highlight w:val="none"/>
                <w:lang w:eastAsia="en-US"/>
              </w:rPr>
            </w:pPr>
          </w:p>
        </w:tc>
        <w:tc>
          <w:tcPr>
            <w:tcW w:w="921" w:type="pct"/>
            <w:vAlign w:val="center"/>
          </w:tcPr>
          <w:p>
            <w:pPr>
              <w:pStyle w:val="160"/>
              <w:ind w:left="4"/>
              <w:jc w:val="center"/>
              <w:rPr>
                <w:rFonts w:ascii="Times New Roman" w:hAnsi="Times New Roman" w:eastAsia="Times New Roman" w:cs="Times New Roman"/>
                <w:color w:val="auto"/>
                <w:sz w:val="21"/>
                <w:szCs w:val="21"/>
                <w:highlight w:val="none"/>
              </w:rPr>
            </w:pPr>
            <w:r>
              <w:rPr>
                <w:rFonts w:ascii="Times New Roman" w:hAnsi="Times New Roman" w:cs="Times New Roman"/>
                <w:color w:val="auto"/>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99" w:type="pct"/>
            <w:vMerge w:val="restart"/>
            <w:vAlign w:val="center"/>
          </w:tcPr>
          <w:p>
            <w:pPr>
              <w:pStyle w:val="160"/>
              <w:ind w:left="84"/>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辅助生产人员</w:t>
            </w:r>
          </w:p>
        </w:tc>
        <w:tc>
          <w:tcPr>
            <w:tcW w:w="1236" w:type="pct"/>
            <w:vAlign w:val="center"/>
          </w:tcPr>
          <w:p>
            <w:pPr>
              <w:pStyle w:val="16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维修车间</w:t>
            </w:r>
          </w:p>
        </w:tc>
        <w:tc>
          <w:tcPr>
            <w:tcW w:w="922" w:type="pct"/>
            <w:vAlign w:val="center"/>
          </w:tcPr>
          <w:p>
            <w:pPr>
              <w:pStyle w:val="160"/>
              <w:jc w:val="center"/>
              <w:rPr>
                <w:rFonts w:ascii="Times New Roman" w:hAnsi="Times New Roman" w:eastAsia="Times New Roman" w:cs="Times New Roman"/>
                <w:color w:val="auto"/>
                <w:sz w:val="21"/>
                <w:szCs w:val="21"/>
                <w:highlight w:val="none"/>
              </w:rPr>
            </w:pPr>
            <w:r>
              <w:rPr>
                <w:rFonts w:ascii="Times New Roman" w:hAnsi="Times New Roman" w:cs="Times New Roman"/>
                <w:color w:val="auto"/>
                <w:sz w:val="21"/>
                <w:szCs w:val="21"/>
                <w:highlight w:val="none"/>
              </w:rPr>
              <w:t>1</w:t>
            </w:r>
          </w:p>
        </w:tc>
        <w:tc>
          <w:tcPr>
            <w:tcW w:w="922" w:type="pct"/>
            <w:vAlign w:val="center"/>
          </w:tcPr>
          <w:p>
            <w:pPr>
              <w:pStyle w:val="160"/>
              <w:jc w:val="center"/>
              <w:rPr>
                <w:rFonts w:ascii="Times New Roman" w:hAnsi="Times New Roman" w:eastAsia="Times New Roman" w:cs="Times New Roman"/>
                <w:color w:val="auto"/>
                <w:sz w:val="21"/>
                <w:szCs w:val="21"/>
                <w:highlight w:val="none"/>
              </w:rPr>
            </w:pPr>
            <w:r>
              <w:rPr>
                <w:rFonts w:ascii="Times New Roman" w:hAnsi="Times New Roman" w:cs="Times New Roman"/>
                <w:color w:val="auto"/>
                <w:sz w:val="21"/>
                <w:szCs w:val="21"/>
                <w:highlight w:val="none"/>
              </w:rPr>
              <w:t>1</w:t>
            </w:r>
          </w:p>
        </w:tc>
        <w:tc>
          <w:tcPr>
            <w:tcW w:w="921" w:type="pct"/>
            <w:vAlign w:val="center"/>
          </w:tcPr>
          <w:p>
            <w:pPr>
              <w:pStyle w:val="160"/>
              <w:ind w:left="4"/>
              <w:jc w:val="center"/>
              <w:rPr>
                <w:rFonts w:ascii="Times New Roman" w:hAnsi="Times New Roman" w:eastAsia="Times New Roman" w:cs="Times New Roman"/>
                <w:color w:val="auto"/>
                <w:sz w:val="21"/>
                <w:szCs w:val="21"/>
                <w:highlight w:val="none"/>
              </w:rPr>
            </w:pPr>
            <w:r>
              <w:rPr>
                <w:rFonts w:ascii="Times New Roman" w:hAnsi="Times New Roman"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99" w:type="pct"/>
            <w:vMerge w:val="continue"/>
            <w:vAlign w:val="center"/>
          </w:tcPr>
          <w:p>
            <w:pPr>
              <w:spacing w:line="240" w:lineRule="auto"/>
              <w:ind w:firstLine="0" w:firstLineChars="0"/>
              <w:jc w:val="center"/>
              <w:rPr>
                <w:rFonts w:cs="Times New Roman" w:asciiTheme="minorHAnsi" w:hAnsiTheme="minorHAnsi" w:eastAsiaTheme="minorEastAsia"/>
                <w:color w:val="auto"/>
                <w:sz w:val="21"/>
                <w:szCs w:val="21"/>
                <w:highlight w:val="none"/>
                <w:lang w:eastAsia="en-US"/>
              </w:rPr>
            </w:pPr>
          </w:p>
        </w:tc>
        <w:tc>
          <w:tcPr>
            <w:tcW w:w="1236" w:type="pct"/>
            <w:vAlign w:val="center"/>
          </w:tcPr>
          <w:p>
            <w:pPr>
              <w:pStyle w:val="16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车队</w:t>
            </w:r>
          </w:p>
        </w:tc>
        <w:tc>
          <w:tcPr>
            <w:tcW w:w="922" w:type="pct"/>
            <w:vAlign w:val="center"/>
          </w:tcPr>
          <w:p>
            <w:pPr>
              <w:pStyle w:val="160"/>
              <w:jc w:val="center"/>
              <w:rPr>
                <w:rFonts w:ascii="Times New Roman" w:hAnsi="Times New Roman" w:eastAsia="Times New Roman" w:cs="Times New Roman"/>
                <w:color w:val="auto"/>
                <w:sz w:val="21"/>
                <w:szCs w:val="21"/>
                <w:highlight w:val="none"/>
              </w:rPr>
            </w:pPr>
            <w:r>
              <w:rPr>
                <w:rFonts w:ascii="Times New Roman" w:hAnsi="Times New Roman" w:cs="Times New Roman"/>
                <w:color w:val="auto"/>
                <w:sz w:val="21"/>
                <w:szCs w:val="21"/>
                <w:highlight w:val="none"/>
              </w:rPr>
              <w:t>1</w:t>
            </w:r>
          </w:p>
        </w:tc>
        <w:tc>
          <w:tcPr>
            <w:tcW w:w="922" w:type="pct"/>
            <w:vAlign w:val="center"/>
          </w:tcPr>
          <w:p>
            <w:pPr>
              <w:pStyle w:val="160"/>
              <w:jc w:val="center"/>
              <w:rPr>
                <w:rFonts w:ascii="Times New Roman" w:hAnsi="Times New Roman" w:eastAsia="Times New Roman" w:cs="Times New Roman"/>
                <w:color w:val="auto"/>
                <w:sz w:val="21"/>
                <w:szCs w:val="21"/>
                <w:highlight w:val="none"/>
              </w:rPr>
            </w:pPr>
            <w:r>
              <w:rPr>
                <w:rFonts w:ascii="Times New Roman" w:hAnsi="Times New Roman" w:cs="Times New Roman"/>
                <w:color w:val="auto"/>
                <w:sz w:val="21"/>
                <w:szCs w:val="21"/>
                <w:highlight w:val="none"/>
              </w:rPr>
              <w:t>1</w:t>
            </w:r>
          </w:p>
        </w:tc>
        <w:tc>
          <w:tcPr>
            <w:tcW w:w="921" w:type="pct"/>
            <w:vAlign w:val="center"/>
          </w:tcPr>
          <w:p>
            <w:pPr>
              <w:pStyle w:val="160"/>
              <w:ind w:left="4"/>
              <w:jc w:val="center"/>
              <w:rPr>
                <w:rFonts w:ascii="Times New Roman" w:hAnsi="Times New Roman" w:eastAsia="Times New Roman" w:cs="Times New Roman"/>
                <w:color w:val="auto"/>
                <w:sz w:val="21"/>
                <w:szCs w:val="21"/>
                <w:highlight w:val="none"/>
              </w:rPr>
            </w:pPr>
            <w:r>
              <w:rPr>
                <w:rFonts w:ascii="Times New Roman" w:hAnsi="Times New Roman"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99" w:type="pct"/>
            <w:vMerge w:val="continue"/>
            <w:vAlign w:val="center"/>
          </w:tcPr>
          <w:p>
            <w:pPr>
              <w:spacing w:line="240" w:lineRule="auto"/>
              <w:ind w:firstLine="0" w:firstLineChars="0"/>
              <w:jc w:val="center"/>
              <w:rPr>
                <w:rFonts w:cs="Times New Roman" w:asciiTheme="minorHAnsi" w:hAnsiTheme="minorHAnsi" w:eastAsiaTheme="minorEastAsia"/>
                <w:color w:val="auto"/>
                <w:sz w:val="21"/>
                <w:szCs w:val="21"/>
                <w:highlight w:val="none"/>
                <w:lang w:eastAsia="en-US"/>
              </w:rPr>
            </w:pPr>
          </w:p>
        </w:tc>
        <w:tc>
          <w:tcPr>
            <w:tcW w:w="1236" w:type="pct"/>
            <w:vAlign w:val="center"/>
          </w:tcPr>
          <w:p>
            <w:pPr>
              <w:pStyle w:val="16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小计</w:t>
            </w:r>
          </w:p>
        </w:tc>
        <w:tc>
          <w:tcPr>
            <w:tcW w:w="922" w:type="pct"/>
            <w:vAlign w:val="center"/>
          </w:tcPr>
          <w:p>
            <w:pPr>
              <w:spacing w:line="240" w:lineRule="auto"/>
              <w:ind w:firstLine="0" w:firstLineChars="0"/>
              <w:jc w:val="center"/>
              <w:rPr>
                <w:rFonts w:cs="Times New Roman" w:asciiTheme="minorHAnsi" w:hAnsiTheme="minorHAnsi" w:eastAsiaTheme="minorEastAsia"/>
                <w:color w:val="auto"/>
                <w:sz w:val="21"/>
                <w:szCs w:val="21"/>
                <w:highlight w:val="none"/>
                <w:lang w:eastAsia="en-US"/>
              </w:rPr>
            </w:pPr>
          </w:p>
        </w:tc>
        <w:tc>
          <w:tcPr>
            <w:tcW w:w="922" w:type="pct"/>
            <w:vAlign w:val="center"/>
          </w:tcPr>
          <w:p>
            <w:pPr>
              <w:spacing w:line="240" w:lineRule="auto"/>
              <w:ind w:firstLine="0" w:firstLineChars="0"/>
              <w:jc w:val="center"/>
              <w:rPr>
                <w:rFonts w:cs="Times New Roman" w:asciiTheme="minorHAnsi" w:hAnsiTheme="minorHAnsi" w:eastAsiaTheme="minorEastAsia"/>
                <w:color w:val="auto"/>
                <w:sz w:val="21"/>
                <w:szCs w:val="21"/>
                <w:highlight w:val="none"/>
                <w:lang w:eastAsia="en-US"/>
              </w:rPr>
            </w:pPr>
          </w:p>
        </w:tc>
        <w:tc>
          <w:tcPr>
            <w:tcW w:w="921" w:type="pct"/>
            <w:vAlign w:val="center"/>
          </w:tcPr>
          <w:p>
            <w:pPr>
              <w:pStyle w:val="160"/>
              <w:ind w:left="4"/>
              <w:jc w:val="center"/>
              <w:rPr>
                <w:rFonts w:ascii="Times New Roman" w:hAnsi="Times New Roman" w:eastAsia="Times New Roman" w:cs="Times New Roman"/>
                <w:color w:val="auto"/>
                <w:sz w:val="21"/>
                <w:szCs w:val="21"/>
                <w:highlight w:val="none"/>
              </w:rPr>
            </w:pPr>
            <w:r>
              <w:rPr>
                <w:rFonts w:ascii="Times New Roman" w:hAnsi="Times New Roman" w:cs="Times New Roman"/>
                <w:color w:val="auto"/>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235" w:type="pct"/>
            <w:gridSpan w:val="2"/>
            <w:vAlign w:val="center"/>
          </w:tcPr>
          <w:p>
            <w:pPr>
              <w:pStyle w:val="16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管理人员和技术人员</w:t>
            </w:r>
          </w:p>
        </w:tc>
        <w:tc>
          <w:tcPr>
            <w:tcW w:w="922" w:type="pct"/>
            <w:vAlign w:val="center"/>
          </w:tcPr>
          <w:p>
            <w:pPr>
              <w:pStyle w:val="160"/>
              <w:jc w:val="center"/>
              <w:rPr>
                <w:rFonts w:ascii="Times New Roman" w:hAnsi="Times New Roman" w:eastAsia="Times New Roman" w:cs="Times New Roman"/>
                <w:color w:val="auto"/>
                <w:sz w:val="21"/>
                <w:szCs w:val="21"/>
                <w:highlight w:val="none"/>
              </w:rPr>
            </w:pPr>
            <w:r>
              <w:rPr>
                <w:rFonts w:ascii="Times New Roman" w:hAnsi="Times New Roman" w:cs="Times New Roman"/>
                <w:color w:val="auto"/>
                <w:sz w:val="21"/>
                <w:szCs w:val="21"/>
                <w:highlight w:val="none"/>
              </w:rPr>
              <w:t>1</w:t>
            </w:r>
          </w:p>
        </w:tc>
        <w:tc>
          <w:tcPr>
            <w:tcW w:w="922" w:type="pct"/>
            <w:vAlign w:val="center"/>
          </w:tcPr>
          <w:p>
            <w:pPr>
              <w:pStyle w:val="160"/>
              <w:jc w:val="center"/>
              <w:rPr>
                <w:rFonts w:ascii="Times New Roman" w:hAnsi="Times New Roman" w:eastAsia="Times New Roman" w:cs="Times New Roman"/>
                <w:color w:val="auto"/>
                <w:sz w:val="21"/>
                <w:szCs w:val="21"/>
                <w:highlight w:val="none"/>
              </w:rPr>
            </w:pPr>
            <w:r>
              <w:rPr>
                <w:rFonts w:ascii="Times New Roman" w:hAnsi="Times New Roman" w:cs="Times New Roman"/>
                <w:color w:val="auto"/>
                <w:sz w:val="21"/>
                <w:szCs w:val="21"/>
                <w:highlight w:val="none"/>
              </w:rPr>
              <w:t>2</w:t>
            </w:r>
          </w:p>
        </w:tc>
        <w:tc>
          <w:tcPr>
            <w:tcW w:w="921" w:type="pct"/>
            <w:vAlign w:val="center"/>
          </w:tcPr>
          <w:p>
            <w:pPr>
              <w:pStyle w:val="160"/>
              <w:ind w:left="4"/>
              <w:jc w:val="center"/>
              <w:rPr>
                <w:rFonts w:ascii="Times New Roman" w:hAnsi="Times New Roman" w:eastAsia="Times New Roman" w:cs="Times New Roman"/>
                <w:color w:val="auto"/>
                <w:sz w:val="21"/>
                <w:szCs w:val="21"/>
                <w:highlight w:val="none"/>
              </w:rPr>
            </w:pPr>
            <w:r>
              <w:rPr>
                <w:rFonts w:ascii="Times New Roman" w:hAnsi="Times New Roman" w:cs="Times New Roman"/>
                <w:color w:val="auto"/>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235" w:type="pct"/>
            <w:gridSpan w:val="2"/>
            <w:vAlign w:val="center"/>
          </w:tcPr>
          <w:p>
            <w:pPr>
              <w:pStyle w:val="16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合计</w:t>
            </w:r>
          </w:p>
        </w:tc>
        <w:tc>
          <w:tcPr>
            <w:tcW w:w="922" w:type="pct"/>
            <w:vAlign w:val="center"/>
          </w:tcPr>
          <w:p>
            <w:pPr>
              <w:spacing w:line="240" w:lineRule="auto"/>
              <w:ind w:firstLine="0" w:firstLineChars="0"/>
              <w:jc w:val="center"/>
              <w:rPr>
                <w:rFonts w:cs="Times New Roman" w:asciiTheme="minorHAnsi" w:hAnsiTheme="minorHAnsi" w:eastAsiaTheme="minorEastAsia"/>
                <w:color w:val="auto"/>
                <w:sz w:val="21"/>
                <w:szCs w:val="21"/>
                <w:highlight w:val="none"/>
                <w:lang w:eastAsia="en-US"/>
              </w:rPr>
            </w:pPr>
          </w:p>
        </w:tc>
        <w:tc>
          <w:tcPr>
            <w:tcW w:w="922" w:type="pct"/>
            <w:vAlign w:val="center"/>
          </w:tcPr>
          <w:p>
            <w:pPr>
              <w:spacing w:line="240" w:lineRule="auto"/>
              <w:ind w:firstLine="0" w:firstLineChars="0"/>
              <w:jc w:val="center"/>
              <w:rPr>
                <w:rFonts w:cs="Times New Roman" w:asciiTheme="minorHAnsi" w:hAnsiTheme="minorHAnsi" w:eastAsiaTheme="minorEastAsia"/>
                <w:color w:val="auto"/>
                <w:sz w:val="21"/>
                <w:szCs w:val="21"/>
                <w:highlight w:val="none"/>
                <w:lang w:eastAsia="en-US"/>
              </w:rPr>
            </w:pPr>
          </w:p>
        </w:tc>
        <w:tc>
          <w:tcPr>
            <w:tcW w:w="921" w:type="pct"/>
            <w:vAlign w:val="center"/>
          </w:tcPr>
          <w:p>
            <w:pPr>
              <w:pStyle w:val="160"/>
              <w:ind w:left="4"/>
              <w:jc w:val="center"/>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8</w:t>
            </w:r>
          </w:p>
        </w:tc>
      </w:tr>
    </w:tbl>
    <w:p>
      <w:pPr>
        <w:pStyle w:val="3"/>
        <w:rPr>
          <w:color w:val="auto"/>
          <w:highlight w:val="none"/>
        </w:rPr>
      </w:pPr>
      <w:bookmarkStart w:id="74" w:name="_Toc2853"/>
      <w:r>
        <w:rPr>
          <w:rFonts w:hint="eastAsia"/>
          <w:color w:val="auto"/>
          <w:highlight w:val="none"/>
        </w:rPr>
        <w:t>5.7峄城区农村供水改造提升工程</w:t>
      </w:r>
      <w:bookmarkEnd w:id="74"/>
    </w:p>
    <w:p>
      <w:pPr>
        <w:pStyle w:val="4"/>
        <w:rPr>
          <w:color w:val="auto"/>
          <w:highlight w:val="none"/>
        </w:rPr>
      </w:pPr>
      <w:r>
        <w:rPr>
          <w:rFonts w:hint="eastAsia"/>
          <w:color w:val="auto"/>
          <w:highlight w:val="none"/>
        </w:rPr>
        <w:t>5.7.1总体布局</w:t>
      </w:r>
    </w:p>
    <w:p>
      <w:pPr>
        <w:ind w:firstLine="480"/>
        <w:rPr>
          <w:bCs/>
          <w:color w:val="auto"/>
          <w:highlight w:val="none"/>
        </w:rPr>
      </w:pPr>
      <w:r>
        <w:rPr>
          <w:rFonts w:hint="eastAsia"/>
          <w:color w:val="auto"/>
          <w:highlight w:val="none"/>
        </w:rPr>
        <w:t>合理利用水资源，改变现有供水格局，打破行政区划限制，各县市区联合利用可靠水源，由单纯依靠地下水水源向地下水源与地表水源相互补充、优先使用地表水转变</w:t>
      </w:r>
      <w:r>
        <w:rPr>
          <w:rFonts w:hint="eastAsia"/>
          <w:bCs/>
          <w:color w:val="auto"/>
          <w:highlight w:val="none"/>
        </w:rPr>
        <w:t>，减少地下水开采量，改善局部生态环境。</w:t>
      </w:r>
    </w:p>
    <w:p>
      <w:pPr>
        <w:ind w:firstLine="480"/>
        <w:rPr>
          <w:color w:val="auto"/>
          <w:highlight w:val="none"/>
        </w:rPr>
      </w:pPr>
      <w:r>
        <w:rPr>
          <w:rStyle w:val="141"/>
          <w:rFonts w:hint="default"/>
          <w:color w:val="auto"/>
          <w:highlight w:val="none"/>
        </w:rPr>
        <w:t>深入贯彻落实科学发展观，进一步落实中央提出的社会主义新农村的建设目标。采取新建、改造、联网等措施，改变农村饮水水质较差的现状，坚持“农村供水城市化，城乡供水一体化”的发展思路，进一步提高供水保障率，确保城乡居民饮水安全。</w:t>
      </w:r>
    </w:p>
    <w:p>
      <w:pPr>
        <w:pStyle w:val="4"/>
        <w:rPr>
          <w:color w:val="auto"/>
          <w:highlight w:val="none"/>
        </w:rPr>
      </w:pPr>
      <w:r>
        <w:rPr>
          <w:rFonts w:hint="eastAsia"/>
          <w:color w:val="auto"/>
          <w:highlight w:val="none"/>
        </w:rPr>
        <w:t>5.7.2工程建设任务</w:t>
      </w:r>
    </w:p>
    <w:p>
      <w:pPr>
        <w:ind w:firstLine="480"/>
        <w:rPr>
          <w:color w:val="auto"/>
          <w:highlight w:val="none"/>
        </w:rPr>
      </w:pPr>
      <w:r>
        <w:rPr>
          <w:rFonts w:hint="eastAsia"/>
          <w:color w:val="auto"/>
          <w:highlight w:val="none"/>
        </w:rPr>
        <w:t>根据峄城区水务局的相关要求，结合峄城区供水现状，确定本次工程的建设任务为：铺设西郊水厂、东郊水厂及东部水厂3座水厂主管网，使其与现有管网连接，形成新的供水体系。</w:t>
      </w:r>
    </w:p>
    <w:p>
      <w:pPr>
        <w:pStyle w:val="4"/>
        <w:rPr>
          <w:color w:val="auto"/>
          <w:highlight w:val="none"/>
        </w:rPr>
      </w:pPr>
      <w:r>
        <w:rPr>
          <w:rFonts w:hint="eastAsia"/>
          <w:color w:val="auto"/>
          <w:highlight w:val="none"/>
        </w:rPr>
        <w:t>5.7.3管材选择</w:t>
      </w:r>
    </w:p>
    <w:p>
      <w:pPr>
        <w:ind w:firstLine="480"/>
        <w:rPr>
          <w:color w:val="auto"/>
          <w:highlight w:val="none"/>
        </w:rPr>
      </w:pPr>
      <w:r>
        <w:rPr>
          <w:color w:val="auto"/>
          <w:highlight w:val="none"/>
        </w:rPr>
        <w:t>1、管材选择的基本原则</w:t>
      </w:r>
    </w:p>
    <w:p>
      <w:pPr>
        <w:ind w:firstLine="480"/>
        <w:rPr>
          <w:color w:val="auto"/>
          <w:highlight w:val="none"/>
        </w:rPr>
      </w:pPr>
      <w:r>
        <w:rPr>
          <w:color w:val="auto"/>
          <w:highlight w:val="none"/>
        </w:rPr>
        <w:t>选择管材要能承受内压高，受外荷载大，内壁光滑，水力条件及技术性能好，接口严密，漏耗小，地基变化适应性较强，维修工作量小，施工安装和管理方便、使用寿命长，造价经济。</w:t>
      </w:r>
    </w:p>
    <w:p>
      <w:pPr>
        <w:ind w:firstLine="480"/>
        <w:rPr>
          <w:color w:val="auto"/>
          <w:highlight w:val="none"/>
        </w:rPr>
      </w:pPr>
      <w:r>
        <w:rPr>
          <w:color w:val="auto"/>
          <w:highlight w:val="none"/>
        </w:rPr>
        <w:t>2、常用管材比较</w:t>
      </w:r>
    </w:p>
    <w:p>
      <w:pPr>
        <w:ind w:firstLine="480"/>
        <w:rPr>
          <w:color w:val="auto"/>
          <w:highlight w:val="none"/>
        </w:rPr>
      </w:pPr>
      <w:r>
        <w:rPr>
          <w:color w:val="auto"/>
          <w:highlight w:val="none"/>
        </w:rPr>
        <w:t>不同材质的管道，其制作工艺，受力结构，敷设安装和维护管理不尽相同，现就目前国内常用管材比较如下：</w:t>
      </w:r>
    </w:p>
    <w:p>
      <w:pPr>
        <w:ind w:firstLine="480"/>
        <w:rPr>
          <w:color w:val="auto"/>
          <w:highlight w:val="none"/>
        </w:rPr>
      </w:pPr>
      <w:r>
        <w:rPr>
          <w:rFonts w:hint="eastAsia"/>
          <w:color w:val="auto"/>
          <w:highlight w:val="none"/>
        </w:rPr>
        <w:t>①</w:t>
      </w:r>
      <w:r>
        <w:rPr>
          <w:color w:val="auto"/>
          <w:highlight w:val="none"/>
        </w:rPr>
        <w:t>球墨铸铁管：（以下简称球</w:t>
      </w:r>
      <w:r>
        <w:rPr>
          <w:rFonts w:hint="eastAsia"/>
          <w:color w:val="auto"/>
          <w:highlight w:val="none"/>
        </w:rPr>
        <w:t>铁</w:t>
      </w:r>
      <w:r>
        <w:rPr>
          <w:color w:val="auto"/>
          <w:highlight w:val="none"/>
        </w:rPr>
        <w:t>管）</w:t>
      </w:r>
    </w:p>
    <w:p>
      <w:pPr>
        <w:ind w:firstLine="480"/>
        <w:rPr>
          <w:color w:val="auto"/>
          <w:highlight w:val="none"/>
        </w:rPr>
      </w:pPr>
      <w:r>
        <w:rPr>
          <w:rFonts w:hint="eastAsia"/>
          <w:color w:val="auto"/>
          <w:highlight w:val="none"/>
        </w:rPr>
        <w:t>球铁管</w:t>
      </w:r>
      <w:r>
        <w:rPr>
          <w:color w:val="auto"/>
          <w:highlight w:val="none"/>
        </w:rPr>
        <w:t>是比较理想的管材，技术性能好，承受内压高和受外荷载大</w:t>
      </w:r>
      <w:r>
        <w:rPr>
          <w:rFonts w:hint="eastAsia"/>
          <w:color w:val="auto"/>
          <w:highlight w:val="none"/>
        </w:rPr>
        <w:t>，</w:t>
      </w:r>
      <w:r>
        <w:rPr>
          <w:color w:val="auto"/>
          <w:highlight w:val="none"/>
        </w:rPr>
        <w:t>耐腐蚀性强，管内壁光滑（内衬防腐层为离心式的水泥砂浆层）可防二次污染，采用T型橡胶圈柔性接口，严密性强，漏耗水量少，运输方便、安装简单、维修量小，使用寿命长。近10多年来，城市的重点水务工程得到推荐采用，也广泛地应用到大、中型城市管网改造和新建管道工程中，但球管质量较重，运输不便、综合造价比玻璃钢夹砂管、UPVC管，砼管都高，基建投资多。</w:t>
      </w:r>
    </w:p>
    <w:p>
      <w:pPr>
        <w:ind w:firstLine="480"/>
        <w:rPr>
          <w:color w:val="auto"/>
          <w:highlight w:val="none"/>
        </w:rPr>
      </w:pPr>
      <w:r>
        <w:rPr>
          <w:rFonts w:hint="eastAsia" w:ascii="宋体" w:hAnsi="宋体"/>
          <w:color w:val="auto"/>
          <w:highlight w:val="none"/>
        </w:rPr>
        <w:t>②</w:t>
      </w:r>
      <w:r>
        <w:rPr>
          <w:color w:val="auto"/>
          <w:highlight w:val="none"/>
        </w:rPr>
        <w:t>预应力钢筋砼管</w:t>
      </w:r>
    </w:p>
    <w:p>
      <w:pPr>
        <w:ind w:firstLine="480"/>
        <w:rPr>
          <w:color w:val="auto"/>
          <w:highlight w:val="none"/>
        </w:rPr>
      </w:pPr>
      <w:r>
        <w:rPr>
          <w:color w:val="auto"/>
          <w:highlight w:val="none"/>
        </w:rPr>
        <w:t>水力条件较好，防腐蚀性能好，最突出的优势是价格便宜，曾在城市管网的配水管道中被大量采用。由于制作工艺限制，管道承受内压较低，抗外荷载能力较差，质量较其他管道重、运输不便，且破损率高达15%，一阶段生产的预应力管，承口园度难以达到标准，因而管接口严密性较差，漏耗水量较大。三阶段生产的预应力砼管，它的环向应力难以达到标准，易发生纵向龟裂，漏耗也较大，因此在管道工程中的选用，将受到一定的限制。</w:t>
      </w:r>
    </w:p>
    <w:p>
      <w:pPr>
        <w:ind w:firstLine="480"/>
        <w:rPr>
          <w:color w:val="auto"/>
          <w:highlight w:val="none"/>
        </w:rPr>
      </w:pPr>
      <w:r>
        <w:rPr>
          <w:rFonts w:hint="eastAsia" w:ascii="宋体" w:hAnsi="宋体"/>
          <w:color w:val="auto"/>
          <w:highlight w:val="none"/>
        </w:rPr>
        <w:t>③</w:t>
      </w:r>
      <w:r>
        <w:rPr>
          <w:color w:val="auto"/>
          <w:highlight w:val="none"/>
        </w:rPr>
        <w:t>玻璃钢夹砂管</w:t>
      </w:r>
    </w:p>
    <w:p>
      <w:pPr>
        <w:ind w:firstLine="480"/>
        <w:rPr>
          <w:color w:val="auto"/>
          <w:highlight w:val="none"/>
        </w:rPr>
      </w:pPr>
      <w:r>
        <w:rPr>
          <w:rFonts w:hint="eastAsia"/>
          <w:color w:val="auto"/>
          <w:highlight w:val="none"/>
        </w:rPr>
        <w:t>该型管</w:t>
      </w:r>
      <w:r>
        <w:rPr>
          <w:color w:val="auto"/>
          <w:highlight w:val="none"/>
        </w:rPr>
        <w:t>是我国近10年来引进先进设备生产的新型非金属管材，在某些发达国家，已有50年历史的应用经验。具有内压力高，内壁光滑，摩阻系数小，节能，耐腐蚀，管长接头少（每根长12</w:t>
      </w:r>
      <w:r>
        <w:rPr>
          <w:rFonts w:hint="eastAsia"/>
          <w:color w:val="auto"/>
          <w:highlight w:val="none"/>
        </w:rPr>
        <w:t>m</w:t>
      </w:r>
      <w:r>
        <w:rPr>
          <w:color w:val="auto"/>
          <w:highlight w:val="none"/>
        </w:rPr>
        <w:t>），双胶圈接口，严密性强，漏耗小，质量轻，便于修补、运输吊装方便等优点，造价低于球铁管和钢管。缺点是施工安装技术要求较高，施工程序较复杂，不良地基需填砂密实管底基础，综合造价比球管钢管便宜，投资较省。</w:t>
      </w:r>
    </w:p>
    <w:p>
      <w:pPr>
        <w:ind w:firstLine="480"/>
        <w:rPr>
          <w:color w:val="auto"/>
          <w:highlight w:val="none"/>
        </w:rPr>
      </w:pPr>
      <w:r>
        <w:rPr>
          <w:rFonts w:hint="eastAsia" w:ascii="宋体" w:hAnsi="宋体"/>
          <w:color w:val="auto"/>
          <w:highlight w:val="none"/>
        </w:rPr>
        <w:t>④</w:t>
      </w:r>
      <w:r>
        <w:rPr>
          <w:color w:val="auto"/>
          <w:highlight w:val="none"/>
        </w:rPr>
        <w:t>塑料管（PE高密度塑料管）</w:t>
      </w:r>
    </w:p>
    <w:p>
      <w:pPr>
        <w:ind w:firstLine="480"/>
        <w:rPr>
          <w:color w:val="auto"/>
          <w:highlight w:val="none"/>
        </w:rPr>
      </w:pPr>
      <w:r>
        <w:rPr>
          <w:rFonts w:hint="eastAsia"/>
          <w:color w:val="auto"/>
          <w:highlight w:val="none"/>
        </w:rPr>
        <w:t>PE管</w:t>
      </w:r>
      <w:r>
        <w:rPr>
          <w:color w:val="auto"/>
          <w:highlight w:val="none"/>
        </w:rPr>
        <w:t>是当前国家重点应用于城市埋地给水管道工程的无毒化学管材，化学结构稳定，长期使用不变质，内、外壁光滑，不受土壤性质侵蚀，耐腐蚀性好，内壁光滑，摩阻系数小，输水能力有一定弹性，不结垢，可防第二次污染，质量轻，施工运输方便，采用热熔法接口，严密性能好。缺点是输水控制水温要求在40</w:t>
      </w:r>
      <w:r>
        <w:rPr>
          <w:rFonts w:hint="eastAsia" w:ascii="宋体" w:hAnsi="宋体"/>
          <w:color w:val="auto"/>
          <w:highlight w:val="none"/>
        </w:rPr>
        <w:t>℃</w:t>
      </w:r>
      <w:r>
        <w:rPr>
          <w:color w:val="auto"/>
          <w:highlight w:val="none"/>
        </w:rPr>
        <w:t>以内，有老化变脆现象，复杂地基适应性较差，造价仅次于钢管，基建投资多，本工程不作经济比较。</w:t>
      </w:r>
    </w:p>
    <w:p>
      <w:pPr>
        <w:ind w:firstLine="480"/>
        <w:rPr>
          <w:color w:val="auto"/>
          <w:highlight w:val="none"/>
        </w:rPr>
      </w:pPr>
      <w:r>
        <w:rPr>
          <w:color w:val="auto"/>
          <w:highlight w:val="none"/>
        </w:rPr>
        <w:t>综合以上四种管材的生产工艺、技术性能、结构组成及施工、维护管理和建设标准等因素，</w:t>
      </w:r>
      <w:r>
        <w:rPr>
          <w:rFonts w:hint="eastAsia"/>
          <w:color w:val="auto"/>
          <w:highlight w:val="none"/>
        </w:rPr>
        <w:t>本次峄城区农村供水巩固提升工程供水管道均采用PE管</w:t>
      </w:r>
      <w:r>
        <w:rPr>
          <w:color w:val="auto"/>
          <w:highlight w:val="none"/>
        </w:rPr>
        <w:t>。</w:t>
      </w:r>
    </w:p>
    <w:p>
      <w:pPr>
        <w:ind w:firstLine="480"/>
        <w:rPr>
          <w:color w:val="auto"/>
          <w:highlight w:val="none"/>
        </w:rPr>
      </w:pPr>
      <w:r>
        <w:rPr>
          <w:rFonts w:hint="eastAsia"/>
          <w:color w:val="auto"/>
          <w:highlight w:val="none"/>
        </w:rPr>
        <w:t>3、管材及管道连接</w:t>
      </w:r>
    </w:p>
    <w:p>
      <w:pPr>
        <w:spacing w:before="72" w:after="72"/>
        <w:ind w:firstLine="480"/>
        <w:rPr>
          <w:color w:val="auto"/>
          <w:highlight w:val="none"/>
        </w:rPr>
      </w:pPr>
      <w:r>
        <w:rPr>
          <w:rFonts w:hint="eastAsia"/>
          <w:color w:val="auto"/>
          <w:highlight w:val="none"/>
        </w:rPr>
        <w:t>管材：PE管材均采用PE 100级聚乙烯管，PE 100级聚乙烯管小于等于dn50采用公称压力等级为1.6MPa，dn63采用公称压力等级为1.25MPa，大于dn63采用公称压力等级为1.0M</w:t>
      </w:r>
      <w:r>
        <w:rPr>
          <w:color w:val="auto"/>
          <w:highlight w:val="none"/>
        </w:rPr>
        <w:t>p</w:t>
      </w:r>
      <w:r>
        <w:rPr>
          <w:rFonts w:hint="eastAsia"/>
          <w:color w:val="auto"/>
          <w:highlight w:val="none"/>
        </w:rPr>
        <w:t>a，部分管段采用1.25Mpa。</w:t>
      </w:r>
    </w:p>
    <w:p>
      <w:pPr>
        <w:spacing w:before="72" w:after="72"/>
        <w:ind w:firstLine="480"/>
        <w:rPr>
          <w:color w:val="auto"/>
          <w:highlight w:val="none"/>
        </w:rPr>
      </w:pPr>
      <w:r>
        <w:rPr>
          <w:rFonts w:hint="eastAsia"/>
          <w:color w:val="auto"/>
          <w:highlight w:val="none"/>
        </w:rPr>
        <w:t>管道连接：聚乙烯管之间连接采用热熔连接，管径大于DN63与闸阀采用法兰连接，小于等于DN63采用卡压式连接。</w:t>
      </w:r>
    </w:p>
    <w:p>
      <w:pPr>
        <w:pStyle w:val="4"/>
        <w:rPr>
          <w:color w:val="auto"/>
          <w:highlight w:val="none"/>
        </w:rPr>
      </w:pPr>
      <w:r>
        <w:rPr>
          <w:rFonts w:hint="eastAsia"/>
          <w:color w:val="auto"/>
          <w:highlight w:val="none"/>
        </w:rPr>
        <w:t>5.7.4平面布置</w:t>
      </w:r>
    </w:p>
    <w:p>
      <w:pPr>
        <w:ind w:firstLine="480"/>
        <w:rPr>
          <w:color w:val="auto"/>
          <w:highlight w:val="none"/>
        </w:rPr>
      </w:pPr>
      <w:r>
        <w:rPr>
          <w:rFonts w:hint="eastAsia"/>
          <w:color w:val="auto"/>
          <w:highlight w:val="none"/>
        </w:rPr>
        <w:t>1、管网布置原则</w:t>
      </w:r>
    </w:p>
    <w:p>
      <w:pPr>
        <w:ind w:firstLine="480"/>
        <w:rPr>
          <w:color w:val="auto"/>
          <w:highlight w:val="none"/>
        </w:rPr>
      </w:pPr>
      <w:r>
        <w:rPr>
          <w:rFonts w:hint="eastAsia"/>
          <w:color w:val="auto"/>
          <w:highlight w:val="none"/>
        </w:rPr>
        <w:t>（1）管网布置必须保证供水安全可靠，当局部管网发生事故时，断水范围应</w:t>
      </w:r>
    </w:p>
    <w:p>
      <w:pPr>
        <w:ind w:firstLine="480"/>
        <w:rPr>
          <w:color w:val="auto"/>
          <w:highlight w:val="none"/>
        </w:rPr>
      </w:pPr>
      <w:r>
        <w:rPr>
          <w:rFonts w:hint="eastAsia"/>
          <w:color w:val="auto"/>
          <w:highlight w:val="none"/>
        </w:rPr>
        <w:t>减到最小；</w:t>
      </w:r>
    </w:p>
    <w:p>
      <w:pPr>
        <w:ind w:firstLine="480"/>
        <w:rPr>
          <w:color w:val="auto"/>
          <w:highlight w:val="none"/>
        </w:rPr>
      </w:pPr>
      <w:r>
        <w:rPr>
          <w:rFonts w:hint="eastAsia"/>
          <w:color w:val="auto"/>
          <w:highlight w:val="none"/>
        </w:rPr>
        <w:t>（2）管线遍布在整个给水区内，保证用户有足够的水量和水压；</w:t>
      </w:r>
    </w:p>
    <w:p>
      <w:pPr>
        <w:ind w:firstLine="480"/>
        <w:rPr>
          <w:color w:val="auto"/>
          <w:highlight w:val="none"/>
        </w:rPr>
      </w:pPr>
      <w:r>
        <w:rPr>
          <w:rFonts w:hint="eastAsia"/>
          <w:color w:val="auto"/>
          <w:highlight w:val="none"/>
        </w:rPr>
        <w:t>（3）力求以最短距离敷设管线，以降低管网造价和供水能量费用；</w:t>
      </w:r>
    </w:p>
    <w:p>
      <w:pPr>
        <w:ind w:firstLine="480"/>
        <w:rPr>
          <w:color w:val="auto"/>
          <w:highlight w:val="none"/>
        </w:rPr>
      </w:pPr>
      <w:r>
        <w:rPr>
          <w:rFonts w:hint="eastAsia"/>
          <w:color w:val="auto"/>
          <w:highlight w:val="none"/>
        </w:rPr>
        <w:t>（4）管线应少穿越道路、河流并减少拆迁和占地；</w:t>
      </w:r>
    </w:p>
    <w:p>
      <w:pPr>
        <w:ind w:firstLine="480"/>
        <w:rPr>
          <w:color w:val="auto"/>
          <w:highlight w:val="none"/>
        </w:rPr>
      </w:pPr>
      <w:r>
        <w:rPr>
          <w:rFonts w:hint="eastAsia"/>
          <w:color w:val="auto"/>
          <w:highlight w:val="none"/>
        </w:rPr>
        <w:t>（5）净水管不得与非净水管和自备供水系统管道联通。</w:t>
      </w:r>
    </w:p>
    <w:p>
      <w:pPr>
        <w:ind w:firstLine="480"/>
        <w:rPr>
          <w:color w:val="auto"/>
          <w:highlight w:val="none"/>
        </w:rPr>
      </w:pPr>
      <w:r>
        <w:rPr>
          <w:rFonts w:hint="eastAsia"/>
          <w:color w:val="auto"/>
          <w:highlight w:val="none"/>
        </w:rPr>
        <w:t>2、管网布置方案</w:t>
      </w:r>
    </w:p>
    <w:p>
      <w:pPr>
        <w:ind w:firstLine="480"/>
        <w:rPr>
          <w:color w:val="auto"/>
          <w:highlight w:val="none"/>
        </w:rPr>
      </w:pPr>
      <w:r>
        <w:rPr>
          <w:rFonts w:hint="eastAsia"/>
          <w:color w:val="auto"/>
          <w:highlight w:val="none"/>
        </w:rPr>
        <w:t>常用管网基本布置形式为树状网和环状网，树状网一般适用于小城市和小型工矿企业，这类管网中任一段管线损坏时，在该管段以后的所有管线就会断水，另外，在树状网的末端，因用水量已经很小，管中的水流缓慢，水质容易变化；优点是节省管材、投资少、结构简单。环状网中，管线连接成环，当该区管线损坏时，可以关闭附近的阀门使和其余管线隔开，然后进行检修，水还可以通过其它管线供水，断水的地区可以缩小，从而供水可靠性增加。</w:t>
      </w:r>
    </w:p>
    <w:p>
      <w:pPr>
        <w:ind w:firstLine="480"/>
        <w:rPr>
          <w:color w:val="auto"/>
          <w:highlight w:val="none"/>
        </w:rPr>
      </w:pPr>
      <w:r>
        <w:rPr>
          <w:rFonts w:hint="eastAsia"/>
          <w:color w:val="auto"/>
          <w:highlight w:val="none"/>
        </w:rPr>
        <w:t>由于每个区域内各供水乡镇距离远，且较分散，配水主管线布置尽量选择线路较短，又符合村镇有关建设规划的道路上进行布置，故本方案新建配水主管线主要沿省级道路和乡镇级道路敷设，管网布置采用树状布置。</w:t>
      </w:r>
    </w:p>
    <w:p>
      <w:pPr>
        <w:ind w:firstLine="480"/>
        <w:rPr>
          <w:color w:val="auto"/>
          <w:highlight w:val="none"/>
        </w:rPr>
      </w:pPr>
      <w:r>
        <w:rPr>
          <w:rFonts w:hint="eastAsia"/>
          <w:color w:val="auto"/>
          <w:highlight w:val="none"/>
        </w:rPr>
        <w:t>3、管道附属设施</w:t>
      </w:r>
    </w:p>
    <w:p>
      <w:pPr>
        <w:ind w:firstLine="480"/>
        <w:rPr>
          <w:color w:val="auto"/>
          <w:highlight w:val="none"/>
        </w:rPr>
      </w:pPr>
      <w:r>
        <w:rPr>
          <w:rFonts w:hint="eastAsia"/>
          <w:color w:val="auto"/>
          <w:highlight w:val="none"/>
        </w:rPr>
        <w:t>各级管道应根据管道运行、控制和安全需要布置排气阀、泄水阀、控制阀、检修阀、减压阀和水表等，上述阀表均应布置在闸阀井或水表井中，并满足防冻和防淹要求。</w:t>
      </w:r>
    </w:p>
    <w:p>
      <w:pPr>
        <w:pStyle w:val="4"/>
        <w:rPr>
          <w:color w:val="auto"/>
          <w:highlight w:val="none"/>
        </w:rPr>
      </w:pPr>
      <w:r>
        <w:rPr>
          <w:rFonts w:hint="eastAsia"/>
          <w:color w:val="auto"/>
          <w:highlight w:val="none"/>
        </w:rPr>
        <w:t>5.7.5管网设计</w:t>
      </w:r>
    </w:p>
    <w:p>
      <w:pPr>
        <w:ind w:firstLine="480"/>
        <w:rPr>
          <w:color w:val="auto"/>
          <w:highlight w:val="none"/>
        </w:rPr>
      </w:pPr>
      <w:r>
        <w:rPr>
          <w:rFonts w:hint="eastAsia"/>
          <w:color w:val="auto"/>
          <w:highlight w:val="none"/>
        </w:rPr>
        <w:t>1、</w:t>
      </w:r>
      <w:r>
        <w:rPr>
          <w:color w:val="auto"/>
          <w:highlight w:val="none"/>
        </w:rPr>
        <w:t>基本原则</w:t>
      </w:r>
    </w:p>
    <w:p>
      <w:pPr>
        <w:ind w:firstLine="480"/>
        <w:rPr>
          <w:color w:val="auto"/>
          <w:highlight w:val="none"/>
        </w:rPr>
      </w:pPr>
      <w:r>
        <w:rPr>
          <w:color w:val="auto"/>
          <w:highlight w:val="none"/>
        </w:rPr>
        <w:t>管道的水力计算原则是在满足管段供水流量及管道末端工作水头的条件下，在确定的允许流速范围内，选择最小的管道直径，达到管网工程造价最低的要求。本供水工程供水管网设计过程，严格按照规范及供水工程相关技术规范进行。</w:t>
      </w:r>
    </w:p>
    <w:p>
      <w:pPr>
        <w:ind w:firstLine="480"/>
        <w:rPr>
          <w:color w:val="auto"/>
          <w:highlight w:val="none"/>
        </w:rPr>
      </w:pPr>
      <w:r>
        <w:rPr>
          <w:rFonts w:hint="eastAsia"/>
          <w:color w:val="auto"/>
          <w:highlight w:val="none"/>
        </w:rPr>
        <w:t>村外输水干管按照最高日最高时确定末端出流量，再按照包络关系往上游推算。村内配水干管所有各管段沿线流量之和等于最高日最高时用水量；各管道沿线出流量根据人均用水当量和各管道的用户人口及用水大户的配水流量计算确定；树枝状管网的管段设计流量可按照沿线出流量的50%加上其下游传输流量计算。</w:t>
      </w:r>
    </w:p>
    <w:p>
      <w:pPr>
        <w:ind w:firstLine="480"/>
        <w:rPr>
          <w:color w:val="auto"/>
          <w:highlight w:val="none"/>
        </w:rPr>
      </w:pPr>
      <w:r>
        <w:rPr>
          <w:rFonts w:hint="eastAsia"/>
          <w:color w:val="auto"/>
          <w:highlight w:val="none"/>
        </w:rPr>
        <w:t>输配水管道采用经济流速设计，一般不宜大于2.0m/s，输浑水流速不宜低于0.6m/s，防止淤积。</w:t>
      </w:r>
      <w:r>
        <w:rPr>
          <w:color w:val="auto"/>
          <w:highlight w:val="none"/>
        </w:rPr>
        <w:t>由于干管末端均设置在项目区各乡镇中心地带，支管多为倒坡供水，为尽量满足供水点即村级管网接引端的自由水头能够控制在15m左右，干管末端自由水头应保证在</w:t>
      </w:r>
      <w:r>
        <w:rPr>
          <w:rFonts w:hint="eastAsia"/>
          <w:color w:val="auto"/>
          <w:highlight w:val="none"/>
        </w:rPr>
        <w:t>25</w:t>
      </w:r>
      <w:r>
        <w:rPr>
          <w:color w:val="auto"/>
          <w:highlight w:val="none"/>
        </w:rPr>
        <w:t>～</w:t>
      </w:r>
      <w:r>
        <w:rPr>
          <w:rFonts w:hint="eastAsia"/>
          <w:color w:val="auto"/>
          <w:highlight w:val="none"/>
        </w:rPr>
        <w:t>40</w:t>
      </w:r>
      <w:r>
        <w:rPr>
          <w:color w:val="auto"/>
          <w:highlight w:val="none"/>
        </w:rPr>
        <w:t>m之间。</w:t>
      </w:r>
    </w:p>
    <w:p>
      <w:pPr>
        <w:ind w:firstLine="480"/>
        <w:rPr>
          <w:color w:val="auto"/>
          <w:highlight w:val="none"/>
        </w:rPr>
      </w:pPr>
      <w:r>
        <w:rPr>
          <w:rFonts w:hint="eastAsia"/>
          <w:color w:val="auto"/>
          <w:highlight w:val="none"/>
        </w:rPr>
        <w:t>2、</w:t>
      </w:r>
      <w:r>
        <w:rPr>
          <w:color w:val="auto"/>
          <w:highlight w:val="none"/>
        </w:rPr>
        <w:t>计算公式</w:t>
      </w:r>
    </w:p>
    <w:p>
      <w:pPr>
        <w:ind w:firstLine="480"/>
        <w:rPr>
          <w:color w:val="auto"/>
          <w:highlight w:val="none"/>
        </w:rPr>
      </w:pPr>
      <w:r>
        <w:rPr>
          <w:color w:val="auto"/>
          <w:highlight w:val="none"/>
        </w:rPr>
        <w:t>水头损失包括沿程损失和局部损失两部分。根据规范采用</w:t>
      </w:r>
      <w:r>
        <w:rPr>
          <w:rFonts w:hint="eastAsia"/>
          <w:color w:val="auto"/>
          <w:highlight w:val="none"/>
        </w:rPr>
        <w:t>下</w:t>
      </w:r>
      <w:r>
        <w:rPr>
          <w:color w:val="auto"/>
          <w:highlight w:val="none"/>
        </w:rPr>
        <w:t>式计算：</w:t>
      </w:r>
    </w:p>
    <w:p>
      <w:pPr>
        <w:ind w:firstLine="480"/>
        <w:rPr>
          <w:color w:val="auto"/>
          <w:highlight w:val="none"/>
        </w:rPr>
      </w:pPr>
      <w:r>
        <w:rPr>
          <w:color w:val="auto"/>
          <w:highlight w:val="none"/>
        </w:rPr>
        <w:t xml:space="preserve">h </w:t>
      </w:r>
      <w:r>
        <w:rPr>
          <w:rFonts w:hint="eastAsia"/>
          <w:color w:val="auto"/>
          <w:highlight w:val="none"/>
        </w:rPr>
        <w:t>=</w:t>
      </w:r>
      <w:r>
        <w:rPr>
          <w:color w:val="auto"/>
          <w:highlight w:val="none"/>
        </w:rPr>
        <w:t xml:space="preserve"> h</w:t>
      </w:r>
      <w:r>
        <w:rPr>
          <w:color w:val="auto"/>
          <w:highlight w:val="none"/>
          <w:vertAlign w:val="subscript"/>
        </w:rPr>
        <w:t>f</w:t>
      </w:r>
      <w:r>
        <w:rPr>
          <w:rFonts w:hint="eastAsia"/>
          <w:color w:val="auto"/>
          <w:highlight w:val="none"/>
        </w:rPr>
        <w:t>+</w:t>
      </w:r>
      <w:r>
        <w:rPr>
          <w:color w:val="auto"/>
          <w:highlight w:val="none"/>
        </w:rPr>
        <w:t xml:space="preserve"> h</w:t>
      </w:r>
      <w:r>
        <w:rPr>
          <w:rFonts w:hint="eastAsia"/>
          <w:color w:val="auto"/>
          <w:highlight w:val="none"/>
          <w:vertAlign w:val="subscript"/>
        </w:rPr>
        <w:t>ξ</w:t>
      </w:r>
    </w:p>
    <w:p>
      <w:pPr>
        <w:ind w:firstLine="480"/>
        <w:rPr>
          <w:color w:val="auto"/>
          <w:highlight w:val="none"/>
        </w:rPr>
      </w:pPr>
      <w:r>
        <w:rPr>
          <w:color w:val="auto"/>
          <w:highlight w:val="none"/>
        </w:rPr>
        <w:t xml:space="preserve">h </w:t>
      </w:r>
      <w:r>
        <w:rPr>
          <w:color w:val="auto"/>
          <w:highlight w:val="none"/>
          <w:vertAlign w:val="subscript"/>
        </w:rPr>
        <w:t>f</w:t>
      </w:r>
      <w:r>
        <w:rPr>
          <w:color w:val="auto"/>
          <w:highlight w:val="none"/>
        </w:rPr>
        <w:t xml:space="preserve"> =10.67C</w:t>
      </w:r>
      <w:r>
        <w:rPr>
          <w:color w:val="auto"/>
          <w:highlight w:val="none"/>
          <w:vertAlign w:val="superscript"/>
        </w:rPr>
        <w:t xml:space="preserve"> -1.852</w:t>
      </w:r>
      <w:r>
        <w:rPr>
          <w:color w:val="auto"/>
          <w:highlight w:val="none"/>
        </w:rPr>
        <w:t>Q</w:t>
      </w:r>
      <w:r>
        <w:rPr>
          <w:color w:val="auto"/>
          <w:highlight w:val="none"/>
          <w:vertAlign w:val="superscript"/>
        </w:rPr>
        <w:t>1.852</w:t>
      </w:r>
      <w:r>
        <w:rPr>
          <w:color w:val="auto"/>
          <w:highlight w:val="none"/>
        </w:rPr>
        <w:t>d</w:t>
      </w:r>
      <w:r>
        <w:rPr>
          <w:rFonts w:hint="eastAsia"/>
          <w:color w:val="auto"/>
          <w:highlight w:val="none"/>
          <w:vertAlign w:val="superscript"/>
        </w:rPr>
        <w:t>-4.87</w:t>
      </w:r>
      <w:r>
        <w:rPr>
          <w:rFonts w:hint="eastAsia"/>
          <w:color w:val="auto"/>
          <w:highlight w:val="none"/>
        </w:rPr>
        <w:t>L</w:t>
      </w:r>
    </w:p>
    <w:p>
      <w:pPr>
        <w:ind w:firstLine="480"/>
        <w:rPr>
          <w:color w:val="auto"/>
          <w:highlight w:val="none"/>
        </w:rPr>
      </w:pPr>
      <w:r>
        <w:rPr>
          <w:color w:val="auto"/>
          <w:highlight w:val="none"/>
        </w:rPr>
        <w:t>h</w:t>
      </w:r>
      <w:r>
        <w:rPr>
          <w:rFonts w:hint="eastAsia"/>
          <w:color w:val="auto"/>
          <w:highlight w:val="none"/>
          <w:vertAlign w:val="subscript"/>
        </w:rPr>
        <w:t>ξ</w:t>
      </w:r>
      <w:r>
        <w:rPr>
          <w:rFonts w:hint="eastAsia"/>
          <w:color w:val="auto"/>
          <w:highlight w:val="none"/>
        </w:rPr>
        <w:t>=0.1~0.2</w:t>
      </w:r>
      <w:r>
        <w:rPr>
          <w:color w:val="auto"/>
          <w:highlight w:val="none"/>
        </w:rPr>
        <w:t xml:space="preserve"> h</w:t>
      </w:r>
      <w:r>
        <w:rPr>
          <w:color w:val="auto"/>
          <w:highlight w:val="none"/>
          <w:vertAlign w:val="subscript"/>
        </w:rPr>
        <w:t>f</w:t>
      </w:r>
    </w:p>
    <w:p>
      <w:pPr>
        <w:ind w:firstLine="480"/>
        <w:rPr>
          <w:color w:val="auto"/>
          <w:highlight w:val="none"/>
        </w:rPr>
      </w:pPr>
      <w:r>
        <w:rPr>
          <w:color w:val="auto"/>
          <w:highlight w:val="none"/>
        </w:rPr>
        <w:t>式中，h</w:t>
      </w:r>
      <w:r>
        <w:rPr>
          <w:color w:val="auto"/>
          <w:highlight w:val="none"/>
          <w:vertAlign w:val="subscript"/>
        </w:rPr>
        <w:t>f</w:t>
      </w:r>
      <w:r>
        <w:rPr>
          <w:color w:val="auto"/>
          <w:highlight w:val="none"/>
        </w:rPr>
        <w:fldChar w:fldCharType="begin"/>
      </w:r>
      <w:r>
        <w:rPr>
          <w:color w:val="auto"/>
          <w:highlight w:val="none"/>
        </w:rPr>
        <w:instrText xml:space="preserve"> SKIPIF 1 &lt; 0      </w:instrText>
      </w:r>
      <w:r>
        <w:rPr>
          <w:color w:val="auto"/>
          <w:highlight w:val="none"/>
        </w:rPr>
        <w:fldChar w:fldCharType="end"/>
      </w:r>
      <w:r>
        <w:rPr>
          <w:color w:val="auto"/>
          <w:highlight w:val="none"/>
        </w:rPr>
        <w:t>--沿程水头损失</w:t>
      </w:r>
      <w:r>
        <w:rPr>
          <w:rFonts w:hint="eastAsia"/>
          <w:color w:val="auto"/>
          <w:highlight w:val="none"/>
        </w:rPr>
        <w:t>，</w:t>
      </w:r>
      <w:r>
        <w:rPr>
          <w:color w:val="auto"/>
          <w:highlight w:val="none"/>
        </w:rPr>
        <w:t>（m）</w:t>
      </w:r>
      <w:r>
        <w:rPr>
          <w:rFonts w:hint="eastAsia"/>
          <w:color w:val="auto"/>
          <w:highlight w:val="none"/>
        </w:rPr>
        <w:t>；</w:t>
      </w:r>
    </w:p>
    <w:p>
      <w:pPr>
        <w:ind w:firstLine="480"/>
        <w:rPr>
          <w:color w:val="auto"/>
          <w:highlight w:val="none"/>
        </w:rPr>
      </w:pPr>
      <w:r>
        <w:rPr>
          <w:color w:val="auto"/>
          <w:highlight w:val="none"/>
        </w:rPr>
        <w:t>h</w:t>
      </w:r>
      <w:r>
        <w:rPr>
          <w:rFonts w:hint="eastAsia"/>
          <w:color w:val="auto"/>
          <w:highlight w:val="none"/>
          <w:vertAlign w:val="subscript"/>
        </w:rPr>
        <w:t>ξ</w:t>
      </w:r>
      <w:r>
        <w:rPr>
          <w:color w:val="auto"/>
          <w:highlight w:val="none"/>
        </w:rPr>
        <w:fldChar w:fldCharType="begin"/>
      </w:r>
      <w:r>
        <w:rPr>
          <w:color w:val="auto"/>
          <w:highlight w:val="none"/>
        </w:rPr>
        <w:instrText xml:space="preserve"> SKIPIF 1 &lt; 0      </w:instrText>
      </w:r>
      <w:r>
        <w:rPr>
          <w:color w:val="auto"/>
          <w:highlight w:val="none"/>
        </w:rPr>
        <w:fldChar w:fldCharType="end"/>
      </w:r>
      <w:r>
        <w:rPr>
          <w:color w:val="auto"/>
          <w:highlight w:val="none"/>
        </w:rPr>
        <w:t>–</w:t>
      </w:r>
      <w:r>
        <w:rPr>
          <w:rFonts w:hint="eastAsia"/>
          <w:color w:val="auto"/>
          <w:highlight w:val="none"/>
        </w:rPr>
        <w:t>局部</w:t>
      </w:r>
      <w:r>
        <w:rPr>
          <w:color w:val="auto"/>
          <w:highlight w:val="none"/>
        </w:rPr>
        <w:t>水头损失</w:t>
      </w:r>
      <w:r>
        <w:rPr>
          <w:rFonts w:hint="eastAsia"/>
          <w:color w:val="auto"/>
          <w:highlight w:val="none"/>
        </w:rPr>
        <w:t>，</w:t>
      </w:r>
      <w:r>
        <w:rPr>
          <w:color w:val="auto"/>
          <w:highlight w:val="none"/>
        </w:rPr>
        <w:t>（m）</w:t>
      </w:r>
      <w:r>
        <w:rPr>
          <w:rFonts w:hint="eastAsia"/>
          <w:color w:val="auto"/>
          <w:highlight w:val="none"/>
        </w:rPr>
        <w:t>；</w:t>
      </w:r>
    </w:p>
    <w:p>
      <w:pPr>
        <w:ind w:firstLine="480"/>
        <w:rPr>
          <w:color w:val="auto"/>
          <w:highlight w:val="none"/>
        </w:rPr>
      </w:pPr>
      <w:r>
        <w:rPr>
          <w:rFonts w:hint="eastAsia"/>
          <w:color w:val="auto"/>
          <w:highlight w:val="none"/>
        </w:rPr>
        <w:t>Q</w:t>
      </w:r>
      <w:r>
        <w:rPr>
          <w:color w:val="auto"/>
          <w:highlight w:val="none"/>
        </w:rPr>
        <w:t>-设计流量</w:t>
      </w:r>
      <w:r>
        <w:rPr>
          <w:rFonts w:hint="eastAsia"/>
          <w:color w:val="auto"/>
          <w:highlight w:val="none"/>
        </w:rPr>
        <w:t>，</w:t>
      </w:r>
      <w:r>
        <w:rPr>
          <w:color w:val="auto"/>
          <w:highlight w:val="none"/>
        </w:rPr>
        <w:t>（m</w:t>
      </w:r>
      <w:r>
        <w:rPr>
          <w:color w:val="auto"/>
          <w:highlight w:val="none"/>
          <w:vertAlign w:val="superscript"/>
        </w:rPr>
        <w:t>3</w:t>
      </w:r>
      <w:r>
        <w:rPr>
          <w:color w:val="auto"/>
          <w:highlight w:val="none"/>
        </w:rPr>
        <w:t>/s）</w:t>
      </w:r>
      <w:r>
        <w:rPr>
          <w:rFonts w:hint="eastAsia"/>
          <w:color w:val="auto"/>
          <w:highlight w:val="none"/>
        </w:rPr>
        <w:t>；</w:t>
      </w:r>
    </w:p>
    <w:p>
      <w:pPr>
        <w:ind w:firstLine="480"/>
        <w:rPr>
          <w:color w:val="auto"/>
          <w:highlight w:val="none"/>
        </w:rPr>
      </w:pPr>
      <w:r>
        <w:rPr>
          <w:color w:val="auto"/>
          <w:highlight w:val="none"/>
        </w:rPr>
        <w:fldChar w:fldCharType="begin"/>
      </w:r>
      <w:r>
        <w:rPr>
          <w:color w:val="auto"/>
          <w:highlight w:val="none"/>
        </w:rPr>
        <w:instrText xml:space="preserve"> SKIPIF 1 &lt; 0      </w:instrText>
      </w:r>
      <w:r>
        <w:rPr>
          <w:color w:val="auto"/>
          <w:highlight w:val="none"/>
        </w:rPr>
        <w:fldChar w:fldCharType="end"/>
      </w:r>
      <w:r>
        <w:rPr>
          <w:rFonts w:hint="eastAsia"/>
          <w:color w:val="auto"/>
          <w:highlight w:val="none"/>
        </w:rPr>
        <w:t>d</w:t>
      </w:r>
      <w:r>
        <w:rPr>
          <w:color w:val="auto"/>
          <w:highlight w:val="none"/>
        </w:rPr>
        <w:t>--管径</w:t>
      </w:r>
      <w:r>
        <w:rPr>
          <w:rFonts w:hint="eastAsia"/>
          <w:color w:val="auto"/>
          <w:highlight w:val="none"/>
        </w:rPr>
        <w:t>，</w:t>
      </w:r>
      <w:r>
        <w:rPr>
          <w:color w:val="auto"/>
          <w:highlight w:val="none"/>
        </w:rPr>
        <w:t>（m）</w:t>
      </w:r>
      <w:r>
        <w:rPr>
          <w:rFonts w:hint="eastAsia"/>
          <w:color w:val="auto"/>
          <w:highlight w:val="none"/>
        </w:rPr>
        <w:t>；</w:t>
      </w:r>
    </w:p>
    <w:p>
      <w:pPr>
        <w:ind w:firstLine="480"/>
        <w:rPr>
          <w:color w:val="auto"/>
          <w:highlight w:val="none"/>
        </w:rPr>
      </w:pPr>
      <w:r>
        <w:rPr>
          <w:rFonts w:hint="eastAsia"/>
          <w:color w:val="auto"/>
          <w:highlight w:val="none"/>
        </w:rPr>
        <w:t>L</w:t>
      </w:r>
      <w:r>
        <w:rPr>
          <w:color w:val="auto"/>
          <w:highlight w:val="none"/>
        </w:rPr>
        <w:t>--</w:t>
      </w:r>
      <w:r>
        <w:rPr>
          <w:rFonts w:hint="eastAsia"/>
          <w:color w:val="auto"/>
          <w:highlight w:val="none"/>
        </w:rPr>
        <w:t>计算管段长度，</w:t>
      </w:r>
      <w:r>
        <w:rPr>
          <w:color w:val="auto"/>
          <w:highlight w:val="none"/>
        </w:rPr>
        <w:t>（m）</w:t>
      </w:r>
      <w:r>
        <w:rPr>
          <w:rFonts w:hint="eastAsia"/>
          <w:color w:val="auto"/>
          <w:highlight w:val="none"/>
        </w:rPr>
        <w:t>；</w:t>
      </w:r>
    </w:p>
    <w:p>
      <w:pPr>
        <w:ind w:firstLine="480"/>
        <w:rPr>
          <w:color w:val="auto"/>
          <w:highlight w:val="none"/>
        </w:rPr>
      </w:pPr>
      <w:r>
        <w:rPr>
          <w:rFonts w:hint="eastAsia"/>
          <w:color w:val="auto"/>
          <w:highlight w:val="none"/>
        </w:rPr>
        <w:t>C</w:t>
      </w:r>
      <w:r>
        <w:rPr>
          <w:color w:val="auto"/>
          <w:highlight w:val="none"/>
        </w:rPr>
        <w:t>—</w:t>
      </w:r>
      <w:r>
        <w:rPr>
          <w:rFonts w:hint="eastAsia"/>
          <w:color w:val="auto"/>
          <w:highlight w:val="none"/>
        </w:rPr>
        <w:t>海曾威廉系数。</w:t>
      </w:r>
    </w:p>
    <w:p>
      <w:pPr>
        <w:ind w:firstLine="480"/>
        <w:rPr>
          <w:color w:val="auto"/>
          <w:highlight w:val="none"/>
        </w:rPr>
      </w:pPr>
      <w:r>
        <w:rPr>
          <w:color w:val="auto"/>
          <w:highlight w:val="none"/>
        </w:rPr>
        <w:t>水头损失计算是管网设计的重要参数，是供水管网设计的基础，也是校核供水管道直径的主要依据。主要确定管网在设计流量状态下起始点至各供水末端的水头损失。管网水力计算从最不利点开始，按照计算确定的管道实际供水流量，从下到上依次分段进行计算。然后，再根据水力计算结果，确定采用的管段直径、管材压力级别和相关工程措施。</w:t>
      </w:r>
    </w:p>
    <w:p>
      <w:pPr>
        <w:ind w:firstLine="480"/>
        <w:rPr>
          <w:color w:val="auto"/>
          <w:highlight w:val="none"/>
        </w:rPr>
      </w:pPr>
      <w:r>
        <w:rPr>
          <w:color w:val="auto"/>
          <w:highlight w:val="none"/>
        </w:rPr>
        <w:t>各支管水力计算同干管水力计算。按照</w:t>
      </w:r>
      <w:r>
        <w:rPr>
          <w:rFonts w:hint="eastAsia"/>
          <w:color w:val="auto"/>
          <w:highlight w:val="none"/>
        </w:rPr>
        <w:t>有关</w:t>
      </w:r>
      <w:r>
        <w:rPr>
          <w:color w:val="auto"/>
          <w:highlight w:val="none"/>
        </w:rPr>
        <w:t>《规范》规定，对末端自由水头大于</w:t>
      </w:r>
      <w:r>
        <w:rPr>
          <w:rFonts w:hint="eastAsia"/>
          <w:color w:val="auto"/>
          <w:highlight w:val="none"/>
        </w:rPr>
        <w:t>40</w:t>
      </w:r>
      <w:r>
        <w:rPr>
          <w:color w:val="auto"/>
          <w:highlight w:val="none"/>
        </w:rPr>
        <w:t>m和实际水头不能满足供水要求者，分别采取减压和加压措施，使其所有节点自由水头满足规定。</w:t>
      </w:r>
    </w:p>
    <w:p>
      <w:pPr>
        <w:pStyle w:val="4"/>
        <w:rPr>
          <w:color w:val="auto"/>
          <w:highlight w:val="none"/>
        </w:rPr>
      </w:pPr>
      <w:r>
        <w:rPr>
          <w:rFonts w:hint="eastAsia"/>
          <w:color w:val="auto"/>
          <w:highlight w:val="none"/>
        </w:rPr>
        <w:t>5.7.6加压泵站</w:t>
      </w:r>
    </w:p>
    <w:p>
      <w:pPr>
        <w:spacing w:before="72" w:after="72"/>
        <w:ind w:firstLine="480"/>
        <w:rPr>
          <w:color w:val="auto"/>
          <w:highlight w:val="none"/>
        </w:rPr>
      </w:pPr>
      <w:r>
        <w:rPr>
          <w:rFonts w:hint="eastAsia"/>
          <w:color w:val="auto"/>
          <w:highlight w:val="none"/>
        </w:rPr>
        <w:t>因地形高差起伏大，考虑运行费用少，根据管网压力分析以及地形确定，本项目共新建设加压站5座。</w:t>
      </w:r>
    </w:p>
    <w:p>
      <w:pPr>
        <w:spacing w:before="72" w:after="72"/>
        <w:ind w:firstLine="480"/>
        <w:rPr>
          <w:color w:val="auto"/>
          <w:highlight w:val="none"/>
        </w:rPr>
      </w:pPr>
      <w:r>
        <w:rPr>
          <w:rFonts w:hint="eastAsia"/>
          <w:color w:val="auto"/>
          <w:highlight w:val="none"/>
        </w:rPr>
        <w:t>为管理方便，加压站设平房3间，一间做控制室，另两间做泵房。平面尺寸为12×5.5m，总面积66m²。加压泵站为砖混结构，钢筋混凝土平屋顶，铝合金窗，铁门，外设防盗网。</w:t>
      </w:r>
    </w:p>
    <w:p>
      <w:pPr>
        <w:spacing w:before="72" w:after="72"/>
        <w:ind w:firstLine="480"/>
        <w:rPr>
          <w:color w:val="auto"/>
          <w:highlight w:val="none"/>
        </w:rPr>
      </w:pPr>
      <w:r>
        <w:rPr>
          <w:rFonts w:hint="eastAsia"/>
          <w:color w:val="auto"/>
          <w:highlight w:val="none"/>
        </w:rPr>
        <w:t>为减小加压站对前面管网压力的影响，加压泵采用无负压设备。加压站用电可从附近高压线路接入，并</w:t>
      </w:r>
      <w:r>
        <w:rPr>
          <w:color w:val="auto"/>
          <w:highlight w:val="none"/>
        </w:rPr>
        <w:t>设</w:t>
      </w:r>
      <w:r>
        <w:rPr>
          <w:rFonts w:hint="eastAsia"/>
          <w:color w:val="auto"/>
          <w:highlight w:val="none"/>
        </w:rPr>
        <w:t>箱式变压器一台</w:t>
      </w:r>
      <w:r>
        <w:rPr>
          <w:color w:val="auto"/>
          <w:highlight w:val="none"/>
        </w:rPr>
        <w:t>。</w:t>
      </w:r>
    </w:p>
    <w:p>
      <w:pPr>
        <w:pStyle w:val="4"/>
        <w:rPr>
          <w:color w:val="auto"/>
          <w:highlight w:val="none"/>
        </w:rPr>
      </w:pPr>
      <w:r>
        <w:rPr>
          <w:rFonts w:hint="eastAsia"/>
          <w:color w:val="auto"/>
          <w:highlight w:val="none"/>
        </w:rPr>
        <w:t>5.7.7</w:t>
      </w:r>
      <w:r>
        <w:rPr>
          <w:color w:val="auto"/>
          <w:highlight w:val="none"/>
        </w:rPr>
        <w:t>管道基础与附属设施</w:t>
      </w:r>
    </w:p>
    <w:p>
      <w:pPr>
        <w:ind w:firstLine="480"/>
        <w:rPr>
          <w:color w:val="auto"/>
          <w:highlight w:val="none"/>
        </w:rPr>
      </w:pPr>
      <w:r>
        <w:rPr>
          <w:color w:val="auto"/>
          <w:highlight w:val="none"/>
        </w:rPr>
        <w:t>1、</w:t>
      </w:r>
      <w:r>
        <w:rPr>
          <w:rFonts w:hint="eastAsia"/>
          <w:color w:val="auto"/>
          <w:highlight w:val="none"/>
        </w:rPr>
        <w:t>管道</w:t>
      </w:r>
      <w:r>
        <w:rPr>
          <w:color w:val="auto"/>
          <w:highlight w:val="none"/>
        </w:rPr>
        <w:t>基础</w:t>
      </w:r>
    </w:p>
    <w:p>
      <w:pPr>
        <w:ind w:firstLine="480"/>
        <w:rPr>
          <w:color w:val="auto"/>
          <w:highlight w:val="none"/>
        </w:rPr>
      </w:pPr>
      <w:r>
        <w:rPr>
          <w:color w:val="auto"/>
          <w:highlight w:val="none"/>
        </w:rPr>
        <w:t>一般情况下，当土壤为粘土或砂质粘土、地下水位较低时，可直接铺设，无需作基础处理，只需将管沟槽内的天然基础整平，直接铺设在未经扰动的原状土上即可。在岩石、半岩石基础处，则需采用砂基础，铺砂找平，砂基厚度为10mm。</w:t>
      </w:r>
    </w:p>
    <w:p>
      <w:pPr>
        <w:ind w:firstLine="480"/>
        <w:rPr>
          <w:color w:val="auto"/>
          <w:highlight w:val="none"/>
        </w:rPr>
      </w:pPr>
      <w:r>
        <w:rPr>
          <w:color w:val="auto"/>
          <w:highlight w:val="none"/>
        </w:rPr>
        <w:t>2、附属设施</w:t>
      </w:r>
    </w:p>
    <w:p>
      <w:pPr>
        <w:ind w:firstLine="480"/>
        <w:rPr>
          <w:color w:val="auto"/>
          <w:highlight w:val="none"/>
        </w:rPr>
      </w:pPr>
      <w:r>
        <w:rPr>
          <w:color w:val="auto"/>
          <w:highlight w:val="none"/>
        </w:rPr>
        <w:t>附属设施包括支墩、检修阀、分水阀、排泥阀、进排气阀、减压阀</w:t>
      </w:r>
      <w:r>
        <w:rPr>
          <w:rFonts w:hint="eastAsia"/>
          <w:color w:val="auto"/>
          <w:highlight w:val="none"/>
        </w:rPr>
        <w:t>、消火栓等</w:t>
      </w:r>
      <w:r>
        <w:rPr>
          <w:color w:val="auto"/>
          <w:highlight w:val="none"/>
        </w:rPr>
        <w:t>。其中，在松软的土壤中，弯头、三通处应设置支墩，支墩采用C15混凝土，检修阀、分水阀根据管网检修和分水需要布设，部分检修阀与分水阀可合并布设；排泥阀、进排气阀分别布设在管道最低、最高位置；减压阀根据管道供水水头和设计运行水头确定。所有阀类设施均布设在阀门井中。</w:t>
      </w:r>
    </w:p>
    <w:p>
      <w:pPr>
        <w:ind w:firstLine="480"/>
        <w:rPr>
          <w:color w:val="auto"/>
          <w:highlight w:val="none"/>
        </w:rPr>
      </w:pPr>
      <w:r>
        <w:rPr>
          <w:rFonts w:hint="eastAsia"/>
          <w:color w:val="auto"/>
          <w:highlight w:val="none"/>
        </w:rPr>
        <w:t>（1）阀门井</w:t>
      </w:r>
    </w:p>
    <w:p>
      <w:pPr>
        <w:ind w:firstLine="480"/>
        <w:rPr>
          <w:color w:val="auto"/>
          <w:highlight w:val="none"/>
        </w:rPr>
      </w:pPr>
      <w:r>
        <w:rPr>
          <w:rFonts w:hint="eastAsia"/>
          <w:color w:val="auto"/>
          <w:highlight w:val="none"/>
        </w:rPr>
        <w:t>在主管网干管与支管连接处及管网穿越河道处和村头设置阀门井，阀门井井壁用M10浆砌砖砌筑，内表面采用水泥砂浆抹面，池顶预埋地螺丝，以便安装池盖。</w:t>
      </w:r>
    </w:p>
    <w:p>
      <w:pPr>
        <w:ind w:firstLine="480"/>
        <w:rPr>
          <w:color w:val="auto"/>
          <w:highlight w:val="none"/>
        </w:rPr>
      </w:pPr>
      <w:r>
        <w:rPr>
          <w:rFonts w:hint="eastAsia"/>
          <w:color w:val="auto"/>
          <w:highlight w:val="none"/>
        </w:rPr>
        <w:t>（2）水表井</w:t>
      </w:r>
    </w:p>
    <w:p>
      <w:pPr>
        <w:ind w:firstLine="480"/>
        <w:rPr>
          <w:color w:val="auto"/>
          <w:highlight w:val="none"/>
        </w:rPr>
      </w:pPr>
      <w:r>
        <w:rPr>
          <w:rFonts w:hint="eastAsia"/>
          <w:color w:val="auto"/>
          <w:highlight w:val="none"/>
        </w:rPr>
        <w:t>各水厂的主管网在村头处设置分水表井，用于控制和计量，池顶预埋地螺丝，以便安装铁板池盖。水表入户管为dn25的采用口径为DN20，选用旋翼式水表，水表及管件下设支墩；分水表管径小于等于DN50，采用旋翼式水表，大于DN50采用螺翼式水表。</w:t>
      </w:r>
    </w:p>
    <w:p>
      <w:pPr>
        <w:ind w:firstLine="480"/>
        <w:rPr>
          <w:color w:val="auto"/>
          <w:highlight w:val="none"/>
        </w:rPr>
      </w:pPr>
      <w:r>
        <w:rPr>
          <w:rFonts w:hint="eastAsia"/>
          <w:color w:val="auto"/>
          <w:highlight w:val="none"/>
        </w:rPr>
        <w:t>（3）排气阀和泄水阀</w:t>
      </w:r>
    </w:p>
    <w:p>
      <w:pPr>
        <w:ind w:firstLine="480"/>
        <w:rPr>
          <w:color w:val="auto"/>
          <w:highlight w:val="none"/>
        </w:rPr>
      </w:pPr>
      <w:r>
        <w:rPr>
          <w:rFonts w:hint="eastAsia"/>
          <w:color w:val="auto"/>
          <w:highlight w:val="none"/>
        </w:rPr>
        <w:t>在管道凸起点应设排气阀，长距离无凸起点的管段，每隔1.0km左右应设排气阀，以便在管线投产时和检修通水时，放出管内空气。排气阀阀体应垂直安装在管线上。</w:t>
      </w:r>
    </w:p>
    <w:p>
      <w:pPr>
        <w:ind w:firstLine="480"/>
        <w:rPr>
          <w:color w:val="auto"/>
          <w:highlight w:val="none"/>
        </w:rPr>
      </w:pPr>
      <w:r>
        <w:rPr>
          <w:rFonts w:hint="eastAsia"/>
          <w:color w:val="auto"/>
          <w:highlight w:val="none"/>
        </w:rPr>
        <w:t>为满足管道检修时放空管道内的存水，排泥以及管道冲洗的需要，在管线的低处应设置泄水阀。</w:t>
      </w:r>
    </w:p>
    <w:p>
      <w:pPr>
        <w:ind w:firstLine="480"/>
        <w:rPr>
          <w:color w:val="auto"/>
          <w:highlight w:val="none"/>
        </w:rPr>
      </w:pPr>
      <w:r>
        <w:rPr>
          <w:rFonts w:hint="eastAsia"/>
          <w:color w:val="auto"/>
          <w:highlight w:val="none"/>
        </w:rPr>
        <w:t>（4）消火栓</w:t>
      </w:r>
    </w:p>
    <w:p>
      <w:pPr>
        <w:ind w:firstLine="480"/>
        <w:rPr>
          <w:color w:val="auto"/>
          <w:highlight w:val="none"/>
        </w:rPr>
      </w:pPr>
      <w:r>
        <w:rPr>
          <w:rFonts w:hint="eastAsia"/>
          <w:color w:val="auto"/>
          <w:highlight w:val="none"/>
        </w:rPr>
        <w:t>消火栓为地上式，布置在各村进村路旁及干管靠近村庄的地方。消防栓通过闸阀与支管连接。</w:t>
      </w:r>
    </w:p>
    <w:p>
      <w:pPr>
        <w:ind w:firstLine="480"/>
        <w:rPr>
          <w:color w:val="auto"/>
          <w:highlight w:val="none"/>
        </w:rPr>
      </w:pPr>
      <w:r>
        <w:rPr>
          <w:rFonts w:hint="eastAsia"/>
          <w:color w:val="auto"/>
          <w:highlight w:val="none"/>
        </w:rPr>
        <w:t>各种井类做法参见《室外给水管道附属构筑物》（07MS101-2），消火栓安装参见《室外给水管道工程及附属设施》（07MS101）。</w:t>
      </w:r>
    </w:p>
    <w:p>
      <w:pPr>
        <w:ind w:firstLine="480"/>
        <w:rPr>
          <w:color w:val="auto"/>
          <w:highlight w:val="none"/>
        </w:rPr>
      </w:pPr>
      <w:r>
        <w:rPr>
          <w:rFonts w:hint="eastAsia"/>
          <w:color w:val="auto"/>
          <w:highlight w:val="none"/>
        </w:rPr>
        <w:t>3、切割及恢复砼路面均按20cm厚考虑。</w:t>
      </w:r>
    </w:p>
    <w:p>
      <w:pPr>
        <w:pStyle w:val="4"/>
        <w:rPr>
          <w:color w:val="auto"/>
          <w:highlight w:val="none"/>
        </w:rPr>
      </w:pPr>
      <w:r>
        <w:rPr>
          <w:rFonts w:hint="eastAsia"/>
          <w:color w:val="auto"/>
          <w:highlight w:val="none"/>
        </w:rPr>
        <w:t>5.7.8主要工程量</w:t>
      </w:r>
    </w:p>
    <w:p>
      <w:pPr>
        <w:ind w:firstLine="480"/>
        <w:rPr>
          <w:color w:val="auto"/>
          <w:highlight w:val="none"/>
        </w:rPr>
      </w:pPr>
      <w:r>
        <w:rPr>
          <w:rFonts w:hint="eastAsia"/>
          <w:color w:val="auto"/>
          <w:highlight w:val="none"/>
        </w:rPr>
        <w:t>峄城区农村供水巩固提升工程共铺设管道149.12km，其中dn500PE管道2.30km，dn400PE管道21.40km，dn315PE管道38.55km，dn200PE管道21.30km，dn160PE管道37.74km，dn125PE管道6.39km，dn110PE管道11.50km，dn90PE管道8.14km，dn75PE管道1.80km；新建加压泵站5座；拆除恢复混凝土路面53500m</w:t>
      </w:r>
      <w:r>
        <w:rPr>
          <w:rFonts w:hint="eastAsia"/>
          <w:color w:val="auto"/>
          <w:highlight w:val="none"/>
          <w:vertAlign w:val="superscript"/>
        </w:rPr>
        <w:t>2</w:t>
      </w:r>
      <w:r>
        <w:rPr>
          <w:rFonts w:hint="eastAsia"/>
          <w:color w:val="auto"/>
          <w:highlight w:val="none"/>
        </w:rPr>
        <w:t>。</w:t>
      </w:r>
    </w:p>
    <w:p>
      <w:pPr>
        <w:pStyle w:val="3"/>
        <w:rPr>
          <w:color w:val="auto"/>
          <w:highlight w:val="none"/>
        </w:rPr>
      </w:pPr>
      <w:bookmarkStart w:id="75" w:name="_Toc7847"/>
      <w:r>
        <w:rPr>
          <w:rFonts w:hint="eastAsia"/>
          <w:color w:val="auto"/>
          <w:highlight w:val="none"/>
        </w:rPr>
        <w:t>5.8</w:t>
      </w:r>
      <w:r>
        <w:rPr>
          <w:rFonts w:cs="Times New Roman"/>
          <w:color w:val="auto"/>
          <w:highlight w:val="none"/>
        </w:rPr>
        <w:t>峄城区东部地区水系连通工程</w:t>
      </w:r>
      <w:bookmarkEnd w:id="75"/>
    </w:p>
    <w:p>
      <w:pPr>
        <w:pStyle w:val="4"/>
        <w:rPr>
          <w:color w:val="auto"/>
          <w:highlight w:val="none"/>
        </w:rPr>
      </w:pPr>
      <w:r>
        <w:rPr>
          <w:rFonts w:hint="eastAsia"/>
          <w:color w:val="auto"/>
          <w:highlight w:val="none"/>
        </w:rPr>
        <w:t>5.8.1东部河道综合治理工程</w:t>
      </w:r>
    </w:p>
    <w:p>
      <w:pPr>
        <w:pStyle w:val="5"/>
        <w:rPr>
          <w:color w:val="auto"/>
          <w:highlight w:val="none"/>
        </w:rPr>
      </w:pPr>
      <w:r>
        <w:rPr>
          <w:rFonts w:hint="eastAsia"/>
          <w:color w:val="auto"/>
          <w:highlight w:val="none"/>
        </w:rPr>
        <w:t>5.8.1.1</w:t>
      </w:r>
      <w:r>
        <w:rPr>
          <w:rFonts w:cs="Times New Roman"/>
          <w:color w:val="auto"/>
          <w:highlight w:val="none"/>
        </w:rPr>
        <w:t>工程等别和标准</w:t>
      </w:r>
    </w:p>
    <w:p>
      <w:pPr>
        <w:ind w:firstLine="480"/>
        <w:rPr>
          <w:rFonts w:cs="Times New Roman"/>
          <w:color w:val="auto"/>
          <w:highlight w:val="none"/>
        </w:rPr>
      </w:pPr>
      <w:r>
        <w:rPr>
          <w:rFonts w:cs="Times New Roman"/>
          <w:color w:val="auto"/>
          <w:highlight w:val="none"/>
        </w:rPr>
        <w:t>1、防洪排涝标准</w:t>
      </w:r>
    </w:p>
    <w:p>
      <w:pPr>
        <w:ind w:firstLine="480"/>
        <w:rPr>
          <w:color w:val="auto"/>
          <w:highlight w:val="none"/>
        </w:rPr>
      </w:pPr>
      <w:r>
        <w:rPr>
          <w:color w:val="auto"/>
          <w:highlight w:val="none"/>
        </w:rPr>
        <w:t>根据《防洪标准》（GB50201-2014）、《水利水电工程等级划分及洪水标准》（SL252-2017）及《堤防工程设计规范》（GB50286-2013），防洪标准为20年一遇，所在河段的堤防、穿堤构筑物、跨河构筑物级别为4级，临时构筑物级别为5级。</w:t>
      </w:r>
    </w:p>
    <w:p>
      <w:pPr>
        <w:ind w:firstLine="480"/>
        <w:rPr>
          <w:rFonts w:cs="Times New Roman"/>
          <w:color w:val="auto"/>
          <w:highlight w:val="none"/>
        </w:rPr>
      </w:pPr>
      <w:r>
        <w:rPr>
          <w:rFonts w:cs="Times New Roman"/>
          <w:color w:val="auto"/>
          <w:highlight w:val="none"/>
        </w:rPr>
        <w:t>2、地震设防标准</w:t>
      </w:r>
    </w:p>
    <w:p>
      <w:pPr>
        <w:ind w:firstLine="480"/>
        <w:rPr>
          <w:color w:val="auto"/>
          <w:highlight w:val="none"/>
        </w:rPr>
      </w:pPr>
      <w:r>
        <w:rPr>
          <w:color w:val="auto"/>
          <w:highlight w:val="none"/>
        </w:rPr>
        <w:t>根据《中国地震动峰值加速度区划图》和《中国地震动反应谱特征周期区划图》，该区抗震设防烈度为7度，设计基本地震加速度值为0.10g，地震动反应谱特征周期为0.45s。</w:t>
      </w:r>
    </w:p>
    <w:p>
      <w:pPr>
        <w:pStyle w:val="5"/>
        <w:rPr>
          <w:color w:val="auto"/>
          <w:highlight w:val="none"/>
        </w:rPr>
      </w:pPr>
      <w:r>
        <w:rPr>
          <w:rFonts w:hint="eastAsia"/>
          <w:color w:val="auto"/>
          <w:highlight w:val="none"/>
        </w:rPr>
        <w:t>5.8.1.</w:t>
      </w:r>
      <w:r>
        <w:rPr>
          <w:color w:val="auto"/>
          <w:highlight w:val="none"/>
        </w:rPr>
        <w:t>2</w:t>
      </w:r>
      <w:r>
        <w:rPr>
          <w:rFonts w:cs="Times New Roman"/>
          <w:color w:val="auto"/>
          <w:highlight w:val="none"/>
        </w:rPr>
        <w:t>工程总体布置</w:t>
      </w:r>
    </w:p>
    <w:p>
      <w:pPr>
        <w:ind w:firstLine="480"/>
        <w:rPr>
          <w:rFonts w:cs="Times New Roman"/>
          <w:color w:val="auto"/>
          <w:highlight w:val="none"/>
        </w:rPr>
      </w:pPr>
      <w:r>
        <w:rPr>
          <w:rFonts w:hint="eastAsia"/>
          <w:color w:val="auto"/>
          <w:highlight w:val="none"/>
        </w:rPr>
        <w:t>一、</w:t>
      </w:r>
      <w:r>
        <w:rPr>
          <w:rFonts w:cs="Times New Roman"/>
          <w:color w:val="auto"/>
          <w:highlight w:val="none"/>
        </w:rPr>
        <w:t>工程布置原则</w:t>
      </w:r>
    </w:p>
    <w:p>
      <w:pPr>
        <w:ind w:firstLine="480"/>
        <w:rPr>
          <w:rFonts w:cs="Times New Roman"/>
          <w:color w:val="auto"/>
          <w:highlight w:val="none"/>
        </w:rPr>
      </w:pPr>
      <w:r>
        <w:rPr>
          <w:rFonts w:cs="Times New Roman"/>
          <w:color w:val="auto"/>
          <w:highlight w:val="none"/>
        </w:rPr>
        <w:t>1、充分利用现有工程，在利用现状河形前提下尽可能减少移民、拆迁的数量和建筑物的数量，投资省、经济合理；</w:t>
      </w:r>
    </w:p>
    <w:p>
      <w:pPr>
        <w:ind w:firstLine="480"/>
        <w:rPr>
          <w:rFonts w:cs="Times New Roman"/>
          <w:color w:val="auto"/>
          <w:highlight w:val="none"/>
        </w:rPr>
      </w:pPr>
      <w:r>
        <w:rPr>
          <w:rFonts w:cs="Times New Roman"/>
          <w:color w:val="auto"/>
          <w:highlight w:val="none"/>
        </w:rPr>
        <w:t>2、充分考虑河道的防洪、灌溉等综合利用效益，尽量避免由于防洪工程建设影响其他工程效益的发挥；</w:t>
      </w:r>
    </w:p>
    <w:p>
      <w:pPr>
        <w:ind w:firstLine="480"/>
        <w:rPr>
          <w:rFonts w:cs="Times New Roman"/>
          <w:color w:val="auto"/>
          <w:highlight w:val="none"/>
        </w:rPr>
      </w:pPr>
      <w:r>
        <w:rPr>
          <w:rFonts w:cs="Times New Roman"/>
          <w:color w:val="auto"/>
          <w:highlight w:val="none"/>
        </w:rPr>
        <w:t>3、便于建筑物的工程布置，建筑物地质条件较好，尽可能避开土层复杂、软弱、渗漏严重的地带；</w:t>
      </w:r>
    </w:p>
    <w:p>
      <w:pPr>
        <w:ind w:firstLine="480"/>
        <w:rPr>
          <w:rFonts w:cs="Times New Roman"/>
          <w:color w:val="auto"/>
          <w:highlight w:val="none"/>
        </w:rPr>
      </w:pPr>
      <w:r>
        <w:rPr>
          <w:rFonts w:cs="Times New Roman"/>
          <w:color w:val="auto"/>
          <w:highlight w:val="none"/>
        </w:rPr>
        <w:t>4、便于安排施工，交通便利并有利于防洪工程的安全管理；</w:t>
      </w:r>
    </w:p>
    <w:p>
      <w:pPr>
        <w:ind w:firstLine="480"/>
        <w:rPr>
          <w:rFonts w:cs="Times New Roman"/>
          <w:color w:val="auto"/>
          <w:highlight w:val="none"/>
        </w:rPr>
      </w:pPr>
      <w:r>
        <w:rPr>
          <w:rFonts w:cs="Times New Roman"/>
          <w:color w:val="auto"/>
          <w:highlight w:val="none"/>
        </w:rPr>
        <w:t>5、工程规划以近期为主，着眼于未来，做到近、远期有机结合，并考虑综合利用，使项目建设后既减小水害又美化环境，做到人水和谐。</w:t>
      </w:r>
    </w:p>
    <w:p>
      <w:pPr>
        <w:ind w:firstLine="480"/>
        <w:rPr>
          <w:rFonts w:cs="Times New Roman"/>
          <w:color w:val="auto"/>
          <w:highlight w:val="none"/>
        </w:rPr>
      </w:pPr>
      <w:r>
        <w:rPr>
          <w:rFonts w:hint="eastAsia" w:cs="Times New Roman"/>
          <w:color w:val="auto"/>
          <w:highlight w:val="none"/>
        </w:rPr>
        <w:t>二、</w:t>
      </w:r>
      <w:r>
        <w:rPr>
          <w:rFonts w:cs="Times New Roman"/>
          <w:color w:val="auto"/>
          <w:highlight w:val="none"/>
        </w:rPr>
        <w:t>工程总体布置</w:t>
      </w:r>
    </w:p>
    <w:p>
      <w:pPr>
        <w:ind w:firstLine="480"/>
        <w:rPr>
          <w:rFonts w:cs="Times New Roman"/>
          <w:color w:val="auto"/>
          <w:highlight w:val="none"/>
        </w:rPr>
      </w:pPr>
      <w:r>
        <w:rPr>
          <w:rFonts w:cs="Times New Roman"/>
          <w:color w:val="auto"/>
          <w:highlight w:val="none"/>
        </w:rPr>
        <w:t>1、左庄沙河治理长度为6.5km，堤防填筑13.0km，修建橡胶坝2座，拆除重建桥梁3座，修建穿堤涵闸15座。</w:t>
      </w:r>
    </w:p>
    <w:p>
      <w:pPr>
        <w:ind w:firstLine="480"/>
        <w:rPr>
          <w:rFonts w:cs="Times New Roman"/>
          <w:color w:val="auto"/>
          <w:highlight w:val="none"/>
        </w:rPr>
      </w:pPr>
      <w:r>
        <w:rPr>
          <w:rFonts w:cs="Times New Roman"/>
          <w:color w:val="auto"/>
          <w:highlight w:val="none"/>
        </w:rPr>
        <w:t>2、大刘庄河治理长度为5.1km，堤防填筑10.2km，修建橡胶坝1座，拆除重建桥梁3座，修建穿堤涵闸15座。</w:t>
      </w:r>
    </w:p>
    <w:p>
      <w:pPr>
        <w:ind w:firstLine="480"/>
        <w:rPr>
          <w:rFonts w:cs="Times New Roman"/>
          <w:color w:val="auto"/>
          <w:highlight w:val="none"/>
        </w:rPr>
      </w:pPr>
      <w:r>
        <w:rPr>
          <w:rFonts w:cs="Times New Roman"/>
          <w:color w:val="auto"/>
          <w:highlight w:val="none"/>
        </w:rPr>
        <w:t>3、新沟河（东支）治理长度为9.4km，堤防填筑18.8km，修建橡胶坝3座，拆除重建桥梁7座，修建穿堤涵闸17座。</w:t>
      </w:r>
    </w:p>
    <w:p>
      <w:pPr>
        <w:ind w:firstLine="480"/>
        <w:rPr>
          <w:rFonts w:cs="Times New Roman"/>
          <w:color w:val="auto"/>
          <w:highlight w:val="none"/>
        </w:rPr>
      </w:pPr>
      <w:r>
        <w:rPr>
          <w:rFonts w:cs="Times New Roman"/>
          <w:color w:val="auto"/>
          <w:highlight w:val="none"/>
        </w:rPr>
        <w:t>4、新沟河（西支）治理长度为5.7km，堤防填筑11.4km，修建橡胶坝1座，拆除重建桥梁7座，修建穿堤涵闸22座。</w:t>
      </w:r>
    </w:p>
    <w:p>
      <w:pPr>
        <w:ind w:firstLine="480"/>
        <w:rPr>
          <w:rFonts w:cs="Times New Roman"/>
          <w:color w:val="auto"/>
          <w:highlight w:val="none"/>
        </w:rPr>
      </w:pPr>
      <w:r>
        <w:rPr>
          <w:rFonts w:cs="Times New Roman"/>
          <w:color w:val="auto"/>
          <w:highlight w:val="none"/>
        </w:rPr>
        <w:t>5、拉沟河治理长度为6.6km，堤防填筑13.2km，修建橡胶坝2座，拆除重建桥梁2座，修建穿堤涵闸12座。</w:t>
      </w:r>
    </w:p>
    <w:p>
      <w:pPr>
        <w:ind w:firstLine="480"/>
        <w:rPr>
          <w:rFonts w:cs="Times New Roman"/>
          <w:color w:val="auto"/>
          <w:highlight w:val="none"/>
        </w:rPr>
      </w:pPr>
      <w:r>
        <w:rPr>
          <w:rFonts w:cs="Times New Roman"/>
          <w:color w:val="auto"/>
          <w:highlight w:val="none"/>
        </w:rPr>
        <w:t>6、陶沟河治理长度为5.3km，堤防填筑10.6km，修建橡胶坝2座，拆除重建桥梁3座，修建穿堤涵闸12座。</w:t>
      </w:r>
    </w:p>
    <w:p>
      <w:pPr>
        <w:pStyle w:val="5"/>
        <w:rPr>
          <w:color w:val="auto"/>
          <w:highlight w:val="none"/>
        </w:rPr>
      </w:pPr>
      <w:r>
        <w:rPr>
          <w:rFonts w:hint="eastAsia"/>
          <w:color w:val="auto"/>
          <w:highlight w:val="none"/>
        </w:rPr>
        <w:t>5.8.1.</w:t>
      </w:r>
      <w:r>
        <w:rPr>
          <w:color w:val="auto"/>
          <w:highlight w:val="none"/>
        </w:rPr>
        <w:t>3</w:t>
      </w:r>
      <w:r>
        <w:rPr>
          <w:rFonts w:cs="Times New Roman"/>
          <w:color w:val="auto"/>
          <w:highlight w:val="none"/>
        </w:rPr>
        <w:t>主河槽清淤疏浚工程</w:t>
      </w:r>
    </w:p>
    <w:p>
      <w:pPr>
        <w:ind w:firstLine="480"/>
        <w:rPr>
          <w:rFonts w:cs="Times New Roman"/>
          <w:color w:val="auto"/>
          <w:highlight w:val="none"/>
        </w:rPr>
      </w:pPr>
      <w:r>
        <w:rPr>
          <w:rFonts w:cs="Times New Roman"/>
          <w:color w:val="auto"/>
          <w:highlight w:val="none"/>
        </w:rPr>
        <w:t>为达到疏顺河道，规整河槽的目的，按照河道治理的总体方案，河槽疏浚主要为河底疏浚。现状河底高程高于设计河底高程的清至设计河底高程，低于设计河底高程的不予回填。</w:t>
      </w:r>
    </w:p>
    <w:p>
      <w:pPr>
        <w:pStyle w:val="5"/>
        <w:rPr>
          <w:rFonts w:cs="Times New Roman"/>
          <w:color w:val="auto"/>
          <w:highlight w:val="none"/>
        </w:rPr>
      </w:pPr>
      <w:r>
        <w:rPr>
          <w:rFonts w:hint="eastAsia" w:cs="Times New Roman"/>
          <w:color w:val="auto"/>
          <w:highlight w:val="none"/>
        </w:rPr>
        <w:t>5.8.1.</w:t>
      </w:r>
      <w:r>
        <w:rPr>
          <w:rFonts w:cs="Times New Roman"/>
          <w:color w:val="auto"/>
          <w:highlight w:val="none"/>
        </w:rPr>
        <w:t>4堤防及防汛路工程</w:t>
      </w:r>
    </w:p>
    <w:p>
      <w:pPr>
        <w:pStyle w:val="139"/>
        <w:spacing w:line="360" w:lineRule="auto"/>
        <w:ind w:firstLine="480"/>
        <w:rPr>
          <w:color w:val="auto"/>
          <w:highlight w:val="none"/>
        </w:rPr>
      </w:pPr>
      <w:r>
        <w:rPr>
          <w:color w:val="auto"/>
          <w:highlight w:val="none"/>
        </w:rPr>
        <w:t>1、堤顶宽度</w:t>
      </w:r>
    </w:p>
    <w:p>
      <w:pPr>
        <w:pStyle w:val="139"/>
        <w:spacing w:line="360" w:lineRule="auto"/>
        <w:ind w:firstLine="480"/>
        <w:rPr>
          <w:color w:val="auto"/>
          <w:highlight w:val="none"/>
        </w:rPr>
      </w:pPr>
      <w:r>
        <w:rPr>
          <w:color w:val="auto"/>
          <w:highlight w:val="none"/>
        </w:rPr>
        <w:t>根据《堤防工程设计规范》（GB50286-2013），所治理河道堤防为4级堤防，堤顶宽度应不小于3.0m。根据堤防现状堤顶实际情况及防汛管理交通要求，确定本次河道综合治理段堤防设计堤顶宽度为5m。</w:t>
      </w:r>
    </w:p>
    <w:p>
      <w:pPr>
        <w:pStyle w:val="139"/>
        <w:spacing w:line="360" w:lineRule="auto"/>
        <w:ind w:firstLine="480"/>
        <w:rPr>
          <w:color w:val="auto"/>
          <w:highlight w:val="none"/>
        </w:rPr>
      </w:pPr>
      <w:r>
        <w:rPr>
          <w:color w:val="auto"/>
          <w:highlight w:val="none"/>
        </w:rPr>
        <w:t>2、堤顶设计</w:t>
      </w:r>
    </w:p>
    <w:p>
      <w:pPr>
        <w:pStyle w:val="139"/>
        <w:spacing w:line="360" w:lineRule="auto"/>
        <w:ind w:firstLine="480"/>
        <w:rPr>
          <w:color w:val="auto"/>
          <w:highlight w:val="none"/>
        </w:rPr>
      </w:pPr>
      <w:r>
        <w:rPr>
          <w:color w:val="auto"/>
          <w:highlight w:val="none"/>
        </w:rPr>
        <w:t>本次治理段在堤顶设置防汛道路，道路采用20cm厚泥结碎石路面，压实度不小于0.91。路面向河道单侧倾斜，坡度为2％。堤顶两侧分别设C30预制混凝土路沿石，尺寸为150mm×200mm×600mm（高×宽×长）。</w:t>
      </w:r>
    </w:p>
    <w:p>
      <w:pPr>
        <w:pStyle w:val="139"/>
        <w:spacing w:line="360" w:lineRule="auto"/>
        <w:ind w:firstLine="480"/>
        <w:rPr>
          <w:color w:val="auto"/>
          <w:highlight w:val="none"/>
        </w:rPr>
      </w:pPr>
      <w:r>
        <w:rPr>
          <w:color w:val="auto"/>
          <w:highlight w:val="none"/>
        </w:rPr>
        <w:t>3、堤身设计</w:t>
      </w:r>
    </w:p>
    <w:p>
      <w:pPr>
        <w:ind w:firstLine="480"/>
        <w:rPr>
          <w:color w:val="auto"/>
          <w:highlight w:val="none"/>
        </w:rPr>
      </w:pPr>
      <w:r>
        <w:rPr>
          <w:color w:val="auto"/>
          <w:highlight w:val="none"/>
        </w:rPr>
        <w:t>本次治理段河道堤防回填采用堤防开挖土料中的粉质粘土回填堤防，堤防背水坡和迎水坡坡比为1:2.5。</w:t>
      </w:r>
    </w:p>
    <w:p>
      <w:pPr>
        <w:pStyle w:val="5"/>
        <w:rPr>
          <w:rFonts w:cs="Times New Roman"/>
          <w:color w:val="auto"/>
          <w:highlight w:val="none"/>
        </w:rPr>
      </w:pPr>
      <w:r>
        <w:rPr>
          <w:rFonts w:hint="eastAsia" w:cs="Times New Roman"/>
          <w:color w:val="auto"/>
          <w:highlight w:val="none"/>
        </w:rPr>
        <w:t>5.8.1.</w:t>
      </w:r>
      <w:r>
        <w:rPr>
          <w:rFonts w:cs="Times New Roman"/>
          <w:color w:val="auto"/>
          <w:highlight w:val="none"/>
        </w:rPr>
        <w:t>5河槽护岸工程</w:t>
      </w:r>
    </w:p>
    <w:p>
      <w:pPr>
        <w:ind w:firstLine="480"/>
        <w:rPr>
          <w:rFonts w:cs="Times New Roman"/>
          <w:color w:val="auto"/>
          <w:kern w:val="0"/>
          <w:highlight w:val="none"/>
          <w:lang w:val="zh-CN"/>
        </w:rPr>
      </w:pPr>
      <w:r>
        <w:rPr>
          <w:rFonts w:cs="Times New Roman"/>
          <w:color w:val="auto"/>
          <w:kern w:val="0"/>
          <w:highlight w:val="none"/>
        </w:rPr>
        <w:t>本次工程护险工程对河道弯道凹岸受水流冲刷处进行护砌，</w:t>
      </w:r>
      <w:r>
        <w:rPr>
          <w:rFonts w:cs="Times New Roman"/>
          <w:color w:val="auto"/>
          <w:kern w:val="0"/>
          <w:highlight w:val="none"/>
          <w:lang w:val="zh-CN"/>
        </w:rPr>
        <w:t>采用</w:t>
      </w:r>
      <w:r>
        <w:rPr>
          <w:rFonts w:cs="Times New Roman"/>
          <w:color w:val="auto"/>
          <w:kern w:val="0"/>
          <w:highlight w:val="none"/>
        </w:rPr>
        <w:t>格宾石笼</w:t>
      </w:r>
      <w:r>
        <w:rPr>
          <w:rFonts w:cs="Times New Roman"/>
          <w:color w:val="auto"/>
          <w:kern w:val="0"/>
          <w:highlight w:val="none"/>
          <w:lang w:val="zh-CN"/>
        </w:rPr>
        <w:t>护坡，坡比为</w:t>
      </w:r>
      <w:r>
        <w:rPr>
          <w:rFonts w:cs="Times New Roman"/>
          <w:color w:val="auto"/>
          <w:kern w:val="0"/>
          <w:highlight w:val="none"/>
        </w:rPr>
        <w:t>1</w:t>
      </w:r>
      <w:r>
        <w:rPr>
          <w:rFonts w:cs="Times New Roman"/>
          <w:color w:val="auto"/>
          <w:kern w:val="0"/>
          <w:highlight w:val="none"/>
          <w:lang w:val="zh-CN"/>
        </w:rPr>
        <w:t>：</w:t>
      </w:r>
      <w:r>
        <w:rPr>
          <w:rFonts w:cs="Times New Roman"/>
          <w:color w:val="auto"/>
          <w:kern w:val="0"/>
          <w:highlight w:val="none"/>
        </w:rPr>
        <w:t>2.5</w:t>
      </w:r>
      <w:r>
        <w:rPr>
          <w:rFonts w:cs="Times New Roman"/>
          <w:color w:val="auto"/>
          <w:kern w:val="0"/>
          <w:highlight w:val="none"/>
          <w:lang w:val="zh-CN"/>
        </w:rPr>
        <w:t>，护坡厚度为</w:t>
      </w:r>
      <w:r>
        <w:rPr>
          <w:rFonts w:cs="Times New Roman"/>
          <w:color w:val="auto"/>
          <w:kern w:val="0"/>
          <w:highlight w:val="none"/>
        </w:rPr>
        <w:t>250mm</w:t>
      </w:r>
      <w:r>
        <w:rPr>
          <w:rFonts w:cs="Times New Roman"/>
          <w:color w:val="auto"/>
          <w:kern w:val="0"/>
          <w:highlight w:val="none"/>
          <w:lang w:val="zh-CN"/>
        </w:rPr>
        <w:t>，护坡下铺</w:t>
      </w:r>
      <w:r>
        <w:rPr>
          <w:rFonts w:cs="Times New Roman"/>
          <w:color w:val="auto"/>
          <w:kern w:val="0"/>
          <w:highlight w:val="none"/>
        </w:rPr>
        <w:t>200mm</w:t>
      </w:r>
      <w:r>
        <w:rPr>
          <w:rFonts w:cs="Times New Roman"/>
          <w:color w:val="auto"/>
          <w:kern w:val="0"/>
          <w:highlight w:val="none"/>
          <w:lang w:val="zh-CN"/>
        </w:rPr>
        <w:t>厚碎石垫层，碎石垫层下铺</w:t>
      </w:r>
      <w:r>
        <w:rPr>
          <w:rFonts w:cs="Times New Roman"/>
          <w:color w:val="auto"/>
          <w:kern w:val="0"/>
          <w:highlight w:val="none"/>
        </w:rPr>
        <w:t>250g/m</w:t>
      </w:r>
      <w:r>
        <w:rPr>
          <w:rFonts w:cs="Times New Roman"/>
          <w:color w:val="auto"/>
          <w:kern w:val="0"/>
          <w:highlight w:val="none"/>
          <w:vertAlign w:val="superscript"/>
        </w:rPr>
        <w:t>2</w:t>
      </w:r>
      <w:r>
        <w:rPr>
          <w:rFonts w:cs="Times New Roman"/>
          <w:color w:val="auto"/>
          <w:kern w:val="0"/>
          <w:highlight w:val="none"/>
          <w:lang w:val="zh-CN"/>
        </w:rPr>
        <w:t>土工布一层，基础采用格宾石笼基础。石笼基础深</w:t>
      </w:r>
      <w:r>
        <w:rPr>
          <w:rFonts w:cs="Times New Roman"/>
          <w:color w:val="auto"/>
          <w:kern w:val="0"/>
          <w:highlight w:val="none"/>
        </w:rPr>
        <w:t>1.5m</w:t>
      </w:r>
      <w:r>
        <w:rPr>
          <w:rFonts w:cs="Times New Roman"/>
          <w:color w:val="auto"/>
          <w:kern w:val="0"/>
          <w:highlight w:val="none"/>
          <w:lang w:val="zh-CN"/>
        </w:rPr>
        <w:t>，宽</w:t>
      </w:r>
      <w:r>
        <w:rPr>
          <w:rFonts w:cs="Times New Roman"/>
          <w:color w:val="auto"/>
          <w:kern w:val="0"/>
          <w:highlight w:val="none"/>
        </w:rPr>
        <w:t>1.0m</w:t>
      </w:r>
      <w:r>
        <w:rPr>
          <w:rFonts w:cs="Times New Roman"/>
          <w:color w:val="auto"/>
          <w:kern w:val="0"/>
          <w:highlight w:val="none"/>
          <w:lang w:val="zh-CN"/>
        </w:rPr>
        <w:t>。</w:t>
      </w:r>
    </w:p>
    <w:p>
      <w:pPr>
        <w:pStyle w:val="5"/>
        <w:rPr>
          <w:rFonts w:cs="Times New Roman"/>
          <w:color w:val="auto"/>
          <w:highlight w:val="none"/>
        </w:rPr>
      </w:pPr>
      <w:r>
        <w:rPr>
          <w:rFonts w:hint="eastAsia" w:cs="Times New Roman"/>
          <w:color w:val="auto"/>
          <w:highlight w:val="none"/>
        </w:rPr>
        <w:t>5.8.1.</w:t>
      </w:r>
      <w:r>
        <w:rPr>
          <w:rFonts w:cs="Times New Roman"/>
          <w:color w:val="auto"/>
          <w:highlight w:val="none"/>
        </w:rPr>
        <w:t>6拦蓄水构筑物</w:t>
      </w:r>
    </w:p>
    <w:p>
      <w:pPr>
        <w:ind w:firstLine="480"/>
        <w:rPr>
          <w:rFonts w:cs="Times New Roman"/>
          <w:color w:val="auto"/>
          <w:kern w:val="0"/>
          <w:highlight w:val="none"/>
          <w:lang w:val="zh-CN"/>
        </w:rPr>
      </w:pPr>
      <w:r>
        <w:rPr>
          <w:rFonts w:hint="eastAsia" w:cs="Times New Roman"/>
          <w:color w:val="auto"/>
          <w:highlight w:val="none"/>
        </w:rPr>
        <w:t>一、</w:t>
      </w:r>
      <w:r>
        <w:rPr>
          <w:rFonts w:cs="Times New Roman"/>
          <w:color w:val="auto"/>
          <w:highlight w:val="none"/>
        </w:rPr>
        <w:t>橡胶坝布置</w:t>
      </w:r>
    </w:p>
    <w:p>
      <w:pPr>
        <w:ind w:firstLine="480"/>
        <w:rPr>
          <w:rFonts w:cs="Times New Roman"/>
          <w:color w:val="auto"/>
          <w:highlight w:val="none"/>
        </w:rPr>
      </w:pPr>
      <w:r>
        <w:rPr>
          <w:rFonts w:cs="Times New Roman"/>
          <w:snapToGrid w:val="0"/>
          <w:color w:val="auto"/>
          <w:highlight w:val="none"/>
        </w:rPr>
        <w:t>拟治理河段内现状多为浆砌石堰、</w:t>
      </w:r>
      <w:r>
        <w:rPr>
          <w:rFonts w:cs="Times New Roman"/>
          <w:color w:val="auto"/>
          <w:highlight w:val="none"/>
        </w:rPr>
        <w:t>砌石闸，拦蓄水构筑物建设标准较低、阻水严重本次计划拆除新建橡胶坝</w:t>
      </w:r>
      <w:r>
        <w:rPr>
          <w:rFonts w:cs="Times New Roman"/>
          <w:snapToGrid w:val="0"/>
          <w:color w:val="auto"/>
          <w:highlight w:val="none"/>
        </w:rPr>
        <w:t>。</w:t>
      </w:r>
      <w:r>
        <w:rPr>
          <w:rFonts w:cs="Times New Roman"/>
          <w:color w:val="auto"/>
          <w:highlight w:val="none"/>
        </w:rPr>
        <w:t>本次治理河段共新建橡胶坝11座，其中左庄沙河2座、大刘庄河1座、新沟河（东支）3座、新沟河（西支）1座、拉沟河2座、陶沟河2座。本次设计以</w:t>
      </w:r>
      <w:r>
        <w:rPr>
          <w:rFonts w:hint="eastAsia" w:cs="Times New Roman"/>
          <w:color w:val="auto"/>
          <w:highlight w:val="none"/>
        </w:rPr>
        <w:t>左庄沙</w:t>
      </w:r>
      <w:r>
        <w:rPr>
          <w:rFonts w:cs="Times New Roman"/>
          <w:color w:val="auto"/>
          <w:highlight w:val="none"/>
        </w:rPr>
        <w:t>河</w:t>
      </w:r>
      <w:r>
        <w:rPr>
          <w:rFonts w:hint="eastAsia" w:cs="Times New Roman"/>
          <w:color w:val="auto"/>
          <w:highlight w:val="none"/>
        </w:rPr>
        <w:t>前香屯</w:t>
      </w:r>
      <w:r>
        <w:rPr>
          <w:rFonts w:cs="Times New Roman"/>
          <w:color w:val="auto"/>
          <w:highlight w:val="none"/>
        </w:rPr>
        <w:t>橡胶坝为典型进行工程布置及计算。</w:t>
      </w:r>
    </w:p>
    <w:p>
      <w:pPr>
        <w:ind w:firstLine="480"/>
        <w:rPr>
          <w:rFonts w:cs="Times New Roman"/>
          <w:b/>
          <w:color w:val="auto"/>
          <w:highlight w:val="none"/>
        </w:rPr>
      </w:pPr>
      <w:r>
        <w:rPr>
          <w:rFonts w:cs="Times New Roman"/>
          <w:color w:val="auto"/>
          <w:highlight w:val="none"/>
        </w:rPr>
        <w:t>在</w:t>
      </w:r>
      <w:r>
        <w:rPr>
          <w:rFonts w:hint="eastAsia" w:cs="Times New Roman"/>
          <w:color w:val="auto"/>
          <w:highlight w:val="none"/>
        </w:rPr>
        <w:t>左庄沙</w:t>
      </w:r>
      <w:r>
        <w:rPr>
          <w:rFonts w:cs="Times New Roman"/>
          <w:color w:val="auto"/>
          <w:highlight w:val="none"/>
        </w:rPr>
        <w:t>河</w:t>
      </w:r>
      <w:r>
        <w:rPr>
          <w:rFonts w:hint="eastAsia" w:cs="Times New Roman"/>
          <w:color w:val="auto"/>
          <w:highlight w:val="none"/>
        </w:rPr>
        <w:t>前香屯</w:t>
      </w:r>
      <w:r>
        <w:rPr>
          <w:rFonts w:cs="Times New Roman"/>
          <w:color w:val="auto"/>
          <w:highlight w:val="none"/>
        </w:rPr>
        <w:t>村南新建橡胶坝1座，采用双锚堵头式充水橡胶坝，单向挡水。建筑物包括橡胶坝段、上下游连接段、充排水系统等。橡胶坝段顺水流向长度10.0m，垂直水流向宽20.0m，共1孔，为C30钢筋混凝土结构。最大挡水高度3.0m，坝袋高度3.0m。坝袋胶囊通过压板锚固在钢筋砼底板上，厚0.8m，每节坝袋底板分3块，单块宽10.0m，顺水流方向长15.0m。两侧边墩均为悬臂式挡墙，为防止坝袋塌肩，边墩底板顶面采用长2.0m、坡度为1：10斜坡面，使靠近墩部处底板抬高20cm。橡胶坝底板前后齿墙深1.70m。橡胶坝段上游为C30钢筋混凝土铺盖，长10m。</w:t>
      </w:r>
    </w:p>
    <w:p>
      <w:pPr>
        <w:ind w:firstLine="480"/>
        <w:rPr>
          <w:rFonts w:cs="Times New Roman"/>
          <w:color w:val="auto"/>
          <w:highlight w:val="none"/>
        </w:rPr>
      </w:pPr>
      <w:r>
        <w:rPr>
          <w:rFonts w:hint="eastAsia" w:cs="Times New Roman"/>
          <w:color w:val="auto"/>
          <w:highlight w:val="none"/>
        </w:rPr>
        <w:t>1、</w:t>
      </w:r>
      <w:r>
        <w:rPr>
          <w:rFonts w:cs="Times New Roman"/>
          <w:color w:val="auto"/>
          <w:highlight w:val="none"/>
        </w:rPr>
        <w:t>消能防冲设计</w:t>
      </w:r>
    </w:p>
    <w:p>
      <w:pPr>
        <w:ind w:firstLine="480"/>
        <w:rPr>
          <w:rFonts w:cs="Times New Roman"/>
          <w:color w:val="auto"/>
          <w:highlight w:val="none"/>
        </w:rPr>
      </w:pPr>
      <w:r>
        <w:rPr>
          <w:rFonts w:cs="Times New Roman"/>
          <w:color w:val="auto"/>
          <w:highlight w:val="none"/>
        </w:rPr>
        <w:t>消力池为C30钢筋混凝土结构，池深0.6m，总宽20.0m，总长10.0m，池底板厚0.6m。下游护坦长8.0m。护坦后为抛石防冲槽，长4.5m。</w:t>
      </w:r>
    </w:p>
    <w:p>
      <w:pPr>
        <w:ind w:firstLine="439" w:firstLineChars="183"/>
        <w:rPr>
          <w:rFonts w:cs="Times New Roman"/>
          <w:color w:val="auto"/>
          <w:highlight w:val="none"/>
        </w:rPr>
      </w:pPr>
      <w:r>
        <w:rPr>
          <w:rFonts w:cs="Times New Roman"/>
          <w:color w:val="auto"/>
          <w:highlight w:val="none"/>
        </w:rPr>
        <w:t>2</w:t>
      </w:r>
      <w:r>
        <w:rPr>
          <w:rFonts w:hint="eastAsia" w:cs="Times New Roman"/>
          <w:color w:val="auto"/>
          <w:highlight w:val="none"/>
        </w:rPr>
        <w:t>、</w:t>
      </w:r>
      <w:r>
        <w:rPr>
          <w:rFonts w:cs="Times New Roman"/>
          <w:color w:val="auto"/>
          <w:highlight w:val="none"/>
        </w:rPr>
        <w:t>左、右岸翼墙</w:t>
      </w:r>
    </w:p>
    <w:p>
      <w:pPr>
        <w:ind w:firstLine="480"/>
        <w:rPr>
          <w:rFonts w:cs="Times New Roman"/>
          <w:color w:val="auto"/>
          <w:highlight w:val="none"/>
        </w:rPr>
      </w:pPr>
      <w:r>
        <w:rPr>
          <w:rFonts w:cs="Times New Roman"/>
          <w:color w:val="auto"/>
          <w:highlight w:val="none"/>
        </w:rPr>
        <w:t>左、右岸上下游均采用C30钢筋混凝土悬臂式挡土墙。橡胶坝连接段采用圆弧翼墙与河道连接。</w:t>
      </w:r>
    </w:p>
    <w:p>
      <w:pPr>
        <w:ind w:firstLine="480"/>
        <w:jc w:val="left"/>
        <w:rPr>
          <w:rFonts w:cs="Times New Roman"/>
          <w:color w:val="auto"/>
          <w:highlight w:val="none"/>
        </w:rPr>
      </w:pPr>
      <w:r>
        <w:rPr>
          <w:rFonts w:hint="eastAsia" w:cs="Times New Roman"/>
          <w:color w:val="auto"/>
          <w:highlight w:val="none"/>
        </w:rPr>
        <w:t>3、</w:t>
      </w:r>
      <w:r>
        <w:rPr>
          <w:rFonts w:cs="Times New Roman"/>
          <w:color w:val="auto"/>
          <w:highlight w:val="none"/>
        </w:rPr>
        <w:t>管理设施工程位于橡胶坝右岸，包括橡胶坝充排水泵站等，建筑面积共计159.70m</w:t>
      </w:r>
      <w:r>
        <w:rPr>
          <w:rFonts w:cs="Times New Roman"/>
          <w:color w:val="auto"/>
          <w:highlight w:val="none"/>
          <w:vertAlign w:val="superscript"/>
        </w:rPr>
        <w:t>2</w:t>
      </w:r>
      <w:r>
        <w:rPr>
          <w:rFonts w:cs="Times New Roman"/>
          <w:color w:val="auto"/>
          <w:highlight w:val="none"/>
        </w:rPr>
        <w:t>。</w:t>
      </w:r>
    </w:p>
    <w:p>
      <w:pPr>
        <w:ind w:firstLine="480"/>
        <w:jc w:val="center"/>
        <w:rPr>
          <w:rFonts w:cs="Times New Roman"/>
          <w:color w:val="auto"/>
          <w:highlight w:val="none"/>
        </w:rPr>
      </w:pPr>
      <w:r>
        <w:rPr>
          <w:rFonts w:cs="Times New Roman"/>
          <w:color w:val="auto"/>
          <w:highlight w:val="none"/>
        </w:rPr>
        <w:drawing>
          <wp:inline distT="0" distB="0" distL="0" distR="0">
            <wp:extent cx="3823335" cy="376174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875535" cy="3812938"/>
                    </a:xfrm>
                    <a:prstGeom prst="rect">
                      <a:avLst/>
                    </a:prstGeom>
                    <a:noFill/>
                    <a:ln>
                      <a:noFill/>
                    </a:ln>
                  </pic:spPr>
                </pic:pic>
              </a:graphicData>
            </a:graphic>
          </wp:inline>
        </w:drawing>
      </w:r>
    </w:p>
    <w:p>
      <w:pPr>
        <w:ind w:firstLine="480"/>
        <w:jc w:val="center"/>
        <w:rPr>
          <w:rFonts w:cs="Times New Roman"/>
          <w:color w:val="auto"/>
          <w:highlight w:val="none"/>
        </w:rPr>
      </w:pPr>
      <w:r>
        <w:rPr>
          <w:rFonts w:eastAsia="黑体" w:cs="Times New Roman"/>
          <w:color w:val="auto"/>
          <w:highlight w:val="none"/>
        </w:rPr>
        <w:t>图5.8-1</w:t>
      </w:r>
      <w:r>
        <w:rPr>
          <w:rFonts w:hint="eastAsia" w:eastAsia="黑体" w:cs="Times New Roman"/>
          <w:color w:val="auto"/>
          <w:highlight w:val="none"/>
        </w:rPr>
        <w:t>前香屯</w:t>
      </w:r>
      <w:r>
        <w:rPr>
          <w:rFonts w:eastAsia="黑体" w:cs="Times New Roman"/>
          <w:color w:val="auto"/>
          <w:highlight w:val="none"/>
        </w:rPr>
        <w:t>橡胶坝平面布置图</w:t>
      </w:r>
    </w:p>
    <w:p>
      <w:pPr>
        <w:ind w:firstLine="480"/>
        <w:rPr>
          <w:rFonts w:cs="Times New Roman"/>
          <w:color w:val="auto"/>
          <w:highlight w:val="none"/>
        </w:rPr>
      </w:pPr>
      <w:r>
        <w:rPr>
          <w:rFonts w:cs="Times New Roman"/>
          <w:color w:val="auto"/>
          <w:highlight w:val="none"/>
        </w:rPr>
        <w:t>4、坝袋设计</w:t>
      </w:r>
    </w:p>
    <w:p>
      <w:pPr>
        <w:ind w:firstLine="480"/>
        <w:rPr>
          <w:rFonts w:cs="Times New Roman"/>
          <w:color w:val="auto"/>
          <w:highlight w:val="none"/>
        </w:rPr>
      </w:pPr>
      <w:bookmarkStart w:id="76" w:name="_Toc131125444"/>
      <w:bookmarkStart w:id="77" w:name="_Toc153616946"/>
      <w:bookmarkStart w:id="78" w:name="_Toc132623056"/>
      <w:bookmarkStart w:id="79" w:name="_Toc153616615"/>
      <w:bookmarkStart w:id="80" w:name="_Toc152745952"/>
      <w:r>
        <w:rPr>
          <w:rFonts w:cs="Times New Roman"/>
          <w:color w:val="auto"/>
          <w:highlight w:val="none"/>
        </w:rPr>
        <w:t>（1）设计指标及参数</w:t>
      </w:r>
      <w:bookmarkEnd w:id="76"/>
      <w:bookmarkEnd w:id="77"/>
      <w:bookmarkEnd w:id="78"/>
      <w:bookmarkEnd w:id="79"/>
      <w:bookmarkEnd w:id="80"/>
    </w:p>
    <w:p>
      <w:pPr>
        <w:ind w:firstLine="480"/>
        <w:rPr>
          <w:rFonts w:cs="Times New Roman"/>
          <w:color w:val="auto"/>
          <w:highlight w:val="none"/>
        </w:rPr>
      </w:pPr>
      <w:r>
        <w:rPr>
          <w:rFonts w:hint="eastAsia" w:cs="Times New Roman"/>
          <w:color w:val="auto"/>
          <w:highlight w:val="none"/>
        </w:rPr>
        <w:t>前香屯</w:t>
      </w:r>
      <w:r>
        <w:rPr>
          <w:rFonts w:cs="Times New Roman"/>
          <w:color w:val="auto"/>
          <w:highlight w:val="none"/>
        </w:rPr>
        <w:t>橡胶坝采用堵头、双锚、充水式橡胶坝，坝袋内压比设计为1.40，坝袋强度安全系数大于6.0。</w:t>
      </w:r>
    </w:p>
    <w:p>
      <w:pPr>
        <w:ind w:firstLine="480"/>
        <w:rPr>
          <w:rFonts w:cs="Times New Roman"/>
          <w:color w:val="auto"/>
          <w:highlight w:val="none"/>
        </w:rPr>
      </w:pPr>
      <w:r>
        <w:rPr>
          <w:rFonts w:cs="Times New Roman"/>
          <w:color w:val="auto"/>
          <w:highlight w:val="none"/>
        </w:rPr>
        <w:t>（2）坝袋设计</w:t>
      </w:r>
    </w:p>
    <w:p>
      <w:pPr>
        <w:ind w:firstLine="480"/>
        <w:rPr>
          <w:rFonts w:cs="Times New Roman"/>
          <w:color w:val="auto"/>
          <w:highlight w:val="none"/>
        </w:rPr>
      </w:pPr>
      <w:r>
        <w:rPr>
          <w:rFonts w:cs="Times New Roman"/>
          <w:color w:val="auto"/>
          <w:highlight w:val="none"/>
        </w:rPr>
        <w:t>坝袋设计按《橡胶坝工程技术规范》（GB/T 50979-2014）要求进行。</w:t>
      </w:r>
    </w:p>
    <w:p>
      <w:pPr>
        <w:ind w:firstLine="480"/>
        <w:rPr>
          <w:rFonts w:cs="Times New Roman"/>
          <w:color w:val="auto"/>
          <w:highlight w:val="none"/>
        </w:rPr>
      </w:pPr>
      <w:r>
        <w:rPr>
          <w:rFonts w:cs="Times New Roman"/>
          <w:color w:val="auto"/>
          <w:highlight w:val="none"/>
        </w:rPr>
        <w:t>（1）坝袋径向计算强度</w:t>
      </w:r>
    </w:p>
    <w:p>
      <w:pPr>
        <w:ind w:firstLine="480"/>
        <w:jc w:val="center"/>
        <w:rPr>
          <w:rFonts w:cs="Times New Roman"/>
          <w:color w:val="auto"/>
          <w:highlight w:val="none"/>
        </w:rPr>
      </w:pPr>
      <w:r>
        <w:rPr>
          <w:rFonts w:cs="Times New Roman"/>
          <w:color w:val="auto"/>
          <w:highlight w:val="none"/>
        </w:rPr>
        <w:t>T=1/2γ(α-1/2)H</w:t>
      </w:r>
      <w:r>
        <w:rPr>
          <w:rFonts w:cs="Times New Roman"/>
          <w:color w:val="auto"/>
          <w:highlight w:val="none"/>
          <w:vertAlign w:val="subscript"/>
        </w:rPr>
        <w:t>1</w:t>
      </w:r>
      <w:r>
        <w:rPr>
          <w:rFonts w:cs="Times New Roman"/>
          <w:color w:val="auto"/>
          <w:highlight w:val="none"/>
          <w:vertAlign w:val="superscript"/>
        </w:rPr>
        <w:t>2</w:t>
      </w:r>
    </w:p>
    <w:p>
      <w:pPr>
        <w:ind w:firstLine="480"/>
        <w:rPr>
          <w:rFonts w:cs="Times New Roman"/>
          <w:color w:val="auto"/>
          <w:highlight w:val="none"/>
        </w:rPr>
      </w:pPr>
      <w:r>
        <w:rPr>
          <w:rFonts w:cs="Times New Roman"/>
          <w:color w:val="auto"/>
          <w:highlight w:val="none"/>
        </w:rPr>
        <w:t>式中：T-坝袋径向计算强度，KN/m；</w:t>
      </w:r>
    </w:p>
    <w:p>
      <w:pPr>
        <w:ind w:firstLine="1274" w:firstLineChars="531"/>
        <w:rPr>
          <w:rFonts w:cs="Times New Roman"/>
          <w:color w:val="auto"/>
          <w:highlight w:val="none"/>
        </w:rPr>
      </w:pPr>
      <w:r>
        <w:rPr>
          <w:rFonts w:cs="Times New Roman"/>
          <w:color w:val="auto"/>
          <w:highlight w:val="none"/>
        </w:rPr>
        <w:t>γ-水的容重，KN/m</w:t>
      </w:r>
      <w:r>
        <w:rPr>
          <w:rFonts w:cs="Times New Roman"/>
          <w:color w:val="auto"/>
          <w:highlight w:val="none"/>
          <w:vertAlign w:val="superscript"/>
        </w:rPr>
        <w:t>3</w:t>
      </w:r>
      <w:r>
        <w:rPr>
          <w:rFonts w:cs="Times New Roman"/>
          <w:color w:val="auto"/>
          <w:highlight w:val="none"/>
        </w:rPr>
        <w:t>；</w:t>
      </w:r>
    </w:p>
    <w:p>
      <w:pPr>
        <w:ind w:firstLine="1274" w:firstLineChars="531"/>
        <w:rPr>
          <w:rFonts w:cs="Times New Roman"/>
          <w:color w:val="auto"/>
          <w:highlight w:val="none"/>
        </w:rPr>
      </w:pPr>
      <w:r>
        <w:rPr>
          <w:rFonts w:cs="Times New Roman"/>
          <w:color w:val="auto"/>
          <w:highlight w:val="none"/>
        </w:rPr>
        <w:t>α-内压比，H</w:t>
      </w:r>
      <w:r>
        <w:rPr>
          <w:rFonts w:cs="Times New Roman"/>
          <w:color w:val="auto"/>
          <w:highlight w:val="none"/>
          <w:vertAlign w:val="subscript"/>
        </w:rPr>
        <w:t>0</w:t>
      </w:r>
      <w:r>
        <w:rPr>
          <w:rFonts w:cs="Times New Roman"/>
          <w:color w:val="auto"/>
          <w:highlight w:val="none"/>
        </w:rPr>
        <w:t>/H</w:t>
      </w:r>
      <w:r>
        <w:rPr>
          <w:rFonts w:cs="Times New Roman"/>
          <w:color w:val="auto"/>
          <w:highlight w:val="none"/>
          <w:vertAlign w:val="subscript"/>
        </w:rPr>
        <w:t>1</w:t>
      </w:r>
      <w:r>
        <w:rPr>
          <w:rFonts w:cs="Times New Roman"/>
          <w:color w:val="auto"/>
          <w:highlight w:val="none"/>
        </w:rPr>
        <w:t>；</w:t>
      </w:r>
    </w:p>
    <w:p>
      <w:pPr>
        <w:ind w:firstLine="1274" w:firstLineChars="531"/>
        <w:rPr>
          <w:rFonts w:cs="Times New Roman"/>
          <w:color w:val="auto"/>
          <w:highlight w:val="none"/>
        </w:rPr>
      </w:pPr>
      <w:r>
        <w:rPr>
          <w:rFonts w:cs="Times New Roman"/>
          <w:color w:val="auto"/>
          <w:highlight w:val="none"/>
        </w:rPr>
        <w:t>H</w:t>
      </w:r>
      <w:r>
        <w:rPr>
          <w:rFonts w:cs="Times New Roman"/>
          <w:color w:val="auto"/>
          <w:highlight w:val="none"/>
          <w:vertAlign w:val="subscript"/>
        </w:rPr>
        <w:t>0</w:t>
      </w:r>
      <w:r>
        <w:rPr>
          <w:rFonts w:cs="Times New Roman"/>
          <w:color w:val="auto"/>
          <w:highlight w:val="none"/>
        </w:rPr>
        <w:t>-内压水头，m；</w:t>
      </w:r>
    </w:p>
    <w:p>
      <w:pPr>
        <w:ind w:firstLine="1274" w:firstLineChars="531"/>
        <w:rPr>
          <w:rFonts w:cs="Times New Roman"/>
          <w:color w:val="auto"/>
          <w:highlight w:val="none"/>
        </w:rPr>
      </w:pPr>
      <w:r>
        <w:rPr>
          <w:rFonts w:cs="Times New Roman"/>
          <w:color w:val="auto"/>
          <w:highlight w:val="none"/>
        </w:rPr>
        <w:t>H</w:t>
      </w:r>
      <w:r>
        <w:rPr>
          <w:rFonts w:cs="Times New Roman"/>
          <w:color w:val="auto"/>
          <w:highlight w:val="none"/>
          <w:vertAlign w:val="subscript"/>
        </w:rPr>
        <w:t>1</w:t>
      </w:r>
      <w:r>
        <w:rPr>
          <w:rFonts w:cs="Times New Roman"/>
          <w:color w:val="auto"/>
          <w:highlight w:val="none"/>
        </w:rPr>
        <w:t>-设计坝高，m。</w:t>
      </w:r>
    </w:p>
    <w:p>
      <w:pPr>
        <w:ind w:firstLine="480"/>
        <w:rPr>
          <w:rFonts w:cs="Times New Roman"/>
          <w:color w:val="auto"/>
          <w:highlight w:val="none"/>
        </w:rPr>
      </w:pPr>
      <w:r>
        <w:rPr>
          <w:rFonts w:cs="Times New Roman"/>
          <w:color w:val="auto"/>
          <w:highlight w:val="none"/>
        </w:rPr>
        <w:t>（2）坝袋有效周长</w:t>
      </w:r>
    </w:p>
    <w:p>
      <w:pPr>
        <w:ind w:firstLine="480"/>
        <w:rPr>
          <w:rFonts w:cs="Times New Roman"/>
          <w:color w:val="auto"/>
          <w:highlight w:val="none"/>
        </w:rPr>
      </w:pPr>
      <w:r>
        <w:rPr>
          <w:rFonts w:cs="Times New Roman"/>
          <w:color w:val="auto"/>
          <w:highlight w:val="none"/>
        </w:rPr>
        <w:t>采用双锚线锚固坝袋的有效周长（不包括锚固长度）为：</w:t>
      </w:r>
    </w:p>
    <w:p>
      <w:pPr>
        <w:ind w:firstLine="480"/>
        <w:jc w:val="center"/>
        <w:rPr>
          <w:rFonts w:cs="Times New Roman"/>
          <w:color w:val="auto"/>
          <w:highlight w:val="none"/>
        </w:rPr>
      </w:pPr>
      <w:r>
        <w:rPr>
          <w:rFonts w:cs="Times New Roman"/>
          <w:color w:val="auto"/>
          <w:highlight w:val="none"/>
        </w:rPr>
        <w:t>L</w:t>
      </w:r>
      <w:r>
        <w:rPr>
          <w:rFonts w:cs="Times New Roman"/>
          <w:color w:val="auto"/>
          <w:highlight w:val="none"/>
          <w:vertAlign w:val="subscript"/>
        </w:rPr>
        <w:t>0</w:t>
      </w:r>
      <w:r>
        <w:rPr>
          <w:rFonts w:cs="Times New Roman"/>
          <w:color w:val="auto"/>
          <w:highlight w:val="none"/>
        </w:rPr>
        <w:t>=S</w:t>
      </w:r>
      <w:r>
        <w:rPr>
          <w:rFonts w:cs="Times New Roman"/>
          <w:color w:val="auto"/>
          <w:highlight w:val="none"/>
          <w:vertAlign w:val="subscript"/>
        </w:rPr>
        <w:t>1</w:t>
      </w:r>
      <w:r>
        <w:rPr>
          <w:rFonts w:cs="Times New Roman"/>
          <w:color w:val="auto"/>
          <w:highlight w:val="none"/>
        </w:rPr>
        <w:t>+S</w:t>
      </w:r>
    </w:p>
    <w:p>
      <w:pPr>
        <w:ind w:firstLine="480"/>
        <w:rPr>
          <w:rFonts w:cs="Times New Roman"/>
          <w:color w:val="auto"/>
          <w:highlight w:val="none"/>
        </w:rPr>
      </w:pPr>
      <w:r>
        <w:rPr>
          <w:rFonts w:cs="Times New Roman"/>
          <w:color w:val="auto"/>
          <w:highlight w:val="none"/>
        </w:rPr>
        <w:t>采用双锚线锚固的底垫片有效长度（不包括锚固长度）为：</w:t>
      </w:r>
    </w:p>
    <w:p>
      <w:pPr>
        <w:ind w:firstLine="480"/>
        <w:jc w:val="center"/>
        <w:rPr>
          <w:rFonts w:cs="Times New Roman"/>
          <w:color w:val="auto"/>
          <w:highlight w:val="none"/>
        </w:rPr>
      </w:pPr>
      <w:r>
        <w:rPr>
          <w:rFonts w:cs="Times New Roman"/>
          <w:color w:val="auto"/>
          <w:highlight w:val="none"/>
        </w:rPr>
        <w:t>L</w:t>
      </w:r>
      <w:r>
        <w:rPr>
          <w:rFonts w:cs="Times New Roman"/>
          <w:color w:val="auto"/>
          <w:highlight w:val="none"/>
          <w:vertAlign w:val="subscript"/>
        </w:rPr>
        <w:t>0</w:t>
      </w:r>
      <w:r>
        <w:rPr>
          <w:rFonts w:cs="Times New Roman"/>
          <w:color w:val="auto"/>
          <w:highlight w:val="none"/>
        </w:rPr>
        <w:t>=n+X</w:t>
      </w:r>
      <w:r>
        <w:rPr>
          <w:rFonts w:cs="Times New Roman"/>
          <w:color w:val="auto"/>
          <w:highlight w:val="none"/>
          <w:vertAlign w:val="subscript"/>
        </w:rPr>
        <w:t>0</w:t>
      </w:r>
    </w:p>
    <w:p>
      <w:pPr>
        <w:ind w:firstLine="480"/>
        <w:rPr>
          <w:rFonts w:cs="Times New Roman"/>
          <w:color w:val="auto"/>
          <w:highlight w:val="none"/>
        </w:rPr>
      </w:pPr>
      <w:r>
        <w:rPr>
          <w:rFonts w:cs="Times New Roman"/>
          <w:color w:val="auto"/>
          <w:highlight w:val="none"/>
        </w:rPr>
        <w:t>式中：</w:t>
      </w:r>
      <w:r>
        <w:rPr>
          <w:rFonts w:cs="Times New Roman"/>
          <w:i/>
          <w:iCs/>
          <w:color w:val="auto"/>
          <w:highlight w:val="none"/>
        </w:rPr>
        <w:t>S</w:t>
      </w:r>
      <w:r>
        <w:rPr>
          <w:rFonts w:cs="Times New Roman"/>
          <w:i/>
          <w:iCs/>
          <w:color w:val="auto"/>
          <w:highlight w:val="none"/>
          <w:vertAlign w:val="subscript"/>
        </w:rPr>
        <w:t>1</w:t>
      </w:r>
      <w:r>
        <w:rPr>
          <w:rFonts w:cs="Times New Roman"/>
          <w:color w:val="auto"/>
          <w:highlight w:val="none"/>
        </w:rPr>
        <w:t>-上游坝面曲线段长度，m；</w:t>
      </w:r>
    </w:p>
    <w:p>
      <w:pPr>
        <w:ind w:firstLine="1274" w:firstLineChars="531"/>
        <w:rPr>
          <w:rFonts w:cs="Times New Roman"/>
          <w:color w:val="auto"/>
          <w:highlight w:val="none"/>
        </w:rPr>
      </w:pPr>
      <w:r>
        <w:rPr>
          <w:rFonts w:cs="Times New Roman"/>
          <w:i/>
          <w:iCs/>
          <w:color w:val="auto"/>
          <w:highlight w:val="none"/>
        </w:rPr>
        <w:t>S</w:t>
      </w:r>
      <w:r>
        <w:rPr>
          <w:rFonts w:cs="Times New Roman"/>
          <w:color w:val="auto"/>
          <w:highlight w:val="none"/>
        </w:rPr>
        <w:t>-下游坝面曲线段长度，m；</w:t>
      </w:r>
    </w:p>
    <w:p>
      <w:pPr>
        <w:ind w:firstLine="1274" w:firstLineChars="531"/>
        <w:rPr>
          <w:rFonts w:cs="Times New Roman"/>
          <w:color w:val="auto"/>
          <w:highlight w:val="none"/>
        </w:rPr>
      </w:pPr>
      <w:r>
        <w:rPr>
          <w:rFonts w:cs="Times New Roman"/>
          <w:color w:val="auto"/>
          <w:highlight w:val="none"/>
        </w:rPr>
        <w:t>n-上游贴地段长度，m；</w:t>
      </w:r>
    </w:p>
    <w:p>
      <w:pPr>
        <w:ind w:firstLine="1274" w:firstLineChars="531"/>
        <w:rPr>
          <w:rFonts w:cs="Times New Roman"/>
          <w:color w:val="auto"/>
          <w:highlight w:val="none"/>
        </w:rPr>
      </w:pPr>
      <w:r>
        <w:rPr>
          <w:rFonts w:cs="Times New Roman"/>
          <w:i/>
          <w:iCs/>
          <w:color w:val="auto"/>
          <w:highlight w:val="none"/>
        </w:rPr>
        <w:t>X</w:t>
      </w:r>
      <w:r>
        <w:rPr>
          <w:rFonts w:cs="Times New Roman"/>
          <w:i/>
          <w:iCs/>
          <w:color w:val="auto"/>
          <w:highlight w:val="none"/>
          <w:vertAlign w:val="subscript"/>
        </w:rPr>
        <w:t>0</w:t>
      </w:r>
      <w:r>
        <w:rPr>
          <w:rFonts w:cs="Times New Roman"/>
          <w:color w:val="auto"/>
          <w:highlight w:val="none"/>
        </w:rPr>
        <w:t>-下游贴地段长度，m；</w:t>
      </w:r>
    </w:p>
    <w:p>
      <w:pPr>
        <w:ind w:firstLine="480"/>
        <w:rPr>
          <w:rFonts w:cs="Times New Roman"/>
          <w:color w:val="auto"/>
          <w:highlight w:val="none"/>
        </w:rPr>
      </w:pPr>
      <w:r>
        <w:rPr>
          <w:rFonts w:cs="Times New Roman"/>
          <w:color w:val="auto"/>
          <w:highlight w:val="none"/>
        </w:rPr>
        <w:t>（3）坝袋单宽容积</w:t>
      </w:r>
    </w:p>
    <w:p>
      <w:pPr>
        <w:ind w:firstLine="480"/>
        <w:jc w:val="center"/>
        <w:rPr>
          <w:rFonts w:cs="Times New Roman"/>
          <w:color w:val="auto"/>
          <w:highlight w:val="none"/>
        </w:rPr>
      </w:pPr>
      <w:r>
        <w:rPr>
          <w:rFonts w:cs="Times New Roman"/>
          <w:color w:val="auto"/>
          <w:highlight w:val="none"/>
        </w:rPr>
        <w:t xml:space="preserve">V =1/2 R </w:t>
      </w:r>
      <w:r>
        <w:rPr>
          <w:rFonts w:cs="Times New Roman"/>
          <w:color w:val="auto"/>
          <w:highlight w:val="none"/>
          <w:vertAlign w:val="superscript"/>
        </w:rPr>
        <w:t>2</w:t>
      </w:r>
      <w:r>
        <w:rPr>
          <w:rFonts w:cs="Times New Roman"/>
          <w:color w:val="auto"/>
          <w:highlight w:val="none"/>
        </w:rPr>
        <w:t>θ- 1/2n(R-H</w:t>
      </w:r>
      <w:r>
        <w:rPr>
          <w:rFonts w:cs="Times New Roman"/>
          <w:color w:val="auto"/>
          <w:highlight w:val="none"/>
          <w:vertAlign w:val="subscript"/>
        </w:rPr>
        <w:t>1</w:t>
      </w:r>
      <w:r>
        <w:rPr>
          <w:rFonts w:cs="Times New Roman"/>
          <w:color w:val="auto"/>
          <w:highlight w:val="none"/>
        </w:rPr>
        <w:t>)+αH</w:t>
      </w:r>
      <w:r>
        <w:rPr>
          <w:rFonts w:cs="Times New Roman"/>
          <w:color w:val="auto"/>
          <w:highlight w:val="none"/>
          <w:vertAlign w:val="subscript"/>
        </w:rPr>
        <w:t>1</w:t>
      </w:r>
      <w:r>
        <w:rPr>
          <w:rFonts w:cs="Times New Roman"/>
          <w:color w:val="auto"/>
          <w:highlight w:val="none"/>
        </w:rPr>
        <w:t>X</w:t>
      </w:r>
      <w:r>
        <w:rPr>
          <w:rFonts w:cs="Times New Roman"/>
          <w:color w:val="auto"/>
          <w:highlight w:val="none"/>
          <w:vertAlign w:val="subscript"/>
        </w:rPr>
        <w:t>0</w:t>
      </w:r>
    </w:p>
    <w:p>
      <w:pPr>
        <w:ind w:firstLine="480"/>
        <w:rPr>
          <w:rFonts w:cs="Times New Roman"/>
          <w:color w:val="auto"/>
          <w:highlight w:val="none"/>
        </w:rPr>
      </w:pPr>
      <w:bookmarkStart w:id="81" w:name="_Toc153616617"/>
      <w:bookmarkStart w:id="82" w:name="_Toc153616948"/>
      <w:bookmarkStart w:id="83" w:name="_Toc131125446"/>
      <w:bookmarkStart w:id="84" w:name="_Toc152745954"/>
      <w:bookmarkStart w:id="85" w:name="_Toc132623058"/>
      <w:r>
        <w:rPr>
          <w:rFonts w:cs="Times New Roman"/>
          <w:color w:val="auto"/>
          <w:highlight w:val="none"/>
        </w:rPr>
        <w:t>（4）坝袋计算结果</w:t>
      </w:r>
      <w:bookmarkEnd w:id="81"/>
      <w:bookmarkEnd w:id="82"/>
      <w:bookmarkEnd w:id="83"/>
      <w:bookmarkEnd w:id="84"/>
      <w:bookmarkEnd w:id="85"/>
    </w:p>
    <w:p>
      <w:pPr>
        <w:ind w:firstLine="480"/>
        <w:jc w:val="left"/>
        <w:rPr>
          <w:rFonts w:cs="Times New Roman"/>
          <w:color w:val="auto"/>
          <w:highlight w:val="none"/>
        </w:rPr>
      </w:pPr>
      <w:r>
        <w:rPr>
          <w:rFonts w:cs="Times New Roman"/>
          <w:color w:val="auto"/>
          <w:highlight w:val="none"/>
        </w:rPr>
        <w:t>坝袋设计按《橡胶坝工程技术规范》（GB/T 50979-2014）要求进行，计算公式采用规范所列充水式橡胶坝设计计算公式，计算结果见下表：</w:t>
      </w:r>
    </w:p>
    <w:p>
      <w:pPr>
        <w:ind w:firstLine="480"/>
        <w:jc w:val="center"/>
        <w:rPr>
          <w:rFonts w:eastAsia="黑体" w:cs="Times New Roman"/>
          <w:color w:val="auto"/>
          <w:szCs w:val="24"/>
          <w:highlight w:val="none"/>
        </w:rPr>
      </w:pPr>
      <w:r>
        <w:rPr>
          <w:rFonts w:eastAsia="黑体" w:cs="Times New Roman"/>
          <w:color w:val="auto"/>
          <w:szCs w:val="24"/>
          <w:highlight w:val="none"/>
        </w:rPr>
        <w:t>表5.2-1橡胶坝坝袋指标表</w:t>
      </w:r>
    </w:p>
    <w:tbl>
      <w:tblPr>
        <w:tblStyle w:val="33"/>
        <w:tblW w:w="5439" w:type="pct"/>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Layout w:type="fixed"/>
        <w:tblCellMar>
          <w:top w:w="0" w:type="dxa"/>
          <w:left w:w="108" w:type="dxa"/>
          <w:bottom w:w="0" w:type="dxa"/>
          <w:right w:w="108" w:type="dxa"/>
        </w:tblCellMar>
      </w:tblPr>
      <w:tblGrid>
        <w:gridCol w:w="685"/>
        <w:gridCol w:w="816"/>
        <w:gridCol w:w="924"/>
        <w:gridCol w:w="847"/>
        <w:gridCol w:w="818"/>
        <w:gridCol w:w="682"/>
        <w:gridCol w:w="818"/>
        <w:gridCol w:w="779"/>
        <w:gridCol w:w="684"/>
        <w:gridCol w:w="801"/>
        <w:gridCol w:w="797"/>
        <w:gridCol w:w="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PrEx>
        <w:trPr>
          <w:trHeight w:val="340" w:hRule="atLeast"/>
        </w:trPr>
        <w:tc>
          <w:tcPr>
            <w:tcW w:w="369" w:type="pct"/>
            <w:shd w:val="clear" w:color="000000" w:fill="auto"/>
            <w:noWrap/>
            <w:vAlign w:val="center"/>
          </w:tcPr>
          <w:p>
            <w:pPr>
              <w:ind w:firstLine="0" w:firstLineChars="0"/>
              <w:rPr>
                <w:rFonts w:cs="Times New Roman"/>
                <w:color w:val="auto"/>
                <w:sz w:val="18"/>
                <w:szCs w:val="21"/>
                <w:highlight w:val="none"/>
              </w:rPr>
            </w:pPr>
            <w:r>
              <w:rPr>
                <w:rFonts w:cs="Times New Roman"/>
                <w:color w:val="auto"/>
                <w:sz w:val="18"/>
                <w:szCs w:val="21"/>
                <w:highlight w:val="none"/>
              </w:rPr>
              <w:t>设计内压比</w:t>
            </w:r>
          </w:p>
        </w:tc>
        <w:tc>
          <w:tcPr>
            <w:tcW w:w="440" w:type="pct"/>
            <w:shd w:val="clear" w:color="000000" w:fill="auto"/>
            <w:noWrap/>
            <w:vAlign w:val="center"/>
          </w:tcPr>
          <w:p>
            <w:pPr>
              <w:ind w:firstLine="0" w:firstLineChars="0"/>
              <w:rPr>
                <w:rFonts w:cs="Times New Roman"/>
                <w:color w:val="auto"/>
                <w:sz w:val="18"/>
                <w:szCs w:val="21"/>
                <w:highlight w:val="none"/>
              </w:rPr>
            </w:pPr>
            <w:r>
              <w:rPr>
                <w:rFonts w:cs="Times New Roman"/>
                <w:color w:val="auto"/>
                <w:sz w:val="18"/>
                <w:szCs w:val="21"/>
                <w:highlight w:val="none"/>
              </w:rPr>
              <w:t>设计坝高</w:t>
            </w:r>
          </w:p>
        </w:tc>
        <w:tc>
          <w:tcPr>
            <w:tcW w:w="498" w:type="pct"/>
            <w:shd w:val="clear" w:color="000000" w:fill="auto"/>
            <w:vAlign w:val="center"/>
          </w:tcPr>
          <w:p>
            <w:pPr>
              <w:ind w:firstLine="0" w:firstLineChars="0"/>
              <w:rPr>
                <w:rFonts w:cs="Times New Roman"/>
                <w:color w:val="auto"/>
                <w:sz w:val="18"/>
                <w:szCs w:val="21"/>
                <w:highlight w:val="none"/>
              </w:rPr>
            </w:pPr>
            <w:r>
              <w:rPr>
                <w:rFonts w:cs="Times New Roman"/>
                <w:color w:val="auto"/>
                <w:sz w:val="18"/>
                <w:szCs w:val="21"/>
                <w:highlight w:val="none"/>
              </w:rPr>
              <w:t>坝袋径向计算强度</w:t>
            </w:r>
          </w:p>
        </w:tc>
        <w:tc>
          <w:tcPr>
            <w:tcW w:w="457" w:type="pct"/>
            <w:shd w:val="clear" w:color="000000" w:fill="auto"/>
            <w:vAlign w:val="center"/>
          </w:tcPr>
          <w:p>
            <w:pPr>
              <w:ind w:firstLine="0" w:firstLineChars="0"/>
              <w:rPr>
                <w:rFonts w:cs="Times New Roman"/>
                <w:color w:val="auto"/>
                <w:sz w:val="18"/>
                <w:szCs w:val="21"/>
                <w:highlight w:val="none"/>
              </w:rPr>
            </w:pPr>
            <w:r>
              <w:rPr>
                <w:rFonts w:cs="Times New Roman"/>
                <w:color w:val="auto"/>
                <w:sz w:val="18"/>
                <w:szCs w:val="21"/>
                <w:highlight w:val="none"/>
              </w:rPr>
              <w:t>上游坝面曲线段长度</w:t>
            </w:r>
          </w:p>
        </w:tc>
        <w:tc>
          <w:tcPr>
            <w:tcW w:w="441" w:type="pct"/>
            <w:shd w:val="clear" w:color="000000" w:fill="auto"/>
            <w:vAlign w:val="center"/>
          </w:tcPr>
          <w:p>
            <w:pPr>
              <w:ind w:firstLine="0" w:firstLineChars="0"/>
              <w:rPr>
                <w:rFonts w:cs="Times New Roman"/>
                <w:color w:val="auto"/>
                <w:sz w:val="18"/>
                <w:szCs w:val="21"/>
                <w:highlight w:val="none"/>
              </w:rPr>
            </w:pPr>
            <w:r>
              <w:rPr>
                <w:rFonts w:cs="Times New Roman"/>
                <w:color w:val="auto"/>
                <w:sz w:val="18"/>
                <w:szCs w:val="21"/>
                <w:highlight w:val="none"/>
              </w:rPr>
              <w:t>下游坝面曲线长度</w:t>
            </w:r>
          </w:p>
        </w:tc>
        <w:tc>
          <w:tcPr>
            <w:tcW w:w="368" w:type="pct"/>
            <w:shd w:val="clear" w:color="000000" w:fill="auto"/>
            <w:vAlign w:val="center"/>
          </w:tcPr>
          <w:p>
            <w:pPr>
              <w:ind w:firstLine="0" w:firstLineChars="0"/>
              <w:rPr>
                <w:rFonts w:cs="Times New Roman"/>
                <w:color w:val="auto"/>
                <w:sz w:val="18"/>
                <w:szCs w:val="21"/>
                <w:highlight w:val="none"/>
              </w:rPr>
            </w:pPr>
            <w:r>
              <w:rPr>
                <w:rFonts w:cs="Times New Roman"/>
                <w:color w:val="auto"/>
                <w:sz w:val="18"/>
                <w:szCs w:val="21"/>
                <w:highlight w:val="none"/>
              </w:rPr>
              <w:t>下游贴地段</w:t>
            </w:r>
          </w:p>
        </w:tc>
        <w:tc>
          <w:tcPr>
            <w:tcW w:w="441" w:type="pct"/>
            <w:shd w:val="clear" w:color="000000" w:fill="auto"/>
            <w:vAlign w:val="center"/>
          </w:tcPr>
          <w:p>
            <w:pPr>
              <w:ind w:firstLine="0" w:firstLineChars="0"/>
              <w:rPr>
                <w:rFonts w:cs="Times New Roman"/>
                <w:color w:val="auto"/>
                <w:sz w:val="18"/>
                <w:szCs w:val="21"/>
                <w:highlight w:val="none"/>
              </w:rPr>
            </w:pPr>
            <w:r>
              <w:rPr>
                <w:rFonts w:cs="Times New Roman"/>
                <w:color w:val="auto"/>
                <w:sz w:val="18"/>
                <w:szCs w:val="21"/>
                <w:highlight w:val="none"/>
              </w:rPr>
              <w:t>上游贴地段长度</w:t>
            </w:r>
          </w:p>
        </w:tc>
        <w:tc>
          <w:tcPr>
            <w:tcW w:w="420" w:type="pct"/>
            <w:shd w:val="clear" w:color="000000" w:fill="auto"/>
            <w:vAlign w:val="center"/>
          </w:tcPr>
          <w:p>
            <w:pPr>
              <w:ind w:firstLine="0" w:firstLineChars="0"/>
              <w:rPr>
                <w:rFonts w:cs="Times New Roman"/>
                <w:color w:val="auto"/>
                <w:sz w:val="18"/>
                <w:szCs w:val="21"/>
                <w:highlight w:val="none"/>
              </w:rPr>
            </w:pPr>
            <w:r>
              <w:rPr>
                <w:rFonts w:cs="Times New Roman"/>
                <w:color w:val="auto"/>
                <w:sz w:val="18"/>
                <w:szCs w:val="21"/>
                <w:highlight w:val="none"/>
              </w:rPr>
              <w:t>上游坝面曲线半径</w:t>
            </w:r>
          </w:p>
        </w:tc>
        <w:tc>
          <w:tcPr>
            <w:tcW w:w="369" w:type="pct"/>
            <w:shd w:val="clear" w:color="000000" w:fill="auto"/>
            <w:vAlign w:val="center"/>
          </w:tcPr>
          <w:p>
            <w:pPr>
              <w:ind w:firstLine="0" w:firstLineChars="0"/>
              <w:rPr>
                <w:rFonts w:cs="Times New Roman"/>
                <w:color w:val="auto"/>
                <w:sz w:val="18"/>
                <w:szCs w:val="21"/>
                <w:highlight w:val="none"/>
              </w:rPr>
            </w:pPr>
            <w:r>
              <w:rPr>
                <w:rFonts w:cs="Times New Roman"/>
                <w:color w:val="auto"/>
                <w:sz w:val="18"/>
                <w:szCs w:val="21"/>
                <w:highlight w:val="none"/>
              </w:rPr>
              <w:t>坝袋单宽容积</w:t>
            </w:r>
          </w:p>
        </w:tc>
        <w:tc>
          <w:tcPr>
            <w:tcW w:w="432" w:type="pct"/>
            <w:shd w:val="clear" w:color="000000" w:fill="auto"/>
            <w:vAlign w:val="center"/>
          </w:tcPr>
          <w:p>
            <w:pPr>
              <w:ind w:firstLine="0" w:firstLineChars="0"/>
              <w:rPr>
                <w:rFonts w:cs="Times New Roman"/>
                <w:color w:val="auto"/>
                <w:sz w:val="18"/>
                <w:szCs w:val="21"/>
                <w:highlight w:val="none"/>
              </w:rPr>
            </w:pPr>
            <w:r>
              <w:rPr>
                <w:rFonts w:cs="Times New Roman"/>
                <w:color w:val="auto"/>
                <w:sz w:val="18"/>
                <w:szCs w:val="21"/>
                <w:highlight w:val="none"/>
              </w:rPr>
              <w:t>坝袋坍平后长度</w:t>
            </w:r>
          </w:p>
        </w:tc>
        <w:tc>
          <w:tcPr>
            <w:tcW w:w="430" w:type="pct"/>
            <w:shd w:val="clear" w:color="000000" w:fill="auto"/>
            <w:vAlign w:val="center"/>
          </w:tcPr>
          <w:p>
            <w:pPr>
              <w:ind w:firstLine="0" w:firstLineChars="0"/>
              <w:rPr>
                <w:rFonts w:cs="Times New Roman"/>
                <w:color w:val="auto"/>
                <w:sz w:val="18"/>
                <w:szCs w:val="21"/>
                <w:highlight w:val="none"/>
              </w:rPr>
            </w:pPr>
            <w:r>
              <w:rPr>
                <w:rFonts w:cs="Times New Roman"/>
                <w:color w:val="auto"/>
                <w:sz w:val="18"/>
                <w:szCs w:val="21"/>
                <w:highlight w:val="none"/>
              </w:rPr>
              <w:t>上下游检修总长度</w:t>
            </w:r>
          </w:p>
        </w:tc>
        <w:tc>
          <w:tcPr>
            <w:tcW w:w="334" w:type="pct"/>
            <w:shd w:val="clear" w:color="000000" w:fill="auto"/>
            <w:vAlign w:val="center"/>
          </w:tcPr>
          <w:p>
            <w:pPr>
              <w:ind w:firstLine="0" w:firstLineChars="0"/>
              <w:rPr>
                <w:rFonts w:cs="Times New Roman"/>
                <w:color w:val="auto"/>
                <w:sz w:val="18"/>
                <w:szCs w:val="21"/>
                <w:highlight w:val="none"/>
              </w:rPr>
            </w:pPr>
            <w:r>
              <w:rPr>
                <w:rFonts w:cs="Times New Roman"/>
                <w:color w:val="auto"/>
                <w:sz w:val="18"/>
                <w:szCs w:val="21"/>
                <w:highlight w:val="none"/>
              </w:rPr>
              <w:t>底板总长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285" w:hRule="atLeast"/>
        </w:trPr>
        <w:tc>
          <w:tcPr>
            <w:tcW w:w="369" w:type="pct"/>
            <w:shd w:val="clear" w:color="000000" w:fill="auto"/>
            <w:noWrap/>
            <w:vAlign w:val="center"/>
          </w:tcPr>
          <w:p>
            <w:pPr>
              <w:ind w:firstLine="0" w:firstLineChars="0"/>
              <w:jc w:val="center"/>
              <w:rPr>
                <w:rFonts w:cs="Times New Roman"/>
                <w:color w:val="auto"/>
                <w:sz w:val="18"/>
                <w:szCs w:val="21"/>
                <w:highlight w:val="none"/>
              </w:rPr>
            </w:pPr>
            <w:r>
              <w:rPr>
                <w:rFonts w:cs="Times New Roman"/>
                <w:color w:val="auto"/>
                <w:sz w:val="18"/>
                <w:szCs w:val="21"/>
                <w:highlight w:val="none"/>
              </w:rPr>
              <w:t>α</w:t>
            </w:r>
          </w:p>
        </w:tc>
        <w:tc>
          <w:tcPr>
            <w:tcW w:w="440" w:type="pct"/>
            <w:shd w:val="clear" w:color="000000" w:fill="auto"/>
            <w:noWrap/>
            <w:vAlign w:val="center"/>
          </w:tcPr>
          <w:p>
            <w:pPr>
              <w:ind w:firstLine="0" w:firstLineChars="0"/>
              <w:jc w:val="center"/>
              <w:rPr>
                <w:rFonts w:cs="Times New Roman"/>
                <w:color w:val="auto"/>
                <w:sz w:val="18"/>
                <w:szCs w:val="21"/>
                <w:highlight w:val="none"/>
              </w:rPr>
            </w:pPr>
            <w:r>
              <w:rPr>
                <w:rFonts w:cs="Times New Roman"/>
                <w:color w:val="auto"/>
                <w:sz w:val="18"/>
                <w:szCs w:val="21"/>
                <w:highlight w:val="none"/>
              </w:rPr>
              <w:t>h1</w:t>
            </w:r>
          </w:p>
        </w:tc>
        <w:tc>
          <w:tcPr>
            <w:tcW w:w="498" w:type="pct"/>
            <w:shd w:val="clear" w:color="000000" w:fill="auto"/>
            <w:vAlign w:val="center"/>
          </w:tcPr>
          <w:p>
            <w:pPr>
              <w:ind w:firstLine="0" w:firstLineChars="0"/>
              <w:jc w:val="center"/>
              <w:rPr>
                <w:rFonts w:cs="Times New Roman"/>
                <w:color w:val="auto"/>
                <w:sz w:val="18"/>
                <w:szCs w:val="21"/>
                <w:highlight w:val="none"/>
              </w:rPr>
            </w:pPr>
            <w:r>
              <w:rPr>
                <w:rFonts w:cs="Times New Roman"/>
                <w:color w:val="auto"/>
                <w:sz w:val="18"/>
                <w:szCs w:val="21"/>
                <w:highlight w:val="none"/>
              </w:rPr>
              <w:t>T</w:t>
            </w:r>
          </w:p>
        </w:tc>
        <w:tc>
          <w:tcPr>
            <w:tcW w:w="457" w:type="pct"/>
            <w:shd w:val="clear" w:color="000000" w:fill="auto"/>
            <w:noWrap/>
            <w:vAlign w:val="center"/>
          </w:tcPr>
          <w:p>
            <w:pPr>
              <w:ind w:firstLine="0" w:firstLineChars="0"/>
              <w:jc w:val="center"/>
              <w:rPr>
                <w:rFonts w:cs="Times New Roman"/>
                <w:color w:val="auto"/>
                <w:sz w:val="18"/>
                <w:szCs w:val="21"/>
                <w:highlight w:val="none"/>
              </w:rPr>
            </w:pPr>
            <w:r>
              <w:rPr>
                <w:rFonts w:cs="Times New Roman"/>
                <w:color w:val="auto"/>
                <w:sz w:val="18"/>
                <w:szCs w:val="21"/>
                <w:highlight w:val="none"/>
              </w:rPr>
              <w:t>S1</w:t>
            </w:r>
          </w:p>
        </w:tc>
        <w:tc>
          <w:tcPr>
            <w:tcW w:w="441" w:type="pct"/>
            <w:shd w:val="clear" w:color="000000" w:fill="auto"/>
            <w:noWrap/>
            <w:vAlign w:val="center"/>
          </w:tcPr>
          <w:p>
            <w:pPr>
              <w:ind w:firstLine="0" w:firstLineChars="0"/>
              <w:jc w:val="center"/>
              <w:rPr>
                <w:rFonts w:cs="Times New Roman"/>
                <w:color w:val="auto"/>
                <w:sz w:val="18"/>
                <w:szCs w:val="21"/>
                <w:highlight w:val="none"/>
              </w:rPr>
            </w:pPr>
            <w:r>
              <w:rPr>
                <w:rFonts w:cs="Times New Roman"/>
                <w:color w:val="auto"/>
                <w:sz w:val="18"/>
                <w:szCs w:val="21"/>
                <w:highlight w:val="none"/>
              </w:rPr>
              <w:t>S</w:t>
            </w:r>
          </w:p>
        </w:tc>
        <w:tc>
          <w:tcPr>
            <w:tcW w:w="368" w:type="pct"/>
            <w:shd w:val="clear" w:color="000000" w:fill="auto"/>
            <w:noWrap/>
            <w:vAlign w:val="center"/>
          </w:tcPr>
          <w:p>
            <w:pPr>
              <w:ind w:firstLine="0" w:firstLineChars="0"/>
              <w:jc w:val="center"/>
              <w:rPr>
                <w:rFonts w:cs="Times New Roman"/>
                <w:color w:val="auto"/>
                <w:sz w:val="18"/>
                <w:szCs w:val="21"/>
                <w:highlight w:val="none"/>
              </w:rPr>
            </w:pPr>
            <w:r>
              <w:rPr>
                <w:rFonts w:cs="Times New Roman"/>
                <w:color w:val="auto"/>
                <w:sz w:val="18"/>
                <w:szCs w:val="21"/>
                <w:highlight w:val="none"/>
              </w:rPr>
              <w:t>X0</w:t>
            </w:r>
          </w:p>
        </w:tc>
        <w:tc>
          <w:tcPr>
            <w:tcW w:w="441" w:type="pct"/>
            <w:shd w:val="clear" w:color="000000" w:fill="auto"/>
            <w:noWrap/>
            <w:vAlign w:val="center"/>
          </w:tcPr>
          <w:p>
            <w:pPr>
              <w:ind w:firstLine="0" w:firstLineChars="0"/>
              <w:jc w:val="center"/>
              <w:rPr>
                <w:rFonts w:cs="Times New Roman"/>
                <w:color w:val="auto"/>
                <w:sz w:val="18"/>
                <w:szCs w:val="21"/>
                <w:highlight w:val="none"/>
              </w:rPr>
            </w:pPr>
            <w:r>
              <w:rPr>
                <w:rFonts w:cs="Times New Roman"/>
                <w:color w:val="auto"/>
                <w:sz w:val="18"/>
                <w:szCs w:val="21"/>
                <w:highlight w:val="none"/>
              </w:rPr>
              <w:t>n</w:t>
            </w:r>
          </w:p>
        </w:tc>
        <w:tc>
          <w:tcPr>
            <w:tcW w:w="420" w:type="pct"/>
            <w:shd w:val="clear" w:color="000000" w:fill="auto"/>
            <w:noWrap/>
            <w:vAlign w:val="center"/>
          </w:tcPr>
          <w:p>
            <w:pPr>
              <w:ind w:firstLine="0" w:firstLineChars="0"/>
              <w:jc w:val="center"/>
              <w:rPr>
                <w:rFonts w:cs="Times New Roman"/>
                <w:color w:val="auto"/>
                <w:sz w:val="18"/>
                <w:szCs w:val="21"/>
                <w:highlight w:val="none"/>
              </w:rPr>
            </w:pPr>
            <w:r>
              <w:rPr>
                <w:rFonts w:cs="Times New Roman"/>
                <w:color w:val="auto"/>
                <w:sz w:val="18"/>
                <w:szCs w:val="21"/>
                <w:highlight w:val="none"/>
              </w:rPr>
              <w:t>R</w:t>
            </w:r>
          </w:p>
        </w:tc>
        <w:tc>
          <w:tcPr>
            <w:tcW w:w="369" w:type="pct"/>
            <w:shd w:val="clear" w:color="000000" w:fill="auto"/>
            <w:noWrap/>
            <w:vAlign w:val="center"/>
          </w:tcPr>
          <w:p>
            <w:pPr>
              <w:ind w:firstLine="0" w:firstLineChars="0"/>
              <w:jc w:val="center"/>
              <w:rPr>
                <w:rFonts w:cs="Times New Roman"/>
                <w:color w:val="auto"/>
                <w:sz w:val="18"/>
                <w:szCs w:val="21"/>
                <w:highlight w:val="none"/>
              </w:rPr>
            </w:pPr>
            <w:r>
              <w:rPr>
                <w:rFonts w:cs="Times New Roman"/>
                <w:color w:val="auto"/>
                <w:sz w:val="18"/>
                <w:szCs w:val="21"/>
                <w:highlight w:val="none"/>
              </w:rPr>
              <w:t>V</w:t>
            </w:r>
          </w:p>
        </w:tc>
        <w:tc>
          <w:tcPr>
            <w:tcW w:w="432" w:type="pct"/>
            <w:shd w:val="clear" w:color="000000" w:fill="auto"/>
            <w:noWrap/>
            <w:vAlign w:val="center"/>
          </w:tcPr>
          <w:p>
            <w:pPr>
              <w:ind w:firstLine="360"/>
              <w:jc w:val="center"/>
              <w:rPr>
                <w:rFonts w:cs="Times New Roman"/>
                <w:color w:val="auto"/>
                <w:sz w:val="18"/>
                <w:szCs w:val="21"/>
                <w:highlight w:val="none"/>
              </w:rPr>
            </w:pPr>
          </w:p>
        </w:tc>
        <w:tc>
          <w:tcPr>
            <w:tcW w:w="430" w:type="pct"/>
            <w:shd w:val="clear" w:color="000000" w:fill="auto"/>
            <w:noWrap/>
            <w:vAlign w:val="center"/>
          </w:tcPr>
          <w:p>
            <w:pPr>
              <w:ind w:firstLine="360"/>
              <w:jc w:val="center"/>
              <w:rPr>
                <w:rFonts w:cs="Times New Roman"/>
                <w:color w:val="auto"/>
                <w:sz w:val="18"/>
                <w:szCs w:val="21"/>
                <w:highlight w:val="none"/>
              </w:rPr>
            </w:pPr>
          </w:p>
        </w:tc>
        <w:tc>
          <w:tcPr>
            <w:tcW w:w="334" w:type="pct"/>
            <w:shd w:val="clear" w:color="000000" w:fill="auto"/>
            <w:noWrap/>
            <w:vAlign w:val="center"/>
          </w:tcPr>
          <w:p>
            <w:pPr>
              <w:ind w:firstLine="360"/>
              <w:jc w:val="center"/>
              <w:rPr>
                <w:rFonts w:cs="Times New Roman"/>
                <w:color w:val="auto"/>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285" w:hRule="atLeast"/>
        </w:trPr>
        <w:tc>
          <w:tcPr>
            <w:tcW w:w="369" w:type="pct"/>
            <w:shd w:val="clear" w:color="000000" w:fill="auto"/>
            <w:noWrap/>
            <w:vAlign w:val="center"/>
          </w:tcPr>
          <w:p>
            <w:pPr>
              <w:ind w:firstLine="0" w:firstLineChars="0"/>
              <w:jc w:val="center"/>
              <w:rPr>
                <w:rFonts w:cs="Times New Roman"/>
                <w:bCs/>
                <w:color w:val="auto"/>
                <w:sz w:val="18"/>
                <w:szCs w:val="21"/>
                <w:highlight w:val="none"/>
              </w:rPr>
            </w:pPr>
            <w:r>
              <w:rPr>
                <w:rFonts w:cs="Times New Roman"/>
                <w:bCs/>
                <w:color w:val="auto"/>
                <w:sz w:val="18"/>
                <w:szCs w:val="21"/>
                <w:highlight w:val="none"/>
              </w:rPr>
              <w:t>1.40</w:t>
            </w:r>
          </w:p>
        </w:tc>
        <w:tc>
          <w:tcPr>
            <w:tcW w:w="440" w:type="pct"/>
            <w:shd w:val="clear" w:color="000000" w:fill="auto"/>
            <w:noWrap/>
            <w:vAlign w:val="center"/>
          </w:tcPr>
          <w:p>
            <w:pPr>
              <w:ind w:firstLine="0" w:firstLineChars="0"/>
              <w:jc w:val="center"/>
              <w:rPr>
                <w:rFonts w:cs="Times New Roman"/>
                <w:bCs/>
                <w:color w:val="auto"/>
                <w:sz w:val="18"/>
                <w:szCs w:val="21"/>
                <w:highlight w:val="none"/>
              </w:rPr>
            </w:pPr>
            <w:r>
              <w:rPr>
                <w:rFonts w:cs="Times New Roman"/>
                <w:bCs/>
                <w:color w:val="auto"/>
                <w:sz w:val="18"/>
                <w:szCs w:val="21"/>
                <w:highlight w:val="none"/>
              </w:rPr>
              <w:t>3.0</w:t>
            </w:r>
          </w:p>
        </w:tc>
        <w:tc>
          <w:tcPr>
            <w:tcW w:w="498" w:type="pct"/>
            <w:shd w:val="clear" w:color="000000" w:fill="auto"/>
            <w:noWrap/>
            <w:vAlign w:val="center"/>
          </w:tcPr>
          <w:p>
            <w:pPr>
              <w:ind w:firstLine="0" w:firstLineChars="0"/>
              <w:jc w:val="center"/>
              <w:rPr>
                <w:rFonts w:cs="Times New Roman"/>
                <w:bCs/>
                <w:color w:val="auto"/>
                <w:sz w:val="18"/>
                <w:szCs w:val="21"/>
                <w:highlight w:val="none"/>
              </w:rPr>
            </w:pPr>
            <w:r>
              <w:rPr>
                <w:rFonts w:cs="Times New Roman"/>
                <w:bCs/>
                <w:color w:val="auto"/>
                <w:sz w:val="18"/>
                <w:szCs w:val="21"/>
                <w:highlight w:val="none"/>
              </w:rPr>
              <w:t>40.5</w:t>
            </w:r>
          </w:p>
        </w:tc>
        <w:tc>
          <w:tcPr>
            <w:tcW w:w="457" w:type="pct"/>
            <w:shd w:val="clear" w:color="000000" w:fill="auto"/>
            <w:noWrap/>
            <w:vAlign w:val="center"/>
          </w:tcPr>
          <w:p>
            <w:pPr>
              <w:ind w:firstLine="0" w:firstLineChars="0"/>
              <w:jc w:val="center"/>
              <w:rPr>
                <w:rFonts w:cs="Times New Roman"/>
                <w:bCs/>
                <w:color w:val="auto"/>
                <w:sz w:val="18"/>
                <w:szCs w:val="21"/>
                <w:highlight w:val="none"/>
              </w:rPr>
            </w:pPr>
            <w:r>
              <w:rPr>
                <w:rFonts w:cs="Times New Roman"/>
                <w:bCs/>
                <w:color w:val="auto"/>
                <w:sz w:val="18"/>
                <w:szCs w:val="21"/>
                <w:highlight w:val="none"/>
              </w:rPr>
              <w:t>4.93</w:t>
            </w:r>
          </w:p>
        </w:tc>
        <w:tc>
          <w:tcPr>
            <w:tcW w:w="441" w:type="pct"/>
            <w:shd w:val="clear" w:color="000000" w:fill="auto"/>
            <w:noWrap/>
            <w:vAlign w:val="center"/>
          </w:tcPr>
          <w:p>
            <w:pPr>
              <w:ind w:firstLine="0" w:firstLineChars="0"/>
              <w:jc w:val="center"/>
              <w:rPr>
                <w:rFonts w:cs="Times New Roman"/>
                <w:bCs/>
                <w:color w:val="auto"/>
                <w:sz w:val="18"/>
                <w:szCs w:val="21"/>
                <w:highlight w:val="none"/>
              </w:rPr>
            </w:pPr>
            <w:r>
              <w:rPr>
                <w:rFonts w:cs="Times New Roman"/>
                <w:bCs/>
                <w:color w:val="auto"/>
                <w:sz w:val="18"/>
                <w:szCs w:val="21"/>
                <w:highlight w:val="none"/>
              </w:rPr>
              <w:t>5.16</w:t>
            </w:r>
          </w:p>
        </w:tc>
        <w:tc>
          <w:tcPr>
            <w:tcW w:w="368" w:type="pct"/>
            <w:shd w:val="clear" w:color="000000" w:fill="auto"/>
            <w:noWrap/>
            <w:vAlign w:val="center"/>
          </w:tcPr>
          <w:p>
            <w:pPr>
              <w:ind w:firstLine="0" w:firstLineChars="0"/>
              <w:jc w:val="center"/>
              <w:rPr>
                <w:rFonts w:cs="Times New Roman"/>
                <w:bCs/>
                <w:color w:val="auto"/>
                <w:sz w:val="18"/>
                <w:szCs w:val="21"/>
                <w:highlight w:val="none"/>
              </w:rPr>
            </w:pPr>
            <w:r>
              <w:rPr>
                <w:rFonts w:cs="Times New Roman"/>
                <w:bCs/>
                <w:color w:val="auto"/>
                <w:sz w:val="18"/>
                <w:szCs w:val="21"/>
                <w:highlight w:val="none"/>
              </w:rPr>
              <w:t>1.50</w:t>
            </w:r>
          </w:p>
        </w:tc>
        <w:tc>
          <w:tcPr>
            <w:tcW w:w="441" w:type="pct"/>
            <w:shd w:val="clear" w:color="000000" w:fill="auto"/>
            <w:noWrap/>
            <w:vAlign w:val="center"/>
          </w:tcPr>
          <w:p>
            <w:pPr>
              <w:ind w:firstLine="0" w:firstLineChars="0"/>
              <w:jc w:val="center"/>
              <w:rPr>
                <w:rFonts w:cs="Times New Roman"/>
                <w:bCs/>
                <w:color w:val="auto"/>
                <w:sz w:val="18"/>
                <w:szCs w:val="21"/>
                <w:highlight w:val="none"/>
              </w:rPr>
            </w:pPr>
            <w:r>
              <w:rPr>
                <w:rFonts w:cs="Times New Roman"/>
                <w:bCs/>
                <w:color w:val="auto"/>
                <w:sz w:val="18"/>
                <w:szCs w:val="21"/>
                <w:highlight w:val="none"/>
              </w:rPr>
              <w:t>3.35</w:t>
            </w:r>
          </w:p>
        </w:tc>
        <w:tc>
          <w:tcPr>
            <w:tcW w:w="420" w:type="pct"/>
            <w:shd w:val="clear" w:color="000000" w:fill="auto"/>
            <w:noWrap/>
            <w:vAlign w:val="center"/>
          </w:tcPr>
          <w:p>
            <w:pPr>
              <w:ind w:firstLine="0" w:firstLineChars="0"/>
              <w:jc w:val="center"/>
              <w:rPr>
                <w:rFonts w:cs="Times New Roman"/>
                <w:bCs/>
                <w:color w:val="auto"/>
                <w:sz w:val="18"/>
                <w:szCs w:val="21"/>
                <w:highlight w:val="none"/>
              </w:rPr>
            </w:pPr>
            <w:r>
              <w:rPr>
                <w:rFonts w:cs="Times New Roman"/>
                <w:bCs/>
                <w:color w:val="auto"/>
                <w:sz w:val="18"/>
                <w:szCs w:val="21"/>
                <w:highlight w:val="none"/>
              </w:rPr>
              <w:t>3.38</w:t>
            </w:r>
          </w:p>
        </w:tc>
        <w:tc>
          <w:tcPr>
            <w:tcW w:w="369" w:type="pct"/>
            <w:shd w:val="clear" w:color="000000" w:fill="auto"/>
            <w:noWrap/>
            <w:vAlign w:val="center"/>
          </w:tcPr>
          <w:p>
            <w:pPr>
              <w:ind w:firstLine="0" w:firstLineChars="0"/>
              <w:jc w:val="center"/>
              <w:rPr>
                <w:rFonts w:cs="Times New Roman"/>
                <w:bCs/>
                <w:color w:val="auto"/>
                <w:sz w:val="18"/>
                <w:szCs w:val="21"/>
                <w:highlight w:val="none"/>
              </w:rPr>
            </w:pPr>
            <w:r>
              <w:rPr>
                <w:rFonts w:cs="Times New Roman"/>
                <w:bCs/>
                <w:color w:val="auto"/>
                <w:sz w:val="18"/>
                <w:szCs w:val="21"/>
                <w:highlight w:val="none"/>
              </w:rPr>
              <w:t>13.98</w:t>
            </w:r>
          </w:p>
        </w:tc>
        <w:tc>
          <w:tcPr>
            <w:tcW w:w="432" w:type="pct"/>
            <w:shd w:val="clear" w:color="000000" w:fill="auto"/>
            <w:noWrap/>
            <w:vAlign w:val="center"/>
          </w:tcPr>
          <w:p>
            <w:pPr>
              <w:ind w:firstLine="0" w:firstLineChars="0"/>
              <w:jc w:val="center"/>
              <w:rPr>
                <w:rFonts w:cs="Times New Roman"/>
                <w:bCs/>
                <w:color w:val="auto"/>
                <w:sz w:val="18"/>
                <w:szCs w:val="21"/>
                <w:highlight w:val="none"/>
              </w:rPr>
            </w:pPr>
            <w:r>
              <w:rPr>
                <w:rFonts w:cs="Times New Roman"/>
                <w:bCs/>
                <w:color w:val="auto"/>
                <w:sz w:val="18"/>
                <w:szCs w:val="21"/>
                <w:highlight w:val="none"/>
              </w:rPr>
              <w:t>7.47</w:t>
            </w:r>
          </w:p>
        </w:tc>
        <w:tc>
          <w:tcPr>
            <w:tcW w:w="430" w:type="pct"/>
            <w:shd w:val="clear" w:color="000000" w:fill="auto"/>
            <w:noWrap/>
            <w:vAlign w:val="center"/>
          </w:tcPr>
          <w:p>
            <w:pPr>
              <w:ind w:firstLine="0" w:firstLineChars="0"/>
              <w:jc w:val="center"/>
              <w:rPr>
                <w:rFonts w:cs="Times New Roman"/>
                <w:bCs/>
                <w:color w:val="auto"/>
                <w:sz w:val="18"/>
                <w:szCs w:val="21"/>
                <w:highlight w:val="none"/>
              </w:rPr>
            </w:pPr>
            <w:r>
              <w:rPr>
                <w:rFonts w:cs="Times New Roman"/>
                <w:bCs/>
                <w:color w:val="auto"/>
                <w:sz w:val="18"/>
                <w:szCs w:val="21"/>
                <w:highlight w:val="none"/>
              </w:rPr>
              <w:t>2.53</w:t>
            </w:r>
          </w:p>
        </w:tc>
        <w:tc>
          <w:tcPr>
            <w:tcW w:w="334" w:type="pct"/>
            <w:shd w:val="clear" w:color="000000" w:fill="auto"/>
            <w:noWrap/>
            <w:vAlign w:val="center"/>
          </w:tcPr>
          <w:p>
            <w:pPr>
              <w:ind w:firstLine="0" w:firstLineChars="0"/>
              <w:jc w:val="center"/>
              <w:rPr>
                <w:rFonts w:cs="Times New Roman"/>
                <w:bCs/>
                <w:color w:val="auto"/>
                <w:sz w:val="18"/>
                <w:szCs w:val="21"/>
                <w:highlight w:val="none"/>
              </w:rPr>
            </w:pPr>
            <w:r>
              <w:rPr>
                <w:rFonts w:cs="Times New Roman"/>
                <w:bCs/>
                <w:color w:val="auto"/>
                <w:sz w:val="18"/>
                <w:szCs w:val="21"/>
                <w:highlight w:val="none"/>
              </w:rPr>
              <w:t>10.0</w:t>
            </w:r>
          </w:p>
        </w:tc>
      </w:tr>
    </w:tbl>
    <w:p>
      <w:pPr>
        <w:ind w:firstLine="480"/>
        <w:rPr>
          <w:rFonts w:cs="Times New Roman"/>
          <w:color w:val="auto"/>
          <w:highlight w:val="none"/>
        </w:rPr>
      </w:pPr>
      <w:bookmarkStart w:id="86" w:name="_Toc152745955"/>
      <w:bookmarkStart w:id="87" w:name="_Toc153616618"/>
      <w:bookmarkStart w:id="88" w:name="_Toc131125447"/>
      <w:bookmarkStart w:id="89" w:name="_Toc153616949"/>
      <w:bookmarkStart w:id="90" w:name="_Toc132623059"/>
      <w:r>
        <w:rPr>
          <w:rFonts w:cs="Times New Roman"/>
          <w:color w:val="auto"/>
          <w:highlight w:val="none"/>
        </w:rPr>
        <w:t>（5）坝袋材料选用</w:t>
      </w:r>
      <w:bookmarkEnd w:id="86"/>
      <w:bookmarkEnd w:id="87"/>
      <w:bookmarkEnd w:id="88"/>
      <w:bookmarkEnd w:id="89"/>
      <w:bookmarkEnd w:id="90"/>
    </w:p>
    <w:p>
      <w:pPr>
        <w:ind w:firstLine="480"/>
        <w:rPr>
          <w:rFonts w:cs="Times New Roman"/>
          <w:color w:val="auto"/>
          <w:highlight w:val="none"/>
        </w:rPr>
      </w:pPr>
      <w:r>
        <w:rPr>
          <w:rFonts w:cs="Times New Roman"/>
          <w:color w:val="auto"/>
          <w:highlight w:val="none"/>
        </w:rPr>
        <w:t>根据《橡胶坝工程技术规范》（GB/T 50979-2014）对坝袋胶料和坝袋胶布的基本要求、坝袋径向计算强度，按照《橡胶坝坝袋》（SL554-2011）选择坝袋材料。选用坝袋胶布为两布三胶结构，胶布选用锦纶帆布，挡水3.0m高的坝袋采用JBD3.0-220220-2坝袋，胶布经向强度352kN/m，纬向强度352kN/m。</w:t>
      </w:r>
    </w:p>
    <w:p>
      <w:pPr>
        <w:ind w:firstLine="480"/>
        <w:rPr>
          <w:rFonts w:cs="Times New Roman"/>
          <w:color w:val="auto"/>
          <w:highlight w:val="none"/>
        </w:rPr>
      </w:pPr>
      <w:r>
        <w:rPr>
          <w:rFonts w:hint="eastAsia" w:cs="Times New Roman"/>
          <w:color w:val="auto"/>
          <w:kern w:val="0"/>
          <w:highlight w:val="none"/>
        </w:rPr>
        <w:t>5、</w:t>
      </w:r>
      <w:r>
        <w:rPr>
          <w:rFonts w:cs="Times New Roman"/>
          <w:color w:val="auto"/>
          <w:highlight w:val="none"/>
        </w:rPr>
        <w:t>底板设计</w:t>
      </w:r>
    </w:p>
    <w:p>
      <w:pPr>
        <w:ind w:firstLine="480"/>
        <w:rPr>
          <w:rFonts w:cs="Times New Roman"/>
          <w:color w:val="auto"/>
          <w:highlight w:val="none"/>
        </w:rPr>
      </w:pPr>
      <w:r>
        <w:rPr>
          <w:rFonts w:cs="Times New Roman"/>
          <w:color w:val="auto"/>
          <w:highlight w:val="none"/>
        </w:rPr>
        <w:t>底板各部位尺寸见下表：</w:t>
      </w:r>
    </w:p>
    <w:p>
      <w:pPr>
        <w:ind w:firstLine="480"/>
        <w:jc w:val="center"/>
        <w:rPr>
          <w:rFonts w:eastAsia="黑体" w:cs="Times New Roman"/>
          <w:color w:val="auto"/>
          <w:szCs w:val="24"/>
          <w:highlight w:val="none"/>
        </w:rPr>
      </w:pPr>
    </w:p>
    <w:p>
      <w:pPr>
        <w:ind w:firstLine="480"/>
        <w:jc w:val="center"/>
        <w:rPr>
          <w:rFonts w:eastAsia="黑体" w:cs="Times New Roman"/>
          <w:color w:val="auto"/>
          <w:szCs w:val="24"/>
          <w:highlight w:val="none"/>
        </w:rPr>
      </w:pPr>
    </w:p>
    <w:p>
      <w:pPr>
        <w:ind w:firstLine="480"/>
        <w:jc w:val="center"/>
        <w:rPr>
          <w:rFonts w:eastAsia="黑体" w:cs="Times New Roman"/>
          <w:color w:val="auto"/>
          <w:szCs w:val="24"/>
          <w:highlight w:val="none"/>
        </w:rPr>
      </w:pPr>
      <w:r>
        <w:rPr>
          <w:rFonts w:eastAsia="黑体" w:cs="Times New Roman"/>
          <w:color w:val="auto"/>
          <w:szCs w:val="24"/>
          <w:highlight w:val="none"/>
        </w:rPr>
        <w:t>表5.8-2橡胶坝底板指标表</w:t>
      </w:r>
    </w:p>
    <w:tbl>
      <w:tblPr>
        <w:tblStyle w:val="3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474"/>
        <w:gridCol w:w="40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exact"/>
        </w:trPr>
        <w:tc>
          <w:tcPr>
            <w:tcW w:w="2625" w:type="pct"/>
            <w:vAlign w:val="center"/>
          </w:tcPr>
          <w:p>
            <w:pPr>
              <w:widowControl/>
              <w:spacing w:beforeLines="0" w:afterLines="0" w:line="240" w:lineRule="auto"/>
              <w:ind w:firstLine="0" w:firstLineChars="0"/>
              <w:jc w:val="center"/>
              <w:rPr>
                <w:rFonts w:cs="Times New Roman" w:eastAsiaTheme="minorEastAsia"/>
                <w:bCs/>
                <w:color w:val="auto"/>
                <w:kern w:val="0"/>
                <w:sz w:val="20"/>
                <w:szCs w:val="20"/>
                <w:highlight w:val="none"/>
              </w:rPr>
            </w:pPr>
          </w:p>
        </w:tc>
        <w:tc>
          <w:tcPr>
            <w:tcW w:w="2375" w:type="pct"/>
            <w:vAlign w:val="center"/>
          </w:tcPr>
          <w:p>
            <w:pPr>
              <w:widowControl/>
              <w:spacing w:beforeLines="0" w:afterLines="0" w:line="240" w:lineRule="auto"/>
              <w:ind w:firstLine="0" w:firstLineChars="0"/>
              <w:jc w:val="center"/>
              <w:rPr>
                <w:rFonts w:cs="Times New Roman" w:eastAsiaTheme="minorEastAsia"/>
                <w:bCs/>
                <w:color w:val="auto"/>
                <w:kern w:val="0"/>
                <w:sz w:val="20"/>
                <w:szCs w:val="20"/>
                <w:highlight w:val="none"/>
              </w:rPr>
            </w:pPr>
            <w:r>
              <w:rPr>
                <w:rFonts w:hint="eastAsia" w:cs="Times New Roman" w:eastAsiaTheme="minorEastAsia"/>
                <w:bCs/>
                <w:color w:val="auto"/>
                <w:kern w:val="0"/>
                <w:sz w:val="20"/>
                <w:szCs w:val="20"/>
                <w:highlight w:val="none"/>
              </w:rPr>
              <w:t>前香屯</w:t>
            </w:r>
            <w:r>
              <w:rPr>
                <w:rFonts w:cs="Times New Roman" w:eastAsiaTheme="minorEastAsia"/>
                <w:bCs/>
                <w:color w:val="auto"/>
                <w:kern w:val="0"/>
                <w:sz w:val="20"/>
                <w:szCs w:val="20"/>
                <w:highlight w:val="none"/>
              </w:rPr>
              <w:t>橡胶坝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625" w:type="pct"/>
            <w:vAlign w:val="center"/>
          </w:tcPr>
          <w:p>
            <w:pPr>
              <w:widowControl/>
              <w:spacing w:beforeLines="0" w:afterLines="0" w:line="240" w:lineRule="auto"/>
              <w:ind w:firstLine="0" w:firstLineChars="0"/>
              <w:jc w:val="center"/>
              <w:rPr>
                <w:rFonts w:cs="Times New Roman" w:eastAsiaTheme="minorEastAsia"/>
                <w:bCs/>
                <w:color w:val="auto"/>
                <w:kern w:val="0"/>
                <w:sz w:val="20"/>
                <w:szCs w:val="20"/>
                <w:highlight w:val="none"/>
              </w:rPr>
            </w:pPr>
            <w:r>
              <w:rPr>
                <w:rFonts w:cs="Times New Roman" w:eastAsiaTheme="minorEastAsia"/>
                <w:bCs/>
                <w:color w:val="auto"/>
                <w:kern w:val="0"/>
                <w:sz w:val="20"/>
                <w:szCs w:val="20"/>
                <w:highlight w:val="none"/>
              </w:rPr>
              <w:t>橡胶坝底板厚度（m）</w:t>
            </w:r>
          </w:p>
        </w:tc>
        <w:tc>
          <w:tcPr>
            <w:tcW w:w="2375" w:type="pct"/>
            <w:vAlign w:val="center"/>
          </w:tcPr>
          <w:p>
            <w:pPr>
              <w:widowControl/>
              <w:spacing w:beforeLines="0" w:afterLines="0" w:line="240" w:lineRule="auto"/>
              <w:ind w:firstLine="0" w:firstLineChars="0"/>
              <w:jc w:val="center"/>
              <w:rPr>
                <w:rFonts w:cs="Times New Roman" w:eastAsiaTheme="minorEastAsia"/>
                <w:bCs/>
                <w:color w:val="auto"/>
                <w:kern w:val="0"/>
                <w:sz w:val="20"/>
                <w:szCs w:val="20"/>
                <w:highlight w:val="none"/>
              </w:rPr>
            </w:pPr>
            <w:r>
              <w:rPr>
                <w:rFonts w:cs="Times New Roman" w:eastAsiaTheme="minorEastAsia"/>
                <w:bCs/>
                <w:color w:val="auto"/>
                <w:kern w:val="0"/>
                <w:sz w:val="20"/>
                <w:szCs w:val="20"/>
                <w:highlight w:val="none"/>
              </w:rPr>
              <w:t>0.80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625" w:type="pct"/>
            <w:vAlign w:val="center"/>
          </w:tcPr>
          <w:p>
            <w:pPr>
              <w:widowControl/>
              <w:spacing w:beforeLines="0" w:afterLines="0" w:line="240" w:lineRule="auto"/>
              <w:ind w:firstLine="0" w:firstLineChars="0"/>
              <w:jc w:val="center"/>
              <w:rPr>
                <w:rFonts w:cs="Times New Roman" w:eastAsiaTheme="minorEastAsia"/>
                <w:bCs/>
                <w:color w:val="auto"/>
                <w:kern w:val="0"/>
                <w:sz w:val="20"/>
                <w:szCs w:val="20"/>
                <w:highlight w:val="none"/>
              </w:rPr>
            </w:pPr>
            <w:r>
              <w:rPr>
                <w:rFonts w:cs="Times New Roman" w:eastAsiaTheme="minorEastAsia"/>
                <w:bCs/>
                <w:color w:val="auto"/>
                <w:kern w:val="0"/>
                <w:sz w:val="20"/>
                <w:szCs w:val="20"/>
                <w:highlight w:val="none"/>
              </w:rPr>
              <w:t>底板总长（m）</w:t>
            </w:r>
          </w:p>
        </w:tc>
        <w:tc>
          <w:tcPr>
            <w:tcW w:w="2375" w:type="pct"/>
            <w:vAlign w:val="center"/>
          </w:tcPr>
          <w:p>
            <w:pPr>
              <w:widowControl/>
              <w:spacing w:beforeLines="0" w:afterLines="0" w:line="240" w:lineRule="auto"/>
              <w:ind w:firstLine="0" w:firstLineChars="0"/>
              <w:jc w:val="center"/>
              <w:rPr>
                <w:rFonts w:cs="Times New Roman" w:eastAsiaTheme="minorEastAsia"/>
                <w:bCs/>
                <w:color w:val="auto"/>
                <w:kern w:val="0"/>
                <w:sz w:val="20"/>
                <w:szCs w:val="20"/>
                <w:highlight w:val="none"/>
              </w:rPr>
            </w:pPr>
            <w:r>
              <w:rPr>
                <w:rFonts w:cs="Times New Roman" w:eastAsiaTheme="minorEastAsia"/>
                <w:bCs/>
                <w:color w:val="auto"/>
                <w:kern w:val="0"/>
                <w:sz w:val="20"/>
                <w:szCs w:val="20"/>
                <w:highlight w:val="none"/>
              </w:rPr>
              <w:t>10.0</w:t>
            </w:r>
          </w:p>
        </w:tc>
      </w:tr>
    </w:tbl>
    <w:p>
      <w:pPr>
        <w:ind w:firstLine="480"/>
        <w:rPr>
          <w:rFonts w:cs="Times New Roman"/>
          <w:b/>
          <w:color w:val="auto"/>
          <w:highlight w:val="none"/>
        </w:rPr>
      </w:pPr>
      <w:r>
        <w:rPr>
          <w:rFonts w:cs="Times New Roman"/>
          <w:color w:val="auto"/>
          <w:highlight w:val="none"/>
        </w:rPr>
        <w:t>6、锚固设计</w:t>
      </w:r>
    </w:p>
    <w:p>
      <w:pPr>
        <w:ind w:firstLine="480"/>
        <w:rPr>
          <w:rFonts w:cs="Times New Roman"/>
          <w:color w:val="auto"/>
          <w:highlight w:val="none"/>
        </w:rPr>
      </w:pPr>
      <w:r>
        <w:rPr>
          <w:rFonts w:cs="Times New Roman"/>
          <w:color w:val="auto"/>
          <w:highlight w:val="none"/>
        </w:rPr>
        <w:t>为减少坝袋振动磨损，锚固线采用上下游布置的双线锚固，锚固结构形式采用螺栓压板锚固。锚固时采用穿孔锚固。橡胶坝螺栓间距为0.20m，选用M33螺栓。</w:t>
      </w:r>
    </w:p>
    <w:p>
      <w:pPr>
        <w:ind w:firstLine="480"/>
        <w:rPr>
          <w:rFonts w:cs="Times New Roman"/>
          <w:b/>
          <w:color w:val="auto"/>
          <w:highlight w:val="none"/>
        </w:rPr>
      </w:pPr>
      <w:r>
        <w:rPr>
          <w:rFonts w:cs="Times New Roman"/>
          <w:color w:val="auto"/>
          <w:highlight w:val="none"/>
        </w:rPr>
        <w:t>7、充排水泵房</w:t>
      </w:r>
    </w:p>
    <w:p>
      <w:pPr>
        <w:ind w:firstLine="480"/>
        <w:rPr>
          <w:rFonts w:cs="Times New Roman"/>
          <w:color w:val="auto"/>
          <w:highlight w:val="none"/>
        </w:rPr>
      </w:pPr>
      <w:r>
        <w:rPr>
          <w:rFonts w:hint="eastAsia" w:cs="Times New Roman"/>
          <w:color w:val="auto"/>
          <w:highlight w:val="none"/>
        </w:rPr>
        <w:t>左庄沙</w:t>
      </w:r>
      <w:r>
        <w:rPr>
          <w:rFonts w:cs="Times New Roman"/>
          <w:color w:val="auto"/>
          <w:highlight w:val="none"/>
        </w:rPr>
        <w:t>河</w:t>
      </w:r>
      <w:r>
        <w:rPr>
          <w:rFonts w:hint="eastAsia" w:cs="Times New Roman"/>
          <w:color w:val="auto"/>
          <w:highlight w:val="none"/>
        </w:rPr>
        <w:t>前香屯</w:t>
      </w:r>
      <w:r>
        <w:rPr>
          <w:rFonts w:cs="Times New Roman"/>
          <w:color w:val="auto"/>
          <w:highlight w:val="none"/>
        </w:rPr>
        <w:t>橡胶坝充排水泵房顺水流向净长13.05m，垂直水流向净长11.30m，墙高4.80m，边墙平均厚0.7m。控制室内设充、排水泵各2台。橡胶坝充排水泵房埋置在回填土中，其抗滑与抗倾覆问题可不予考虑。故只复核其在河道20年一遇水位下的抗浮稳定即可。</w:t>
      </w:r>
    </w:p>
    <w:p>
      <w:pPr>
        <w:ind w:firstLine="480"/>
        <w:rPr>
          <w:rFonts w:cs="Times New Roman"/>
          <w:color w:val="auto"/>
          <w:highlight w:val="none"/>
        </w:rPr>
      </w:pPr>
      <w:r>
        <w:rPr>
          <w:rFonts w:cs="Times New Roman"/>
          <w:color w:val="auto"/>
          <w:highlight w:val="none"/>
        </w:rPr>
        <w:t>（1）计算工况</w:t>
      </w:r>
    </w:p>
    <w:p>
      <w:pPr>
        <w:ind w:firstLine="480"/>
        <w:rPr>
          <w:rFonts w:cs="Times New Roman"/>
          <w:color w:val="auto"/>
          <w:highlight w:val="none"/>
        </w:rPr>
      </w:pPr>
      <w:r>
        <w:rPr>
          <w:rFonts w:cs="Times New Roman"/>
          <w:color w:val="auto"/>
          <w:highlight w:val="none"/>
        </w:rPr>
        <w:t>20年一遇设计洪水工况：机组停止运行。主要荷载：自重、土重、土压力、静水压力、扬压力、风压力等。</w:t>
      </w:r>
    </w:p>
    <w:p>
      <w:pPr>
        <w:ind w:firstLine="480"/>
        <w:rPr>
          <w:rFonts w:cs="Times New Roman"/>
          <w:color w:val="auto"/>
          <w:highlight w:val="none"/>
        </w:rPr>
      </w:pPr>
      <w:r>
        <w:rPr>
          <w:rFonts w:cs="Times New Roman"/>
          <w:color w:val="auto"/>
          <w:highlight w:val="none"/>
        </w:rPr>
        <w:t>（2）采用计算公式如下：</w:t>
      </w:r>
    </w:p>
    <w:p>
      <w:pPr>
        <w:ind w:firstLine="480"/>
        <w:jc w:val="center"/>
        <w:rPr>
          <w:rFonts w:cs="Times New Roman"/>
          <w:color w:val="auto"/>
          <w:highlight w:val="none"/>
        </w:rPr>
      </w:pPr>
      <w:r>
        <w:rPr>
          <w:rFonts w:cs="Times New Roman"/>
          <w:color w:val="auto"/>
          <w:highlight w:val="none"/>
        </w:rPr>
        <w:t>K</w:t>
      </w:r>
      <w:r>
        <w:rPr>
          <w:rFonts w:cs="Times New Roman"/>
          <w:color w:val="auto"/>
          <w:highlight w:val="none"/>
          <w:vertAlign w:val="subscript"/>
        </w:rPr>
        <w:t>f</w:t>
      </w:r>
      <w:r>
        <w:rPr>
          <w:rFonts w:cs="Times New Roman"/>
          <w:color w:val="auto"/>
          <w:highlight w:val="none"/>
        </w:rPr>
        <w:t xml:space="preserve"> = ∑V/∑U</w:t>
      </w:r>
    </w:p>
    <w:p>
      <w:pPr>
        <w:ind w:firstLine="480"/>
        <w:rPr>
          <w:rFonts w:cs="Times New Roman"/>
          <w:color w:val="auto"/>
          <w:highlight w:val="none"/>
        </w:rPr>
      </w:pPr>
      <w:r>
        <w:rPr>
          <w:rFonts w:cs="Times New Roman"/>
          <w:color w:val="auto"/>
          <w:highlight w:val="none"/>
        </w:rPr>
        <w:t>式中：K</w:t>
      </w:r>
      <w:r>
        <w:rPr>
          <w:rFonts w:cs="Times New Roman"/>
          <w:color w:val="auto"/>
          <w:highlight w:val="none"/>
          <w:vertAlign w:val="subscript"/>
        </w:rPr>
        <w:t>f</w:t>
      </w:r>
      <w:r>
        <w:rPr>
          <w:rFonts w:cs="Times New Roman"/>
          <w:color w:val="auto"/>
          <w:highlight w:val="none"/>
        </w:rPr>
        <w:t>—抗浮稳定安全系数；</w:t>
      </w:r>
    </w:p>
    <w:p>
      <w:pPr>
        <w:ind w:firstLine="1132" w:firstLineChars="472"/>
        <w:rPr>
          <w:rFonts w:cs="Times New Roman"/>
          <w:color w:val="auto"/>
          <w:highlight w:val="none"/>
        </w:rPr>
      </w:pPr>
      <w:r>
        <w:rPr>
          <w:rFonts w:cs="Times New Roman"/>
          <w:color w:val="auto"/>
          <w:highlight w:val="none"/>
        </w:rPr>
        <w:t>∑V—作用于基础底面上的全部重力（kN）；</w:t>
      </w:r>
    </w:p>
    <w:p>
      <w:pPr>
        <w:ind w:firstLine="1132" w:firstLineChars="472"/>
        <w:rPr>
          <w:rFonts w:cs="Times New Roman"/>
          <w:color w:val="auto"/>
          <w:highlight w:val="none"/>
        </w:rPr>
      </w:pPr>
      <w:r>
        <w:rPr>
          <w:rFonts w:cs="Times New Roman"/>
          <w:color w:val="auto"/>
          <w:highlight w:val="none"/>
        </w:rPr>
        <w:t>∑U—作用于基础底面上的扬压力（kN）；</w:t>
      </w:r>
    </w:p>
    <w:p>
      <w:pPr>
        <w:ind w:firstLine="480"/>
        <w:rPr>
          <w:rFonts w:cs="Times New Roman"/>
          <w:color w:val="auto"/>
          <w:highlight w:val="none"/>
        </w:rPr>
      </w:pPr>
      <w:r>
        <w:rPr>
          <w:rFonts w:cs="Times New Roman"/>
          <w:color w:val="auto"/>
          <w:highlight w:val="none"/>
        </w:rPr>
        <w:t>（3|）计算结果见下表：</w:t>
      </w:r>
    </w:p>
    <w:p>
      <w:pPr>
        <w:ind w:firstLine="480"/>
        <w:jc w:val="center"/>
        <w:rPr>
          <w:rFonts w:cs="Times New Roman"/>
          <w:color w:val="auto"/>
          <w:highlight w:val="none"/>
        </w:rPr>
      </w:pPr>
      <w:r>
        <w:rPr>
          <w:rFonts w:eastAsia="黑体" w:cs="Times New Roman"/>
          <w:color w:val="auto"/>
          <w:szCs w:val="24"/>
          <w:highlight w:val="none"/>
        </w:rPr>
        <w:t>表5.8-3充排水泵房抗浮稳定计算结果表</w:t>
      </w:r>
    </w:p>
    <w:tbl>
      <w:tblPr>
        <w:tblStyle w:val="33"/>
        <w:tblW w:w="8833" w:type="dxa"/>
        <w:jc w:val="center"/>
        <w:tblLayout w:type="autofit"/>
        <w:tblCellMar>
          <w:top w:w="0" w:type="dxa"/>
          <w:left w:w="108" w:type="dxa"/>
          <w:bottom w:w="0" w:type="dxa"/>
          <w:right w:w="108" w:type="dxa"/>
        </w:tblCellMar>
      </w:tblPr>
      <w:tblGrid>
        <w:gridCol w:w="2930"/>
        <w:gridCol w:w="1701"/>
        <w:gridCol w:w="1530"/>
        <w:gridCol w:w="1336"/>
        <w:gridCol w:w="1336"/>
      </w:tblGrid>
      <w:tr>
        <w:tblPrEx>
          <w:tblCellMar>
            <w:top w:w="0" w:type="dxa"/>
            <w:left w:w="108" w:type="dxa"/>
            <w:bottom w:w="0" w:type="dxa"/>
            <w:right w:w="108" w:type="dxa"/>
          </w:tblCellMar>
        </w:tblPrEx>
        <w:trPr>
          <w:trHeight w:val="397" w:hRule="atLeast"/>
          <w:jc w:val="center"/>
        </w:trPr>
        <w:tc>
          <w:tcPr>
            <w:tcW w:w="293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eastAsiaTheme="minorEastAsia"/>
                <w:bCs/>
                <w:color w:val="auto"/>
                <w:kern w:val="0"/>
                <w:sz w:val="18"/>
                <w:szCs w:val="18"/>
                <w:highlight w:val="none"/>
              </w:rPr>
            </w:pPr>
            <w:r>
              <w:rPr>
                <w:rFonts w:cs="Times New Roman" w:eastAsiaTheme="minorEastAsia"/>
                <w:bCs/>
                <w:color w:val="auto"/>
                <w:kern w:val="0"/>
                <w:sz w:val="18"/>
                <w:szCs w:val="18"/>
                <w:highlight w:val="none"/>
              </w:rPr>
              <w:t>名称</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ind w:firstLine="0" w:firstLineChars="0"/>
              <w:jc w:val="center"/>
              <w:rPr>
                <w:rFonts w:cs="Times New Roman" w:eastAsiaTheme="minorEastAsia"/>
                <w:bCs/>
                <w:color w:val="auto"/>
                <w:kern w:val="0"/>
                <w:sz w:val="18"/>
                <w:szCs w:val="18"/>
                <w:highlight w:val="none"/>
              </w:rPr>
            </w:pPr>
            <w:r>
              <w:rPr>
                <w:rFonts w:cs="Times New Roman" w:eastAsiaTheme="minorEastAsia"/>
                <w:bCs/>
                <w:color w:val="auto"/>
                <w:kern w:val="0"/>
                <w:sz w:val="18"/>
                <w:szCs w:val="18"/>
                <w:highlight w:val="none"/>
              </w:rPr>
              <w:t>重力∑V</w:t>
            </w:r>
          </w:p>
        </w:tc>
        <w:tc>
          <w:tcPr>
            <w:tcW w:w="1530" w:type="dxa"/>
            <w:tcBorders>
              <w:top w:val="single" w:color="auto" w:sz="4" w:space="0"/>
              <w:left w:val="nil"/>
              <w:bottom w:val="single" w:color="auto" w:sz="4" w:space="0"/>
              <w:right w:val="single" w:color="auto" w:sz="4" w:space="0"/>
            </w:tcBorders>
            <w:shd w:val="clear" w:color="auto" w:fill="auto"/>
            <w:noWrap/>
            <w:vAlign w:val="center"/>
          </w:tcPr>
          <w:p>
            <w:pPr>
              <w:ind w:firstLine="0" w:firstLineChars="0"/>
              <w:jc w:val="center"/>
              <w:rPr>
                <w:rFonts w:cs="Times New Roman" w:eastAsiaTheme="minorEastAsia"/>
                <w:bCs/>
                <w:color w:val="auto"/>
                <w:kern w:val="0"/>
                <w:sz w:val="18"/>
                <w:szCs w:val="18"/>
                <w:highlight w:val="none"/>
              </w:rPr>
            </w:pPr>
            <w:r>
              <w:rPr>
                <w:rFonts w:cs="Times New Roman" w:eastAsiaTheme="minorEastAsia"/>
                <w:bCs/>
                <w:color w:val="auto"/>
                <w:kern w:val="0"/>
                <w:sz w:val="18"/>
                <w:szCs w:val="18"/>
                <w:highlight w:val="none"/>
              </w:rPr>
              <w:t>扬压力∑U</w:t>
            </w:r>
          </w:p>
        </w:tc>
        <w:tc>
          <w:tcPr>
            <w:tcW w:w="133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eastAsiaTheme="minorEastAsia"/>
                <w:bCs/>
                <w:color w:val="auto"/>
                <w:kern w:val="0"/>
                <w:sz w:val="18"/>
                <w:szCs w:val="18"/>
                <w:highlight w:val="none"/>
              </w:rPr>
            </w:pPr>
            <w:r>
              <w:rPr>
                <w:rFonts w:cs="Times New Roman" w:eastAsiaTheme="minorEastAsia"/>
                <w:bCs/>
                <w:color w:val="auto"/>
                <w:kern w:val="0"/>
                <w:sz w:val="18"/>
                <w:szCs w:val="18"/>
                <w:highlight w:val="none"/>
              </w:rPr>
              <w:t>计算值</w:t>
            </w:r>
          </w:p>
        </w:tc>
        <w:tc>
          <w:tcPr>
            <w:tcW w:w="133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eastAsiaTheme="minorEastAsia"/>
                <w:bCs/>
                <w:color w:val="auto"/>
                <w:kern w:val="0"/>
                <w:sz w:val="18"/>
                <w:szCs w:val="18"/>
                <w:highlight w:val="none"/>
              </w:rPr>
            </w:pPr>
            <w:r>
              <w:rPr>
                <w:rFonts w:cs="Times New Roman" w:eastAsiaTheme="minorEastAsia"/>
                <w:bCs/>
                <w:color w:val="auto"/>
                <w:kern w:val="0"/>
                <w:sz w:val="18"/>
                <w:szCs w:val="18"/>
                <w:highlight w:val="none"/>
              </w:rPr>
              <w:t>允许值</w:t>
            </w:r>
          </w:p>
        </w:tc>
      </w:tr>
      <w:tr>
        <w:tblPrEx>
          <w:tblCellMar>
            <w:top w:w="0" w:type="dxa"/>
            <w:left w:w="108" w:type="dxa"/>
            <w:bottom w:w="0" w:type="dxa"/>
            <w:right w:w="108" w:type="dxa"/>
          </w:tblCellMar>
        </w:tblPrEx>
        <w:trPr>
          <w:trHeight w:val="397" w:hRule="atLeast"/>
          <w:jc w:val="center"/>
        </w:trPr>
        <w:tc>
          <w:tcPr>
            <w:tcW w:w="2930" w:type="dxa"/>
            <w:vMerge w:val="continue"/>
            <w:tcBorders>
              <w:top w:val="single" w:color="auto" w:sz="4" w:space="0"/>
              <w:left w:val="single" w:color="auto" w:sz="4" w:space="0"/>
              <w:bottom w:val="single" w:color="auto" w:sz="4" w:space="0"/>
              <w:right w:val="single" w:color="auto" w:sz="4" w:space="0"/>
            </w:tcBorders>
            <w:vAlign w:val="center"/>
          </w:tcPr>
          <w:p>
            <w:pPr>
              <w:ind w:firstLine="360"/>
              <w:jc w:val="center"/>
              <w:rPr>
                <w:rFonts w:cs="Times New Roman" w:eastAsiaTheme="minorEastAsia"/>
                <w:bCs/>
                <w:color w:val="auto"/>
                <w:kern w:val="0"/>
                <w:sz w:val="18"/>
                <w:szCs w:val="18"/>
                <w:highlight w:val="none"/>
              </w:rPr>
            </w:pPr>
          </w:p>
        </w:tc>
        <w:tc>
          <w:tcPr>
            <w:tcW w:w="1701" w:type="dxa"/>
            <w:tcBorders>
              <w:top w:val="nil"/>
              <w:left w:val="nil"/>
              <w:bottom w:val="single" w:color="auto" w:sz="4" w:space="0"/>
              <w:right w:val="single" w:color="auto" w:sz="4" w:space="0"/>
            </w:tcBorders>
            <w:shd w:val="clear" w:color="auto" w:fill="auto"/>
            <w:noWrap/>
            <w:vAlign w:val="center"/>
          </w:tcPr>
          <w:p>
            <w:pPr>
              <w:ind w:firstLine="0" w:firstLineChars="0"/>
              <w:jc w:val="center"/>
              <w:rPr>
                <w:rFonts w:cs="Times New Roman" w:eastAsiaTheme="minorEastAsia"/>
                <w:bCs/>
                <w:color w:val="auto"/>
                <w:kern w:val="0"/>
                <w:sz w:val="18"/>
                <w:szCs w:val="18"/>
                <w:highlight w:val="none"/>
              </w:rPr>
            </w:pPr>
            <w:r>
              <w:rPr>
                <w:rFonts w:cs="Times New Roman" w:eastAsiaTheme="minorEastAsia"/>
                <w:bCs/>
                <w:color w:val="auto"/>
                <w:kern w:val="0"/>
                <w:sz w:val="18"/>
                <w:szCs w:val="18"/>
                <w:highlight w:val="none"/>
              </w:rPr>
              <w:t>KN</w:t>
            </w:r>
          </w:p>
        </w:tc>
        <w:tc>
          <w:tcPr>
            <w:tcW w:w="1530" w:type="dxa"/>
            <w:tcBorders>
              <w:top w:val="nil"/>
              <w:left w:val="nil"/>
              <w:bottom w:val="single" w:color="auto" w:sz="4" w:space="0"/>
              <w:right w:val="single" w:color="auto" w:sz="4" w:space="0"/>
            </w:tcBorders>
            <w:shd w:val="clear" w:color="auto" w:fill="auto"/>
            <w:noWrap/>
            <w:vAlign w:val="center"/>
          </w:tcPr>
          <w:p>
            <w:pPr>
              <w:ind w:firstLine="0" w:firstLineChars="0"/>
              <w:jc w:val="center"/>
              <w:rPr>
                <w:rFonts w:cs="Times New Roman" w:eastAsiaTheme="minorEastAsia"/>
                <w:bCs/>
                <w:color w:val="auto"/>
                <w:kern w:val="0"/>
                <w:sz w:val="18"/>
                <w:szCs w:val="18"/>
                <w:highlight w:val="none"/>
              </w:rPr>
            </w:pPr>
            <w:r>
              <w:rPr>
                <w:rFonts w:cs="Times New Roman" w:eastAsiaTheme="minorEastAsia"/>
                <w:bCs/>
                <w:color w:val="auto"/>
                <w:kern w:val="0"/>
                <w:sz w:val="18"/>
                <w:szCs w:val="18"/>
                <w:highlight w:val="none"/>
              </w:rPr>
              <w:t>KN</w:t>
            </w:r>
          </w:p>
        </w:tc>
        <w:tc>
          <w:tcPr>
            <w:tcW w:w="1336" w:type="dxa"/>
            <w:vMerge w:val="continue"/>
            <w:tcBorders>
              <w:top w:val="single" w:color="auto" w:sz="4" w:space="0"/>
              <w:left w:val="single" w:color="auto" w:sz="4" w:space="0"/>
              <w:bottom w:val="single" w:color="auto" w:sz="4" w:space="0"/>
              <w:right w:val="single" w:color="auto" w:sz="4" w:space="0"/>
            </w:tcBorders>
            <w:vAlign w:val="center"/>
          </w:tcPr>
          <w:p>
            <w:pPr>
              <w:ind w:firstLine="360"/>
              <w:jc w:val="center"/>
              <w:rPr>
                <w:rFonts w:cs="Times New Roman" w:eastAsiaTheme="minorEastAsia"/>
                <w:bCs/>
                <w:color w:val="auto"/>
                <w:kern w:val="0"/>
                <w:sz w:val="18"/>
                <w:szCs w:val="18"/>
                <w:highlight w:val="none"/>
              </w:rPr>
            </w:pPr>
          </w:p>
        </w:tc>
        <w:tc>
          <w:tcPr>
            <w:tcW w:w="1336" w:type="dxa"/>
            <w:vMerge w:val="continue"/>
            <w:tcBorders>
              <w:top w:val="single" w:color="auto" w:sz="4" w:space="0"/>
              <w:left w:val="single" w:color="auto" w:sz="4" w:space="0"/>
              <w:bottom w:val="single" w:color="auto" w:sz="4" w:space="0"/>
              <w:right w:val="single" w:color="auto" w:sz="4" w:space="0"/>
            </w:tcBorders>
            <w:vAlign w:val="center"/>
          </w:tcPr>
          <w:p>
            <w:pPr>
              <w:ind w:firstLine="360"/>
              <w:jc w:val="center"/>
              <w:rPr>
                <w:rFonts w:cs="Times New Roman" w:eastAsiaTheme="minorEastAsia"/>
                <w:bCs/>
                <w:color w:val="auto"/>
                <w:kern w:val="0"/>
                <w:sz w:val="18"/>
                <w:szCs w:val="18"/>
                <w:highlight w:val="none"/>
              </w:rPr>
            </w:pPr>
          </w:p>
        </w:tc>
      </w:tr>
      <w:tr>
        <w:tblPrEx>
          <w:tblCellMar>
            <w:top w:w="0" w:type="dxa"/>
            <w:left w:w="108" w:type="dxa"/>
            <w:bottom w:w="0" w:type="dxa"/>
            <w:right w:w="108" w:type="dxa"/>
          </w:tblCellMar>
        </w:tblPrEx>
        <w:trPr>
          <w:trHeight w:val="397" w:hRule="atLeast"/>
          <w:jc w:val="center"/>
        </w:trPr>
        <w:tc>
          <w:tcPr>
            <w:tcW w:w="2930" w:type="dxa"/>
            <w:tcBorders>
              <w:top w:val="nil"/>
              <w:left w:val="single" w:color="auto" w:sz="4" w:space="0"/>
              <w:bottom w:val="single" w:color="auto" w:sz="4" w:space="0"/>
              <w:right w:val="single" w:color="auto" w:sz="4" w:space="0"/>
            </w:tcBorders>
            <w:shd w:val="clear" w:color="auto" w:fill="auto"/>
            <w:noWrap/>
            <w:vAlign w:val="center"/>
          </w:tcPr>
          <w:p>
            <w:pPr>
              <w:ind w:firstLine="0" w:firstLineChars="0"/>
              <w:jc w:val="center"/>
              <w:rPr>
                <w:rFonts w:cs="Times New Roman" w:eastAsiaTheme="minorEastAsia"/>
                <w:bCs/>
                <w:color w:val="auto"/>
                <w:kern w:val="0"/>
                <w:sz w:val="18"/>
                <w:szCs w:val="18"/>
                <w:highlight w:val="none"/>
              </w:rPr>
            </w:pPr>
            <w:r>
              <w:rPr>
                <w:rFonts w:hint="eastAsia" w:cs="Times New Roman" w:eastAsiaTheme="minorEastAsia"/>
                <w:bCs/>
                <w:color w:val="auto"/>
                <w:kern w:val="0"/>
                <w:sz w:val="18"/>
                <w:szCs w:val="18"/>
                <w:highlight w:val="none"/>
              </w:rPr>
              <w:t>前香屯</w:t>
            </w:r>
            <w:r>
              <w:rPr>
                <w:rFonts w:cs="Times New Roman" w:eastAsiaTheme="minorEastAsia"/>
                <w:bCs/>
                <w:color w:val="auto"/>
                <w:kern w:val="0"/>
                <w:sz w:val="18"/>
                <w:szCs w:val="18"/>
                <w:highlight w:val="none"/>
              </w:rPr>
              <w:t>胶坝充排水泵房</w:t>
            </w:r>
          </w:p>
        </w:tc>
        <w:tc>
          <w:tcPr>
            <w:tcW w:w="1701" w:type="dxa"/>
            <w:tcBorders>
              <w:top w:val="nil"/>
              <w:left w:val="nil"/>
              <w:bottom w:val="single" w:color="auto" w:sz="4" w:space="0"/>
              <w:right w:val="single" w:color="auto" w:sz="4" w:space="0"/>
            </w:tcBorders>
            <w:shd w:val="clear" w:color="auto" w:fill="auto"/>
            <w:noWrap/>
            <w:vAlign w:val="center"/>
          </w:tcPr>
          <w:p>
            <w:pPr>
              <w:ind w:firstLine="0" w:firstLineChars="0"/>
              <w:jc w:val="center"/>
              <w:rPr>
                <w:rFonts w:cs="Times New Roman" w:eastAsiaTheme="minorEastAsia"/>
                <w:bCs/>
                <w:color w:val="auto"/>
                <w:kern w:val="0"/>
                <w:sz w:val="18"/>
                <w:szCs w:val="18"/>
                <w:highlight w:val="none"/>
              </w:rPr>
            </w:pPr>
            <w:r>
              <w:rPr>
                <w:rFonts w:cs="Times New Roman" w:eastAsiaTheme="minorEastAsia"/>
                <w:bCs/>
                <w:color w:val="auto"/>
                <w:kern w:val="0"/>
                <w:sz w:val="18"/>
                <w:szCs w:val="18"/>
                <w:highlight w:val="none"/>
              </w:rPr>
              <w:t>102631</w:t>
            </w:r>
          </w:p>
        </w:tc>
        <w:tc>
          <w:tcPr>
            <w:tcW w:w="1530" w:type="dxa"/>
            <w:tcBorders>
              <w:top w:val="nil"/>
              <w:left w:val="nil"/>
              <w:bottom w:val="single" w:color="auto" w:sz="4" w:space="0"/>
              <w:right w:val="single" w:color="auto" w:sz="4" w:space="0"/>
            </w:tcBorders>
            <w:shd w:val="clear" w:color="auto" w:fill="auto"/>
            <w:noWrap/>
            <w:vAlign w:val="center"/>
          </w:tcPr>
          <w:p>
            <w:pPr>
              <w:ind w:firstLine="0" w:firstLineChars="0"/>
              <w:jc w:val="center"/>
              <w:rPr>
                <w:rFonts w:cs="Times New Roman" w:eastAsiaTheme="minorEastAsia"/>
                <w:bCs/>
                <w:color w:val="auto"/>
                <w:kern w:val="0"/>
                <w:sz w:val="18"/>
                <w:szCs w:val="18"/>
                <w:highlight w:val="none"/>
              </w:rPr>
            </w:pPr>
            <w:r>
              <w:rPr>
                <w:rFonts w:cs="Times New Roman" w:eastAsiaTheme="minorEastAsia"/>
                <w:bCs/>
                <w:color w:val="auto"/>
                <w:kern w:val="0"/>
                <w:sz w:val="18"/>
                <w:szCs w:val="18"/>
                <w:highlight w:val="none"/>
              </w:rPr>
              <w:t>5331</w:t>
            </w:r>
          </w:p>
        </w:tc>
        <w:tc>
          <w:tcPr>
            <w:tcW w:w="1336" w:type="dxa"/>
            <w:tcBorders>
              <w:top w:val="nil"/>
              <w:left w:val="nil"/>
              <w:bottom w:val="single" w:color="auto" w:sz="4" w:space="0"/>
              <w:right w:val="single" w:color="auto" w:sz="4" w:space="0"/>
            </w:tcBorders>
            <w:shd w:val="clear" w:color="auto" w:fill="auto"/>
            <w:noWrap/>
            <w:vAlign w:val="center"/>
          </w:tcPr>
          <w:p>
            <w:pPr>
              <w:ind w:firstLine="0" w:firstLineChars="0"/>
              <w:jc w:val="center"/>
              <w:rPr>
                <w:rFonts w:cs="Times New Roman" w:eastAsiaTheme="minorEastAsia"/>
                <w:bCs/>
                <w:color w:val="auto"/>
                <w:kern w:val="0"/>
                <w:sz w:val="18"/>
                <w:szCs w:val="18"/>
                <w:highlight w:val="none"/>
              </w:rPr>
            </w:pPr>
            <w:r>
              <w:rPr>
                <w:rFonts w:cs="Times New Roman" w:eastAsiaTheme="minorEastAsia"/>
                <w:bCs/>
                <w:color w:val="auto"/>
                <w:kern w:val="0"/>
                <w:sz w:val="18"/>
                <w:szCs w:val="18"/>
                <w:highlight w:val="none"/>
              </w:rPr>
              <w:t>1.67</w:t>
            </w:r>
          </w:p>
        </w:tc>
        <w:tc>
          <w:tcPr>
            <w:tcW w:w="1336" w:type="dxa"/>
            <w:tcBorders>
              <w:top w:val="nil"/>
              <w:left w:val="nil"/>
              <w:bottom w:val="single" w:color="auto" w:sz="4" w:space="0"/>
              <w:right w:val="single" w:color="auto" w:sz="4" w:space="0"/>
            </w:tcBorders>
            <w:shd w:val="clear" w:color="auto" w:fill="auto"/>
            <w:noWrap/>
            <w:vAlign w:val="center"/>
          </w:tcPr>
          <w:p>
            <w:pPr>
              <w:ind w:firstLineChars="111"/>
              <w:jc w:val="center"/>
              <w:rPr>
                <w:rFonts w:cs="Times New Roman" w:eastAsiaTheme="minorEastAsia"/>
                <w:bCs/>
                <w:color w:val="auto"/>
                <w:kern w:val="0"/>
                <w:sz w:val="18"/>
                <w:szCs w:val="18"/>
                <w:highlight w:val="none"/>
              </w:rPr>
            </w:pPr>
            <w:r>
              <w:rPr>
                <w:rFonts w:cs="Times New Roman" w:eastAsiaTheme="minorEastAsia"/>
                <w:bCs/>
                <w:color w:val="auto"/>
                <w:kern w:val="0"/>
                <w:sz w:val="18"/>
                <w:szCs w:val="18"/>
                <w:highlight w:val="none"/>
              </w:rPr>
              <w:t>1.1</w:t>
            </w:r>
          </w:p>
        </w:tc>
      </w:tr>
    </w:tbl>
    <w:p>
      <w:pPr>
        <w:ind w:firstLine="480"/>
        <w:rPr>
          <w:rFonts w:cs="Times New Roman"/>
          <w:color w:val="auto"/>
          <w:highlight w:val="none"/>
        </w:rPr>
      </w:pPr>
      <w:r>
        <w:rPr>
          <w:rFonts w:cs="Times New Roman"/>
          <w:color w:val="auto"/>
          <w:highlight w:val="none"/>
        </w:rPr>
        <w:t>计算可知橡胶坝充排水泵房抗浮稳定安全系数满足要求。</w:t>
      </w:r>
    </w:p>
    <w:p>
      <w:pPr>
        <w:ind w:firstLine="480"/>
        <w:rPr>
          <w:rFonts w:cs="Times New Roman"/>
          <w:color w:val="auto"/>
          <w:kern w:val="0"/>
          <w:highlight w:val="none"/>
        </w:rPr>
      </w:pPr>
      <w:r>
        <w:rPr>
          <w:rFonts w:hint="eastAsia" w:cs="Times New Roman"/>
          <w:color w:val="auto"/>
          <w:kern w:val="0"/>
          <w:highlight w:val="none"/>
        </w:rPr>
        <w:t>二、</w:t>
      </w:r>
      <w:bookmarkStart w:id="91" w:name="_Toc17734705"/>
      <w:r>
        <w:rPr>
          <w:rFonts w:cs="Times New Roman"/>
          <w:color w:val="auto"/>
          <w:highlight w:val="none"/>
        </w:rPr>
        <w:t>稳定计算</w:t>
      </w:r>
      <w:bookmarkEnd w:id="91"/>
    </w:p>
    <w:p>
      <w:pPr>
        <w:ind w:firstLine="480"/>
        <w:rPr>
          <w:rFonts w:cs="Times New Roman"/>
          <w:color w:val="auto"/>
          <w:highlight w:val="none"/>
        </w:rPr>
      </w:pPr>
      <w:r>
        <w:rPr>
          <w:rFonts w:cs="Times New Roman"/>
          <w:color w:val="auto"/>
          <w:highlight w:val="none"/>
        </w:rPr>
        <w:t>1、底板稳定计算</w:t>
      </w:r>
    </w:p>
    <w:p>
      <w:pPr>
        <w:ind w:firstLine="480"/>
        <w:rPr>
          <w:rFonts w:cs="Times New Roman"/>
          <w:color w:val="auto"/>
          <w:highlight w:val="none"/>
        </w:rPr>
      </w:pPr>
      <w:r>
        <w:rPr>
          <w:rFonts w:cs="Times New Roman"/>
          <w:color w:val="auto"/>
          <w:highlight w:val="none"/>
        </w:rPr>
        <w:t>依据《橡胶坝工程技术规范》中规定的荷载组合要求进行稳定计算，计算分施工完建、正常蓄水、设计洪水情况三种基本荷载组合，校核洪水和地震情况两种特殊荷载组合。计算工况及荷载组合见下表：</w:t>
      </w:r>
    </w:p>
    <w:p>
      <w:pPr>
        <w:ind w:firstLine="480"/>
        <w:jc w:val="center"/>
        <w:rPr>
          <w:rFonts w:eastAsia="黑体" w:cs="Times New Roman"/>
          <w:color w:val="auto"/>
          <w:szCs w:val="24"/>
          <w:highlight w:val="none"/>
        </w:rPr>
      </w:pPr>
      <w:r>
        <w:rPr>
          <w:rFonts w:eastAsia="黑体" w:cs="Times New Roman"/>
          <w:color w:val="auto"/>
          <w:szCs w:val="24"/>
          <w:highlight w:val="none"/>
        </w:rPr>
        <w:t>表5.8-4计算工况及荷载组合表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2289"/>
        <w:gridCol w:w="842"/>
        <w:gridCol w:w="1420"/>
        <w:gridCol w:w="1132"/>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33" w:type="pct"/>
            <w:vMerge w:val="restart"/>
            <w:vAlign w:val="center"/>
          </w:tcPr>
          <w:p>
            <w:pPr>
              <w:widowControl/>
              <w:ind w:firstLine="0" w:firstLineChars="0"/>
              <w:rPr>
                <w:rFonts w:cs="Times New Roman"/>
                <w:color w:val="auto"/>
                <w:kern w:val="0"/>
                <w:sz w:val="18"/>
                <w:szCs w:val="18"/>
                <w:highlight w:val="none"/>
              </w:rPr>
            </w:pPr>
            <w:r>
              <w:rPr>
                <w:rFonts w:cs="Times New Roman"/>
                <w:color w:val="auto"/>
                <w:kern w:val="0"/>
                <w:sz w:val="18"/>
                <w:szCs w:val="18"/>
                <w:highlight w:val="none"/>
              </w:rPr>
              <w:t>荷载组合</w:t>
            </w:r>
          </w:p>
        </w:tc>
        <w:tc>
          <w:tcPr>
            <w:tcW w:w="1343" w:type="pct"/>
            <w:vMerge w:val="restart"/>
            <w:vAlign w:val="center"/>
          </w:tcPr>
          <w:p>
            <w:pPr>
              <w:widowControl/>
              <w:ind w:firstLine="360"/>
              <w:jc w:val="center"/>
              <w:rPr>
                <w:rFonts w:cs="Times New Roman"/>
                <w:color w:val="auto"/>
                <w:kern w:val="0"/>
                <w:sz w:val="18"/>
                <w:szCs w:val="18"/>
                <w:highlight w:val="none"/>
              </w:rPr>
            </w:pPr>
            <w:r>
              <w:rPr>
                <w:rFonts w:cs="Times New Roman"/>
                <w:color w:val="auto"/>
                <w:kern w:val="0"/>
                <w:sz w:val="18"/>
                <w:szCs w:val="18"/>
                <w:highlight w:val="none"/>
              </w:rPr>
              <w:t>计算工况</w:t>
            </w:r>
          </w:p>
        </w:tc>
        <w:tc>
          <w:tcPr>
            <w:tcW w:w="2824" w:type="pct"/>
            <w:gridSpan w:val="4"/>
            <w:vAlign w:val="center"/>
          </w:tcPr>
          <w:p>
            <w:pPr>
              <w:widowControl/>
              <w:ind w:firstLine="360"/>
              <w:jc w:val="center"/>
              <w:rPr>
                <w:rFonts w:cs="Times New Roman"/>
                <w:color w:val="auto"/>
                <w:kern w:val="0"/>
                <w:sz w:val="18"/>
                <w:szCs w:val="18"/>
                <w:highlight w:val="none"/>
              </w:rPr>
            </w:pPr>
            <w:r>
              <w:rPr>
                <w:rFonts w:cs="Times New Roman"/>
                <w:color w:val="auto"/>
                <w:kern w:val="0"/>
                <w:sz w:val="18"/>
                <w:szCs w:val="18"/>
                <w:highlight w:val="none"/>
              </w:rPr>
              <w:t>荷载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33" w:type="pct"/>
            <w:vMerge w:val="continue"/>
            <w:vAlign w:val="center"/>
          </w:tcPr>
          <w:p>
            <w:pPr>
              <w:widowControl/>
              <w:ind w:firstLine="360"/>
              <w:jc w:val="center"/>
              <w:rPr>
                <w:rFonts w:cs="Times New Roman"/>
                <w:color w:val="auto"/>
                <w:kern w:val="0"/>
                <w:sz w:val="18"/>
                <w:szCs w:val="18"/>
                <w:highlight w:val="none"/>
              </w:rPr>
            </w:pPr>
          </w:p>
        </w:tc>
        <w:tc>
          <w:tcPr>
            <w:tcW w:w="1343" w:type="pct"/>
            <w:vMerge w:val="continue"/>
            <w:vAlign w:val="center"/>
          </w:tcPr>
          <w:p>
            <w:pPr>
              <w:widowControl/>
              <w:ind w:firstLine="360"/>
              <w:jc w:val="center"/>
              <w:rPr>
                <w:rFonts w:cs="Times New Roman"/>
                <w:color w:val="auto"/>
                <w:kern w:val="0"/>
                <w:sz w:val="18"/>
                <w:szCs w:val="18"/>
                <w:highlight w:val="none"/>
              </w:rPr>
            </w:pPr>
          </w:p>
        </w:tc>
        <w:tc>
          <w:tcPr>
            <w:tcW w:w="494" w:type="pct"/>
            <w:vAlign w:val="center"/>
          </w:tcPr>
          <w:p>
            <w:pPr>
              <w:widowControl/>
              <w:ind w:firstLine="0" w:firstLineChars="0"/>
              <w:rPr>
                <w:rFonts w:cs="Times New Roman"/>
                <w:color w:val="auto"/>
                <w:kern w:val="0"/>
                <w:sz w:val="18"/>
                <w:szCs w:val="18"/>
                <w:highlight w:val="none"/>
              </w:rPr>
            </w:pPr>
            <w:r>
              <w:rPr>
                <w:rFonts w:cs="Times New Roman"/>
                <w:color w:val="auto"/>
                <w:kern w:val="0"/>
                <w:sz w:val="18"/>
                <w:szCs w:val="18"/>
                <w:highlight w:val="none"/>
              </w:rPr>
              <w:t>自重</w:t>
            </w:r>
          </w:p>
        </w:tc>
        <w:tc>
          <w:tcPr>
            <w:tcW w:w="833" w:type="pct"/>
            <w:vAlign w:val="center"/>
          </w:tcPr>
          <w:p>
            <w:pPr>
              <w:widowControl/>
              <w:ind w:firstLine="360"/>
              <w:jc w:val="center"/>
              <w:rPr>
                <w:rFonts w:cs="Times New Roman"/>
                <w:color w:val="auto"/>
                <w:kern w:val="0"/>
                <w:sz w:val="18"/>
                <w:szCs w:val="18"/>
                <w:highlight w:val="none"/>
              </w:rPr>
            </w:pPr>
            <w:r>
              <w:rPr>
                <w:rFonts w:cs="Times New Roman"/>
                <w:color w:val="auto"/>
                <w:kern w:val="0"/>
                <w:sz w:val="18"/>
                <w:szCs w:val="18"/>
                <w:highlight w:val="none"/>
              </w:rPr>
              <w:t>静水压力</w:t>
            </w:r>
          </w:p>
        </w:tc>
        <w:tc>
          <w:tcPr>
            <w:tcW w:w="664" w:type="pct"/>
            <w:vAlign w:val="center"/>
          </w:tcPr>
          <w:p>
            <w:pPr>
              <w:widowControl/>
              <w:ind w:firstLine="360"/>
              <w:jc w:val="center"/>
              <w:rPr>
                <w:rFonts w:cs="Times New Roman"/>
                <w:color w:val="auto"/>
                <w:kern w:val="0"/>
                <w:sz w:val="18"/>
                <w:szCs w:val="18"/>
                <w:highlight w:val="none"/>
              </w:rPr>
            </w:pPr>
            <w:r>
              <w:rPr>
                <w:rFonts w:cs="Times New Roman"/>
                <w:color w:val="auto"/>
                <w:kern w:val="0"/>
                <w:sz w:val="18"/>
                <w:szCs w:val="18"/>
                <w:highlight w:val="none"/>
              </w:rPr>
              <w:t>扬压力</w:t>
            </w:r>
          </w:p>
        </w:tc>
        <w:tc>
          <w:tcPr>
            <w:tcW w:w="833" w:type="pct"/>
            <w:vAlign w:val="center"/>
          </w:tcPr>
          <w:p>
            <w:pPr>
              <w:widowControl/>
              <w:ind w:firstLine="360"/>
              <w:jc w:val="center"/>
              <w:rPr>
                <w:rFonts w:cs="Times New Roman"/>
                <w:color w:val="auto"/>
                <w:kern w:val="0"/>
                <w:sz w:val="18"/>
                <w:szCs w:val="18"/>
                <w:highlight w:val="none"/>
              </w:rPr>
            </w:pPr>
            <w:r>
              <w:rPr>
                <w:rFonts w:cs="Times New Roman"/>
                <w:color w:val="auto"/>
                <w:kern w:val="0"/>
                <w:sz w:val="18"/>
                <w:szCs w:val="18"/>
                <w:highlight w:val="none"/>
              </w:rPr>
              <w:t>地震荷载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33" w:type="pct"/>
            <w:vMerge w:val="restart"/>
            <w:shd w:val="clear" w:color="auto" w:fill="auto"/>
            <w:vAlign w:val="center"/>
          </w:tcPr>
          <w:p>
            <w:pPr>
              <w:widowControl/>
              <w:ind w:firstLine="0" w:firstLineChars="0"/>
              <w:rPr>
                <w:rFonts w:cs="Times New Roman"/>
                <w:color w:val="auto"/>
                <w:kern w:val="0"/>
                <w:sz w:val="18"/>
                <w:szCs w:val="18"/>
                <w:highlight w:val="none"/>
              </w:rPr>
            </w:pPr>
            <w:r>
              <w:rPr>
                <w:rFonts w:cs="Times New Roman"/>
                <w:color w:val="auto"/>
                <w:kern w:val="0"/>
                <w:sz w:val="18"/>
                <w:szCs w:val="18"/>
                <w:highlight w:val="none"/>
              </w:rPr>
              <w:t>基本组合</w:t>
            </w:r>
          </w:p>
        </w:tc>
        <w:tc>
          <w:tcPr>
            <w:tcW w:w="1343" w:type="pct"/>
            <w:vAlign w:val="center"/>
          </w:tcPr>
          <w:p>
            <w:pPr>
              <w:widowControl/>
              <w:ind w:firstLine="360"/>
              <w:jc w:val="center"/>
              <w:rPr>
                <w:rFonts w:cs="Times New Roman"/>
                <w:color w:val="auto"/>
                <w:kern w:val="0"/>
                <w:sz w:val="18"/>
                <w:szCs w:val="18"/>
                <w:highlight w:val="none"/>
              </w:rPr>
            </w:pPr>
            <w:r>
              <w:rPr>
                <w:rFonts w:cs="Times New Roman"/>
                <w:color w:val="auto"/>
                <w:kern w:val="0"/>
                <w:sz w:val="18"/>
                <w:szCs w:val="18"/>
                <w:highlight w:val="none"/>
              </w:rPr>
              <w:t>施工完建</w:t>
            </w:r>
          </w:p>
        </w:tc>
        <w:tc>
          <w:tcPr>
            <w:tcW w:w="494" w:type="pct"/>
            <w:vAlign w:val="center"/>
          </w:tcPr>
          <w:p>
            <w:pPr>
              <w:widowControl/>
              <w:ind w:firstLine="360"/>
              <w:jc w:val="center"/>
              <w:rPr>
                <w:rFonts w:cs="Times New Roman"/>
                <w:color w:val="auto"/>
                <w:kern w:val="0"/>
                <w:sz w:val="18"/>
                <w:szCs w:val="18"/>
                <w:highlight w:val="none"/>
              </w:rPr>
            </w:pPr>
            <w:r>
              <w:rPr>
                <w:rFonts w:cs="Times New Roman"/>
                <w:color w:val="auto"/>
                <w:kern w:val="0"/>
                <w:sz w:val="18"/>
                <w:szCs w:val="18"/>
                <w:highlight w:val="none"/>
              </w:rPr>
              <w:t>√</w:t>
            </w:r>
          </w:p>
        </w:tc>
        <w:tc>
          <w:tcPr>
            <w:tcW w:w="833" w:type="pct"/>
            <w:vAlign w:val="center"/>
          </w:tcPr>
          <w:p>
            <w:pPr>
              <w:widowControl/>
              <w:ind w:firstLine="360"/>
              <w:jc w:val="center"/>
              <w:rPr>
                <w:rFonts w:cs="Times New Roman"/>
                <w:color w:val="auto"/>
                <w:kern w:val="0"/>
                <w:sz w:val="18"/>
                <w:szCs w:val="18"/>
                <w:highlight w:val="none"/>
              </w:rPr>
            </w:pPr>
          </w:p>
        </w:tc>
        <w:tc>
          <w:tcPr>
            <w:tcW w:w="664" w:type="pct"/>
            <w:vAlign w:val="center"/>
          </w:tcPr>
          <w:p>
            <w:pPr>
              <w:widowControl/>
              <w:ind w:firstLine="360"/>
              <w:jc w:val="center"/>
              <w:rPr>
                <w:rFonts w:cs="Times New Roman"/>
                <w:color w:val="auto"/>
                <w:kern w:val="0"/>
                <w:sz w:val="18"/>
                <w:szCs w:val="18"/>
                <w:highlight w:val="none"/>
              </w:rPr>
            </w:pPr>
          </w:p>
        </w:tc>
        <w:tc>
          <w:tcPr>
            <w:tcW w:w="833" w:type="pct"/>
            <w:vAlign w:val="center"/>
          </w:tcPr>
          <w:p>
            <w:pPr>
              <w:widowControl/>
              <w:ind w:firstLine="360"/>
              <w:jc w:val="center"/>
              <w:rPr>
                <w:rFonts w:cs="Times New Roman"/>
                <w:color w:val="auto"/>
                <w:kern w:val="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33" w:type="pct"/>
            <w:vMerge w:val="continue"/>
            <w:shd w:val="clear" w:color="auto" w:fill="auto"/>
            <w:vAlign w:val="center"/>
          </w:tcPr>
          <w:p>
            <w:pPr>
              <w:widowControl/>
              <w:ind w:firstLine="360"/>
              <w:jc w:val="center"/>
              <w:rPr>
                <w:rFonts w:cs="Times New Roman"/>
                <w:color w:val="auto"/>
                <w:kern w:val="0"/>
                <w:sz w:val="18"/>
                <w:szCs w:val="18"/>
                <w:highlight w:val="none"/>
              </w:rPr>
            </w:pPr>
          </w:p>
        </w:tc>
        <w:tc>
          <w:tcPr>
            <w:tcW w:w="1343" w:type="pct"/>
            <w:vAlign w:val="center"/>
          </w:tcPr>
          <w:p>
            <w:pPr>
              <w:widowControl/>
              <w:ind w:firstLine="360"/>
              <w:jc w:val="center"/>
              <w:rPr>
                <w:rFonts w:cs="Times New Roman"/>
                <w:color w:val="auto"/>
                <w:kern w:val="0"/>
                <w:sz w:val="18"/>
                <w:szCs w:val="18"/>
                <w:highlight w:val="none"/>
              </w:rPr>
            </w:pPr>
            <w:r>
              <w:rPr>
                <w:rFonts w:cs="Times New Roman"/>
                <w:color w:val="auto"/>
                <w:kern w:val="0"/>
                <w:sz w:val="18"/>
                <w:szCs w:val="18"/>
                <w:highlight w:val="none"/>
              </w:rPr>
              <w:t>正常蓄水</w:t>
            </w:r>
          </w:p>
        </w:tc>
        <w:tc>
          <w:tcPr>
            <w:tcW w:w="494" w:type="pct"/>
            <w:vAlign w:val="center"/>
          </w:tcPr>
          <w:p>
            <w:pPr>
              <w:widowControl/>
              <w:ind w:firstLine="360"/>
              <w:jc w:val="center"/>
              <w:rPr>
                <w:rFonts w:cs="Times New Roman"/>
                <w:color w:val="auto"/>
                <w:kern w:val="0"/>
                <w:sz w:val="18"/>
                <w:szCs w:val="18"/>
                <w:highlight w:val="none"/>
              </w:rPr>
            </w:pPr>
            <w:r>
              <w:rPr>
                <w:rFonts w:cs="Times New Roman"/>
                <w:color w:val="auto"/>
                <w:kern w:val="0"/>
                <w:sz w:val="18"/>
                <w:szCs w:val="18"/>
                <w:highlight w:val="none"/>
              </w:rPr>
              <w:t>√</w:t>
            </w:r>
          </w:p>
        </w:tc>
        <w:tc>
          <w:tcPr>
            <w:tcW w:w="833" w:type="pct"/>
            <w:vAlign w:val="center"/>
          </w:tcPr>
          <w:p>
            <w:pPr>
              <w:widowControl/>
              <w:ind w:firstLine="360"/>
              <w:jc w:val="center"/>
              <w:rPr>
                <w:rFonts w:cs="Times New Roman"/>
                <w:color w:val="auto"/>
                <w:kern w:val="0"/>
                <w:sz w:val="18"/>
                <w:szCs w:val="18"/>
                <w:highlight w:val="none"/>
              </w:rPr>
            </w:pPr>
            <w:r>
              <w:rPr>
                <w:rFonts w:cs="Times New Roman"/>
                <w:color w:val="auto"/>
                <w:kern w:val="0"/>
                <w:sz w:val="18"/>
                <w:szCs w:val="18"/>
                <w:highlight w:val="none"/>
              </w:rPr>
              <w:t>√</w:t>
            </w:r>
          </w:p>
        </w:tc>
        <w:tc>
          <w:tcPr>
            <w:tcW w:w="664" w:type="pct"/>
            <w:vAlign w:val="center"/>
          </w:tcPr>
          <w:p>
            <w:pPr>
              <w:widowControl/>
              <w:ind w:firstLine="360"/>
              <w:jc w:val="center"/>
              <w:rPr>
                <w:rFonts w:cs="Times New Roman"/>
                <w:color w:val="auto"/>
                <w:kern w:val="0"/>
                <w:sz w:val="18"/>
                <w:szCs w:val="18"/>
                <w:highlight w:val="none"/>
              </w:rPr>
            </w:pPr>
            <w:r>
              <w:rPr>
                <w:rFonts w:cs="Times New Roman"/>
                <w:color w:val="auto"/>
                <w:kern w:val="0"/>
                <w:sz w:val="18"/>
                <w:szCs w:val="18"/>
                <w:highlight w:val="none"/>
              </w:rPr>
              <w:t>√</w:t>
            </w:r>
          </w:p>
        </w:tc>
        <w:tc>
          <w:tcPr>
            <w:tcW w:w="833" w:type="pct"/>
            <w:vAlign w:val="center"/>
          </w:tcPr>
          <w:p>
            <w:pPr>
              <w:widowControl/>
              <w:ind w:firstLine="360"/>
              <w:jc w:val="center"/>
              <w:rPr>
                <w:rFonts w:cs="Times New Roman"/>
                <w:color w:val="auto"/>
                <w:kern w:val="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33" w:type="pct"/>
            <w:vMerge w:val="continue"/>
            <w:shd w:val="clear" w:color="auto" w:fill="auto"/>
            <w:vAlign w:val="center"/>
          </w:tcPr>
          <w:p>
            <w:pPr>
              <w:widowControl/>
              <w:ind w:firstLine="360"/>
              <w:jc w:val="center"/>
              <w:rPr>
                <w:rFonts w:cs="Times New Roman"/>
                <w:color w:val="auto"/>
                <w:kern w:val="0"/>
                <w:sz w:val="18"/>
                <w:szCs w:val="18"/>
                <w:highlight w:val="none"/>
              </w:rPr>
            </w:pPr>
          </w:p>
        </w:tc>
        <w:tc>
          <w:tcPr>
            <w:tcW w:w="1343" w:type="pct"/>
            <w:vAlign w:val="center"/>
          </w:tcPr>
          <w:p>
            <w:pPr>
              <w:widowControl/>
              <w:ind w:firstLine="360"/>
              <w:jc w:val="center"/>
              <w:rPr>
                <w:rFonts w:cs="Times New Roman"/>
                <w:color w:val="auto"/>
                <w:kern w:val="0"/>
                <w:sz w:val="18"/>
                <w:szCs w:val="18"/>
                <w:highlight w:val="none"/>
              </w:rPr>
            </w:pPr>
            <w:r>
              <w:rPr>
                <w:rFonts w:cs="Times New Roman"/>
                <w:color w:val="auto"/>
                <w:kern w:val="0"/>
                <w:sz w:val="18"/>
                <w:szCs w:val="18"/>
                <w:highlight w:val="none"/>
              </w:rPr>
              <w:t>设计洪水</w:t>
            </w:r>
          </w:p>
        </w:tc>
        <w:tc>
          <w:tcPr>
            <w:tcW w:w="494" w:type="pct"/>
            <w:vAlign w:val="center"/>
          </w:tcPr>
          <w:p>
            <w:pPr>
              <w:widowControl/>
              <w:ind w:firstLine="360"/>
              <w:jc w:val="center"/>
              <w:rPr>
                <w:rFonts w:cs="Times New Roman"/>
                <w:color w:val="auto"/>
                <w:kern w:val="0"/>
                <w:sz w:val="18"/>
                <w:szCs w:val="18"/>
                <w:highlight w:val="none"/>
              </w:rPr>
            </w:pPr>
            <w:r>
              <w:rPr>
                <w:rFonts w:cs="Times New Roman"/>
                <w:color w:val="auto"/>
                <w:kern w:val="0"/>
                <w:sz w:val="18"/>
                <w:szCs w:val="18"/>
                <w:highlight w:val="none"/>
              </w:rPr>
              <w:t>√</w:t>
            </w:r>
          </w:p>
        </w:tc>
        <w:tc>
          <w:tcPr>
            <w:tcW w:w="833" w:type="pct"/>
            <w:vAlign w:val="center"/>
          </w:tcPr>
          <w:p>
            <w:pPr>
              <w:widowControl/>
              <w:ind w:firstLine="360"/>
              <w:jc w:val="center"/>
              <w:rPr>
                <w:rFonts w:cs="Times New Roman"/>
                <w:color w:val="auto"/>
                <w:kern w:val="0"/>
                <w:sz w:val="18"/>
                <w:szCs w:val="18"/>
                <w:highlight w:val="none"/>
              </w:rPr>
            </w:pPr>
            <w:r>
              <w:rPr>
                <w:rFonts w:cs="Times New Roman"/>
                <w:color w:val="auto"/>
                <w:kern w:val="0"/>
                <w:sz w:val="18"/>
                <w:szCs w:val="18"/>
                <w:highlight w:val="none"/>
              </w:rPr>
              <w:t>√</w:t>
            </w:r>
          </w:p>
        </w:tc>
        <w:tc>
          <w:tcPr>
            <w:tcW w:w="664" w:type="pct"/>
            <w:vAlign w:val="center"/>
          </w:tcPr>
          <w:p>
            <w:pPr>
              <w:widowControl/>
              <w:ind w:firstLine="360"/>
              <w:jc w:val="center"/>
              <w:rPr>
                <w:rFonts w:cs="Times New Roman"/>
                <w:color w:val="auto"/>
                <w:kern w:val="0"/>
                <w:sz w:val="18"/>
                <w:szCs w:val="18"/>
                <w:highlight w:val="none"/>
              </w:rPr>
            </w:pPr>
            <w:r>
              <w:rPr>
                <w:rFonts w:cs="Times New Roman"/>
                <w:color w:val="auto"/>
                <w:kern w:val="0"/>
                <w:sz w:val="18"/>
                <w:szCs w:val="18"/>
                <w:highlight w:val="none"/>
              </w:rPr>
              <w:t>√</w:t>
            </w:r>
          </w:p>
        </w:tc>
        <w:tc>
          <w:tcPr>
            <w:tcW w:w="833" w:type="pct"/>
            <w:vAlign w:val="center"/>
          </w:tcPr>
          <w:p>
            <w:pPr>
              <w:widowControl/>
              <w:ind w:firstLine="360"/>
              <w:jc w:val="center"/>
              <w:rPr>
                <w:rFonts w:cs="Times New Roman"/>
                <w:color w:val="auto"/>
                <w:kern w:val="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33" w:type="pct"/>
            <w:vMerge w:val="restart"/>
            <w:shd w:val="clear" w:color="auto" w:fill="auto"/>
            <w:vAlign w:val="center"/>
          </w:tcPr>
          <w:p>
            <w:pPr>
              <w:widowControl/>
              <w:ind w:firstLine="0" w:firstLineChars="0"/>
              <w:rPr>
                <w:rFonts w:cs="Times New Roman"/>
                <w:color w:val="auto"/>
                <w:kern w:val="0"/>
                <w:sz w:val="18"/>
                <w:szCs w:val="18"/>
                <w:highlight w:val="none"/>
              </w:rPr>
            </w:pPr>
            <w:r>
              <w:rPr>
                <w:rFonts w:cs="Times New Roman"/>
                <w:color w:val="auto"/>
                <w:kern w:val="0"/>
                <w:sz w:val="18"/>
                <w:szCs w:val="18"/>
                <w:highlight w:val="none"/>
              </w:rPr>
              <w:t>特殊组合</w:t>
            </w:r>
          </w:p>
        </w:tc>
        <w:tc>
          <w:tcPr>
            <w:tcW w:w="1343" w:type="pct"/>
            <w:vAlign w:val="center"/>
          </w:tcPr>
          <w:p>
            <w:pPr>
              <w:widowControl/>
              <w:ind w:firstLine="360"/>
              <w:jc w:val="center"/>
              <w:rPr>
                <w:rFonts w:cs="Times New Roman"/>
                <w:color w:val="auto"/>
                <w:kern w:val="0"/>
                <w:sz w:val="18"/>
                <w:szCs w:val="18"/>
                <w:highlight w:val="none"/>
              </w:rPr>
            </w:pPr>
            <w:r>
              <w:rPr>
                <w:rFonts w:cs="Times New Roman"/>
                <w:color w:val="auto"/>
                <w:kern w:val="0"/>
                <w:sz w:val="18"/>
                <w:szCs w:val="18"/>
                <w:highlight w:val="none"/>
              </w:rPr>
              <w:t>校核洪水</w:t>
            </w:r>
          </w:p>
        </w:tc>
        <w:tc>
          <w:tcPr>
            <w:tcW w:w="494" w:type="pct"/>
            <w:vAlign w:val="center"/>
          </w:tcPr>
          <w:p>
            <w:pPr>
              <w:widowControl/>
              <w:ind w:firstLine="360"/>
              <w:jc w:val="center"/>
              <w:rPr>
                <w:rFonts w:cs="Times New Roman"/>
                <w:color w:val="auto"/>
                <w:kern w:val="0"/>
                <w:sz w:val="18"/>
                <w:szCs w:val="18"/>
                <w:highlight w:val="none"/>
              </w:rPr>
            </w:pPr>
            <w:r>
              <w:rPr>
                <w:rFonts w:cs="Times New Roman"/>
                <w:color w:val="auto"/>
                <w:kern w:val="0"/>
                <w:sz w:val="18"/>
                <w:szCs w:val="18"/>
                <w:highlight w:val="none"/>
              </w:rPr>
              <w:t>√</w:t>
            </w:r>
          </w:p>
        </w:tc>
        <w:tc>
          <w:tcPr>
            <w:tcW w:w="833" w:type="pct"/>
            <w:vAlign w:val="center"/>
          </w:tcPr>
          <w:p>
            <w:pPr>
              <w:widowControl/>
              <w:ind w:firstLine="360"/>
              <w:jc w:val="center"/>
              <w:rPr>
                <w:rFonts w:cs="Times New Roman"/>
                <w:color w:val="auto"/>
                <w:kern w:val="0"/>
                <w:sz w:val="18"/>
                <w:szCs w:val="18"/>
                <w:highlight w:val="none"/>
              </w:rPr>
            </w:pPr>
            <w:r>
              <w:rPr>
                <w:rFonts w:cs="Times New Roman"/>
                <w:color w:val="auto"/>
                <w:kern w:val="0"/>
                <w:sz w:val="18"/>
                <w:szCs w:val="18"/>
                <w:highlight w:val="none"/>
              </w:rPr>
              <w:t>√</w:t>
            </w:r>
          </w:p>
        </w:tc>
        <w:tc>
          <w:tcPr>
            <w:tcW w:w="664" w:type="pct"/>
            <w:vAlign w:val="center"/>
          </w:tcPr>
          <w:p>
            <w:pPr>
              <w:widowControl/>
              <w:ind w:firstLine="360"/>
              <w:jc w:val="center"/>
              <w:rPr>
                <w:rFonts w:cs="Times New Roman"/>
                <w:color w:val="auto"/>
                <w:kern w:val="0"/>
                <w:sz w:val="18"/>
                <w:szCs w:val="18"/>
                <w:highlight w:val="none"/>
              </w:rPr>
            </w:pPr>
            <w:r>
              <w:rPr>
                <w:rFonts w:cs="Times New Roman"/>
                <w:color w:val="auto"/>
                <w:kern w:val="0"/>
                <w:sz w:val="18"/>
                <w:szCs w:val="18"/>
                <w:highlight w:val="none"/>
              </w:rPr>
              <w:t>√</w:t>
            </w:r>
          </w:p>
        </w:tc>
        <w:tc>
          <w:tcPr>
            <w:tcW w:w="833" w:type="pct"/>
            <w:vAlign w:val="center"/>
          </w:tcPr>
          <w:p>
            <w:pPr>
              <w:widowControl/>
              <w:ind w:firstLine="360"/>
              <w:jc w:val="center"/>
              <w:rPr>
                <w:rFonts w:cs="Times New Roman"/>
                <w:color w:val="auto"/>
                <w:kern w:val="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33" w:type="pct"/>
            <w:vMerge w:val="continue"/>
            <w:vAlign w:val="center"/>
          </w:tcPr>
          <w:p>
            <w:pPr>
              <w:widowControl/>
              <w:ind w:firstLine="360"/>
              <w:jc w:val="center"/>
              <w:rPr>
                <w:rFonts w:cs="Times New Roman"/>
                <w:color w:val="auto"/>
                <w:kern w:val="0"/>
                <w:sz w:val="18"/>
                <w:szCs w:val="18"/>
                <w:highlight w:val="none"/>
              </w:rPr>
            </w:pPr>
          </w:p>
        </w:tc>
        <w:tc>
          <w:tcPr>
            <w:tcW w:w="1343" w:type="pct"/>
            <w:vAlign w:val="center"/>
          </w:tcPr>
          <w:p>
            <w:pPr>
              <w:widowControl/>
              <w:ind w:firstLine="360"/>
              <w:jc w:val="center"/>
              <w:rPr>
                <w:rFonts w:cs="Times New Roman"/>
                <w:color w:val="auto"/>
                <w:kern w:val="0"/>
                <w:sz w:val="18"/>
                <w:szCs w:val="18"/>
                <w:highlight w:val="none"/>
              </w:rPr>
            </w:pPr>
            <w:r>
              <w:rPr>
                <w:rFonts w:cs="Times New Roman"/>
                <w:color w:val="auto"/>
                <w:kern w:val="0"/>
                <w:sz w:val="18"/>
                <w:szCs w:val="18"/>
                <w:highlight w:val="none"/>
              </w:rPr>
              <w:t>地震情况</w:t>
            </w:r>
          </w:p>
        </w:tc>
        <w:tc>
          <w:tcPr>
            <w:tcW w:w="494" w:type="pct"/>
            <w:vAlign w:val="center"/>
          </w:tcPr>
          <w:p>
            <w:pPr>
              <w:widowControl/>
              <w:ind w:firstLine="360"/>
              <w:jc w:val="center"/>
              <w:rPr>
                <w:rFonts w:cs="Times New Roman"/>
                <w:color w:val="auto"/>
                <w:kern w:val="0"/>
                <w:sz w:val="18"/>
                <w:szCs w:val="18"/>
                <w:highlight w:val="none"/>
              </w:rPr>
            </w:pPr>
            <w:r>
              <w:rPr>
                <w:rFonts w:cs="Times New Roman"/>
                <w:color w:val="auto"/>
                <w:kern w:val="0"/>
                <w:sz w:val="18"/>
                <w:szCs w:val="18"/>
                <w:highlight w:val="none"/>
              </w:rPr>
              <w:t>√</w:t>
            </w:r>
          </w:p>
        </w:tc>
        <w:tc>
          <w:tcPr>
            <w:tcW w:w="833" w:type="pct"/>
            <w:vAlign w:val="center"/>
          </w:tcPr>
          <w:p>
            <w:pPr>
              <w:widowControl/>
              <w:ind w:firstLine="360"/>
              <w:jc w:val="center"/>
              <w:rPr>
                <w:rFonts w:cs="Times New Roman"/>
                <w:color w:val="auto"/>
                <w:kern w:val="0"/>
                <w:sz w:val="18"/>
                <w:szCs w:val="18"/>
                <w:highlight w:val="none"/>
              </w:rPr>
            </w:pPr>
            <w:r>
              <w:rPr>
                <w:rFonts w:cs="Times New Roman"/>
                <w:color w:val="auto"/>
                <w:kern w:val="0"/>
                <w:sz w:val="18"/>
                <w:szCs w:val="18"/>
                <w:highlight w:val="none"/>
              </w:rPr>
              <w:t>√</w:t>
            </w:r>
          </w:p>
        </w:tc>
        <w:tc>
          <w:tcPr>
            <w:tcW w:w="664" w:type="pct"/>
            <w:vAlign w:val="center"/>
          </w:tcPr>
          <w:p>
            <w:pPr>
              <w:widowControl/>
              <w:ind w:firstLine="360"/>
              <w:jc w:val="center"/>
              <w:rPr>
                <w:rFonts w:cs="Times New Roman"/>
                <w:color w:val="auto"/>
                <w:kern w:val="0"/>
                <w:sz w:val="18"/>
                <w:szCs w:val="18"/>
                <w:highlight w:val="none"/>
              </w:rPr>
            </w:pPr>
            <w:r>
              <w:rPr>
                <w:rFonts w:cs="Times New Roman"/>
                <w:color w:val="auto"/>
                <w:kern w:val="0"/>
                <w:sz w:val="18"/>
                <w:szCs w:val="18"/>
                <w:highlight w:val="none"/>
              </w:rPr>
              <w:t>√</w:t>
            </w:r>
          </w:p>
        </w:tc>
        <w:tc>
          <w:tcPr>
            <w:tcW w:w="833" w:type="pct"/>
            <w:vAlign w:val="center"/>
          </w:tcPr>
          <w:p>
            <w:pPr>
              <w:widowControl/>
              <w:ind w:firstLine="360"/>
              <w:jc w:val="center"/>
              <w:rPr>
                <w:rFonts w:cs="Times New Roman"/>
                <w:color w:val="auto"/>
                <w:kern w:val="0"/>
                <w:sz w:val="18"/>
                <w:szCs w:val="18"/>
                <w:highlight w:val="none"/>
              </w:rPr>
            </w:pPr>
            <w:r>
              <w:rPr>
                <w:rFonts w:cs="Times New Roman"/>
                <w:color w:val="auto"/>
                <w:kern w:val="0"/>
                <w:sz w:val="18"/>
                <w:szCs w:val="18"/>
                <w:highlight w:val="none"/>
              </w:rPr>
              <w:t>√</w:t>
            </w:r>
          </w:p>
        </w:tc>
      </w:tr>
    </w:tbl>
    <w:p>
      <w:pPr>
        <w:ind w:firstLine="480"/>
        <w:rPr>
          <w:rFonts w:cs="Times New Roman"/>
          <w:color w:val="auto"/>
          <w:highlight w:val="none"/>
        </w:rPr>
      </w:pPr>
      <w:r>
        <w:rPr>
          <w:rFonts w:cs="Times New Roman"/>
          <w:color w:val="auto"/>
          <w:highlight w:val="none"/>
        </w:rPr>
        <w:t>（1）抗滑稳定计算</w:t>
      </w:r>
    </w:p>
    <w:p>
      <w:pPr>
        <w:ind w:firstLine="480"/>
        <w:rPr>
          <w:rFonts w:cs="Times New Roman"/>
          <w:color w:val="auto"/>
          <w:highlight w:val="none"/>
        </w:rPr>
      </w:pPr>
      <w:r>
        <w:rPr>
          <w:rFonts w:cs="Times New Roman"/>
          <w:color w:val="auto"/>
          <w:highlight w:val="none"/>
        </w:rPr>
        <w:t>采用计算公式如下：</w:t>
      </w:r>
    </w:p>
    <w:p>
      <w:pPr>
        <w:ind w:firstLine="480"/>
        <w:jc w:val="center"/>
        <w:rPr>
          <w:rFonts w:cs="Times New Roman"/>
          <w:color w:val="auto"/>
          <w:highlight w:val="none"/>
        </w:rPr>
      </w:pPr>
      <w:r>
        <w:rPr>
          <w:rFonts w:cs="Times New Roman"/>
          <w:color w:val="auto"/>
          <w:highlight w:val="none"/>
        </w:rPr>
        <w:object>
          <v:shape id="_x0000_i1027" o:spt="75" type="#_x0000_t75" style="height:40pt;width:69.5pt;" o:ole="t" filled="f" o:preferrelative="t" stroked="f" coordsize="21600,21600">
            <v:path/>
            <v:fill on="f" focussize="0,0"/>
            <v:stroke on="f" joinstyle="miter"/>
            <v:imagedata r:id="rId44" o:title=""/>
            <o:lock v:ext="edit" aspectratio="t"/>
            <w10:wrap type="none"/>
            <w10:anchorlock/>
          </v:shape>
          <o:OLEObject Type="Embed" ProgID="Equation.3" ShapeID="_x0000_i1027" DrawAspect="Content" ObjectID="_1468075727" r:id="rId43">
            <o:LockedField>false</o:LockedField>
          </o:OLEObject>
        </w:object>
      </w:r>
    </w:p>
    <w:p>
      <w:pPr>
        <w:ind w:firstLine="480"/>
        <w:rPr>
          <w:rFonts w:cs="Times New Roman"/>
          <w:color w:val="auto"/>
          <w:highlight w:val="none"/>
        </w:rPr>
      </w:pPr>
      <w:r>
        <w:rPr>
          <w:rFonts w:cs="Times New Roman"/>
          <w:color w:val="auto"/>
          <w:highlight w:val="none"/>
        </w:rPr>
        <w:t>式中：</w:t>
      </w:r>
      <w:r>
        <w:rPr>
          <w:rFonts w:cs="Times New Roman"/>
          <w:color w:val="auto"/>
          <w:highlight w:val="none"/>
        </w:rPr>
        <w:object>
          <v:shape id="_x0000_i1028" o:spt="75" type="#_x0000_t75" style="height:17.5pt;width:18.5pt;" o:ole="t" filled="f" o:preferrelative="t" stroked="f" coordsize="21600,21600">
            <v:path/>
            <v:fill on="f" focussize="0,0"/>
            <v:stroke on="f" joinstyle="miter"/>
            <v:imagedata r:id="rId46" o:title=""/>
            <o:lock v:ext="edit" aspectratio="t"/>
            <w10:wrap type="none"/>
            <w10:anchorlock/>
          </v:shape>
          <o:OLEObject Type="Embed" ProgID="Equation.3" ShapeID="_x0000_i1028" DrawAspect="Content" ObjectID="_1468075728" r:id="rId45">
            <o:LockedField>false</o:LockedField>
          </o:OLEObject>
        </w:object>
      </w:r>
      <w:r>
        <w:rPr>
          <w:rFonts w:cs="Times New Roman"/>
          <w:color w:val="auto"/>
          <w:highlight w:val="none"/>
        </w:rPr>
        <w:t>——沿底板基础底面的抗滑稳定安全系数；</w:t>
      </w:r>
    </w:p>
    <w:p>
      <w:pPr>
        <w:ind w:firstLine="1274" w:firstLineChars="531"/>
        <w:rPr>
          <w:rFonts w:cs="Times New Roman"/>
          <w:color w:val="auto"/>
          <w:highlight w:val="none"/>
        </w:rPr>
      </w:pPr>
      <w:r>
        <w:rPr>
          <w:rFonts w:cs="Times New Roman"/>
          <w:color w:val="auto"/>
          <w:highlight w:val="none"/>
        </w:rPr>
        <w:object>
          <v:shape id="_x0000_i1029" o:spt="75" type="#_x0000_t75" style="height:21.5pt;width:32.5pt;" o:ole="t" filled="f" o:preferrelative="t" stroked="f" coordsize="21600,21600">
            <v:path/>
            <v:fill on="f" focussize="0,0"/>
            <v:stroke on="f" joinstyle="miter"/>
            <v:imagedata r:id="rId48" o:title=""/>
            <o:lock v:ext="edit" aspectratio="t"/>
            <w10:wrap type="none"/>
            <w10:anchorlock/>
          </v:shape>
          <o:OLEObject Type="Embed" ProgID="Equation.3" ShapeID="_x0000_i1029" DrawAspect="Content" ObjectID="_1468075729" r:id="rId47">
            <o:LockedField>false</o:LockedField>
          </o:OLEObject>
        </w:object>
      </w:r>
      <w:r>
        <w:rPr>
          <w:rFonts w:cs="Times New Roman"/>
          <w:color w:val="auto"/>
          <w:highlight w:val="none"/>
        </w:rPr>
        <w:t>——作用在底板上的全部水平向荷载（kN）；</w:t>
      </w:r>
    </w:p>
    <w:p>
      <w:pPr>
        <w:ind w:firstLine="1274" w:firstLineChars="531"/>
        <w:rPr>
          <w:rFonts w:cs="Times New Roman"/>
          <w:color w:val="auto"/>
          <w:highlight w:val="none"/>
        </w:rPr>
      </w:pPr>
      <w:r>
        <w:rPr>
          <w:rFonts w:cs="Times New Roman"/>
          <w:color w:val="auto"/>
          <w:highlight w:val="none"/>
        </w:rPr>
        <w:object>
          <v:shape id="_x0000_i1030" o:spt="75" type="#_x0000_t75" style="height:15pt;width:8.5pt;" o:ole="t" filled="f" o:preferrelative="t" stroked="f" coordsize="21600,21600">
            <v:path/>
            <v:fill on="f" focussize="0,0"/>
            <v:stroke on="f" joinstyle="miter"/>
            <v:imagedata r:id="rId50" o:title=""/>
            <o:lock v:ext="edit" aspectratio="t"/>
            <w10:wrap type="none"/>
            <w10:anchorlock/>
          </v:shape>
          <o:OLEObject Type="Embed" ProgID="Equation.3" ShapeID="_x0000_i1030" DrawAspect="Content" ObjectID="_1468075730" r:id="rId49">
            <o:LockedField>false</o:LockedField>
          </o:OLEObject>
        </w:object>
      </w:r>
      <w:r>
        <w:rPr>
          <w:rFonts w:cs="Times New Roman"/>
          <w:color w:val="auto"/>
          <w:highlight w:val="none"/>
        </w:rPr>
        <w:tab/>
      </w:r>
      <w:r>
        <w:rPr>
          <w:rFonts w:cs="Times New Roman"/>
          <w:color w:val="auto"/>
          <w:highlight w:val="none"/>
        </w:rPr>
        <w:t>——底板基础底面与地基之间的抗滑摩擦系数，由地勘报告取值0.30。</w:t>
      </w:r>
    </w:p>
    <w:p>
      <w:pPr>
        <w:ind w:firstLine="480"/>
        <w:rPr>
          <w:rFonts w:cs="Times New Roman"/>
          <w:color w:val="auto"/>
          <w:highlight w:val="none"/>
        </w:rPr>
      </w:pPr>
      <w:r>
        <w:rPr>
          <w:rFonts w:cs="Times New Roman"/>
          <w:color w:val="auto"/>
          <w:highlight w:val="none"/>
        </w:rPr>
        <w:t>（2）基底应力计算</w:t>
      </w:r>
    </w:p>
    <w:p>
      <w:pPr>
        <w:ind w:firstLine="480"/>
        <w:rPr>
          <w:rFonts w:cs="Times New Roman"/>
          <w:color w:val="auto"/>
          <w:highlight w:val="none"/>
        </w:rPr>
      </w:pPr>
      <w:r>
        <w:rPr>
          <w:rFonts w:cs="Times New Roman"/>
          <w:color w:val="auto"/>
          <w:highlight w:val="none"/>
        </w:rPr>
        <w:t>采用计算公式如下：</w:t>
      </w:r>
    </w:p>
    <w:p>
      <w:pPr>
        <w:ind w:firstLine="480"/>
        <w:jc w:val="center"/>
        <w:rPr>
          <w:rFonts w:cs="Times New Roman"/>
          <w:color w:val="auto"/>
          <w:highlight w:val="none"/>
        </w:rPr>
      </w:pPr>
      <w:r>
        <w:rPr>
          <w:rFonts w:cs="Times New Roman"/>
          <w:color w:val="auto"/>
          <w:highlight w:val="none"/>
        </w:rPr>
        <w:object>
          <v:shape id="_x0000_i1031" o:spt="75" type="#_x0000_t75" style="height:37.5pt;width:104.5pt;" o:ole="t" filled="f" o:preferrelative="t" stroked="f" coordsize="21600,21600">
            <v:path/>
            <v:fill on="f" focussize="0,0"/>
            <v:stroke on="f" joinstyle="miter"/>
            <v:imagedata r:id="rId52" o:title=""/>
            <o:lock v:ext="edit" aspectratio="t"/>
            <w10:wrap type="none"/>
            <w10:anchorlock/>
          </v:shape>
          <o:OLEObject Type="Embed" ProgID="Equation.3" ShapeID="_x0000_i1031" DrawAspect="Content" ObjectID="_1468075731" r:id="rId51">
            <o:LockedField>false</o:LockedField>
          </o:OLEObject>
        </w:object>
      </w:r>
    </w:p>
    <w:p>
      <w:pPr>
        <w:ind w:firstLine="480"/>
        <w:rPr>
          <w:rFonts w:cs="Times New Roman"/>
          <w:color w:val="auto"/>
          <w:highlight w:val="none"/>
        </w:rPr>
      </w:pPr>
      <w:r>
        <w:rPr>
          <w:rFonts w:cs="Times New Roman"/>
          <w:color w:val="auto"/>
          <w:highlight w:val="none"/>
        </w:rPr>
        <w:t>式中：</w:t>
      </w:r>
      <w:r>
        <w:rPr>
          <w:rFonts w:cs="Times New Roman"/>
          <w:color w:val="auto"/>
          <w:highlight w:val="none"/>
        </w:rPr>
        <w:object>
          <v:shape id="_x0000_i1032" o:spt="75" type="#_x0000_t75" style="height:27pt;width:26pt;" o:ole="t" filled="f" o:preferrelative="t" stroked="f" coordsize="21600,21600">
            <v:path/>
            <v:fill on="f" focussize="0,0"/>
            <v:stroke on="f" joinstyle="miter"/>
            <v:imagedata r:id="rId54" o:title=""/>
            <o:lock v:ext="edit" aspectratio="t"/>
            <w10:wrap type="none"/>
            <w10:anchorlock/>
          </v:shape>
          <o:OLEObject Type="Embed" ProgID="Equation.3" ShapeID="_x0000_i1032" DrawAspect="Content" ObjectID="_1468075732" r:id="rId53">
            <o:LockedField>false</o:LockedField>
          </o:OLEObject>
        </w:object>
      </w:r>
      <w:r>
        <w:rPr>
          <w:rFonts w:cs="Times New Roman"/>
          <w:color w:val="auto"/>
          <w:highlight w:val="none"/>
        </w:rPr>
        <w:t xml:space="preserve"> ——基底应力的最大值或最小值（kPa）；</w:t>
      </w:r>
    </w:p>
    <w:p>
      <w:pPr>
        <w:ind w:firstLine="1274" w:firstLineChars="531"/>
        <w:rPr>
          <w:rFonts w:cs="Times New Roman"/>
          <w:color w:val="auto"/>
          <w:highlight w:val="none"/>
        </w:rPr>
      </w:pPr>
      <w:r>
        <w:rPr>
          <w:rFonts w:cs="Times New Roman"/>
          <w:color w:val="auto"/>
          <w:highlight w:val="none"/>
        </w:rPr>
        <w:object>
          <v:shape id="_x0000_i1033" o:spt="75" type="#_x0000_t75" style="height:21.5pt;width:27pt;" o:ole="t" filled="f" o:preferrelative="t" stroked="f" coordsize="21600,21600">
            <v:path/>
            <v:fill on="f" focussize="0,0"/>
            <v:stroke on="f" joinstyle="miter"/>
            <v:imagedata r:id="rId56" o:title=""/>
            <o:lock v:ext="edit" aspectratio="t"/>
            <w10:wrap type="none"/>
            <w10:anchorlock/>
          </v:shape>
          <o:OLEObject Type="Embed" ProgID="Equation.3" ShapeID="_x0000_i1033" DrawAspect="Content" ObjectID="_1468075733" r:id="rId55">
            <o:LockedField>false</o:LockedField>
          </o:OLEObject>
        </w:object>
      </w:r>
      <w:r>
        <w:rPr>
          <w:rFonts w:cs="Times New Roman"/>
          <w:color w:val="auto"/>
          <w:highlight w:val="none"/>
        </w:rPr>
        <w:tab/>
      </w:r>
      <w:r>
        <w:rPr>
          <w:rFonts w:cs="Times New Roman"/>
          <w:color w:val="auto"/>
          <w:highlight w:val="none"/>
        </w:rPr>
        <w:t>——作用在底板上的全部竖向荷载（kN）；</w:t>
      </w:r>
    </w:p>
    <w:p>
      <w:pPr>
        <w:ind w:firstLine="1274" w:firstLineChars="531"/>
        <w:rPr>
          <w:rFonts w:cs="Times New Roman"/>
          <w:color w:val="auto"/>
          <w:highlight w:val="none"/>
        </w:rPr>
      </w:pPr>
      <w:r>
        <w:rPr>
          <w:rFonts w:cs="Times New Roman"/>
          <w:color w:val="auto"/>
          <w:highlight w:val="none"/>
        </w:rPr>
        <w:object>
          <v:shape id="_x0000_i1034" o:spt="75" type="#_x0000_t75" style="height:21.5pt;width:32.5pt;" o:ole="t" filled="f" o:preferrelative="t" stroked="f" coordsize="21600,21600">
            <v:path/>
            <v:fill on="f" focussize="0,0"/>
            <v:stroke on="f" joinstyle="miter"/>
            <v:imagedata r:id="rId58" o:title=""/>
            <o:lock v:ext="edit" aspectratio="t"/>
            <w10:wrap type="none"/>
            <w10:anchorlock/>
          </v:shape>
          <o:OLEObject Type="Embed" ProgID="Equation.3" ShapeID="_x0000_i1034" DrawAspect="Content" ObjectID="_1468075734" r:id="rId57">
            <o:LockedField>false</o:LockedField>
          </o:OLEObject>
        </w:object>
      </w:r>
      <w:r>
        <w:rPr>
          <w:rFonts w:cs="Times New Roman"/>
          <w:color w:val="auto"/>
          <w:highlight w:val="none"/>
        </w:rPr>
        <w:t>——作用在底板上的全部竖向和水平荷载对于基础底面垂直水流方向的形心轴的力矩（kN·m）；</w:t>
      </w:r>
    </w:p>
    <w:p>
      <w:pPr>
        <w:ind w:firstLine="1274" w:firstLineChars="531"/>
        <w:rPr>
          <w:rFonts w:cs="Times New Roman"/>
          <w:color w:val="auto"/>
          <w:highlight w:val="none"/>
        </w:rPr>
      </w:pPr>
      <w:r>
        <w:rPr>
          <w:rFonts w:cs="Times New Roman"/>
          <w:color w:val="auto"/>
          <w:highlight w:val="none"/>
        </w:rPr>
        <w:t>A——底板基础底面的面积（m</w:t>
      </w:r>
      <w:r>
        <w:rPr>
          <w:rFonts w:cs="Times New Roman"/>
          <w:color w:val="auto"/>
          <w:highlight w:val="none"/>
          <w:vertAlign w:val="superscript"/>
        </w:rPr>
        <w:t>2</w:t>
      </w:r>
      <w:r>
        <w:rPr>
          <w:rFonts w:cs="Times New Roman"/>
          <w:color w:val="auto"/>
          <w:highlight w:val="none"/>
        </w:rPr>
        <w:t>）；</w:t>
      </w:r>
    </w:p>
    <w:p>
      <w:pPr>
        <w:ind w:firstLine="1274" w:firstLineChars="531"/>
        <w:rPr>
          <w:rFonts w:cs="Times New Roman"/>
          <w:color w:val="auto"/>
          <w:highlight w:val="none"/>
        </w:rPr>
      </w:pPr>
      <w:r>
        <w:rPr>
          <w:rFonts w:cs="Times New Roman"/>
          <w:color w:val="auto"/>
          <w:highlight w:val="none"/>
        </w:rPr>
        <w:t>W——底板基础底面对于该底面垂直水流方向的形心轴的截面矩（m</w:t>
      </w:r>
      <w:r>
        <w:rPr>
          <w:rFonts w:cs="Times New Roman"/>
          <w:color w:val="auto"/>
          <w:highlight w:val="none"/>
          <w:vertAlign w:val="superscript"/>
        </w:rPr>
        <w:t>3</w:t>
      </w:r>
      <w:r>
        <w:rPr>
          <w:rFonts w:cs="Times New Roman"/>
          <w:color w:val="auto"/>
          <w:highlight w:val="none"/>
        </w:rPr>
        <w:t>）。</w:t>
      </w:r>
    </w:p>
    <w:p>
      <w:pPr>
        <w:ind w:firstLine="480"/>
        <w:rPr>
          <w:rFonts w:cs="Times New Roman"/>
          <w:color w:val="auto"/>
          <w:highlight w:val="none"/>
        </w:rPr>
      </w:pPr>
      <w:r>
        <w:rPr>
          <w:rFonts w:cs="Times New Roman"/>
          <w:color w:val="auto"/>
          <w:highlight w:val="none"/>
        </w:rPr>
        <w:t>（3）计算结果</w:t>
      </w:r>
    </w:p>
    <w:p>
      <w:pPr>
        <w:ind w:firstLine="480"/>
        <w:rPr>
          <w:rFonts w:cs="Times New Roman"/>
          <w:color w:val="auto"/>
          <w:highlight w:val="none"/>
        </w:rPr>
      </w:pPr>
      <w:r>
        <w:rPr>
          <w:rFonts w:cs="Times New Roman"/>
          <w:color w:val="auto"/>
          <w:highlight w:val="none"/>
        </w:rPr>
        <w:t>各种荷载组合下的计算结果见下表：</w:t>
      </w:r>
    </w:p>
    <w:p>
      <w:pPr>
        <w:ind w:firstLine="480"/>
        <w:jc w:val="center"/>
        <w:rPr>
          <w:rFonts w:eastAsia="黑体" w:cs="Times New Roman"/>
          <w:color w:val="auto"/>
          <w:szCs w:val="24"/>
          <w:highlight w:val="none"/>
        </w:rPr>
      </w:pPr>
      <w:r>
        <w:rPr>
          <w:rFonts w:eastAsia="黑体" w:cs="Times New Roman"/>
          <w:color w:val="auto"/>
          <w:szCs w:val="24"/>
          <w:highlight w:val="none"/>
        </w:rPr>
        <w:t>表5.8-5橡胶坝稳定计算成果表</w:t>
      </w:r>
    </w:p>
    <w:tbl>
      <w:tblPr>
        <w:tblStyle w:val="33"/>
        <w:tblW w:w="8906"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851"/>
        <w:gridCol w:w="1111"/>
        <w:gridCol w:w="1111"/>
        <w:gridCol w:w="1093"/>
        <w:gridCol w:w="1001"/>
        <w:gridCol w:w="895"/>
        <w:gridCol w:w="1001"/>
        <w:gridCol w:w="1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1008" w:type="dxa"/>
            <w:vMerge w:val="restart"/>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名称</w:t>
            </w:r>
          </w:p>
        </w:tc>
        <w:tc>
          <w:tcPr>
            <w:tcW w:w="1366" w:type="dxa"/>
            <w:vMerge w:val="restart"/>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计算情况</w:t>
            </w:r>
          </w:p>
        </w:tc>
        <w:tc>
          <w:tcPr>
            <w:tcW w:w="6532" w:type="dxa"/>
            <w:gridSpan w:val="7"/>
            <w:shd w:val="clear" w:color="auto" w:fill="auto"/>
            <w:vAlign w:val="center"/>
          </w:tcPr>
          <w:p>
            <w:pPr>
              <w:pStyle w:val="160"/>
              <w:spacing w:before="97"/>
              <w:ind w:firstLine="400"/>
              <w:jc w:val="center"/>
              <w:rPr>
                <w:rFonts w:ascii="Times New Roman" w:hAnsi="Times New Roman" w:cs="Times New Roman"/>
                <w:color w:val="auto"/>
                <w:highlight w:val="none"/>
              </w:rPr>
            </w:pPr>
            <w:r>
              <w:rPr>
                <w:rFonts w:ascii="Times New Roman" w:hAnsi="Times New Roman" w:cs="Times New Roman"/>
                <w:color w:val="auto"/>
                <w:highlight w:val="none"/>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1008" w:type="dxa"/>
            <w:vMerge w:val="continue"/>
            <w:vAlign w:val="center"/>
          </w:tcPr>
          <w:p>
            <w:pPr>
              <w:pStyle w:val="160"/>
              <w:spacing w:before="97"/>
              <w:ind w:firstLine="400"/>
              <w:rPr>
                <w:rFonts w:ascii="Times New Roman" w:hAnsi="Times New Roman" w:cs="Times New Roman"/>
                <w:color w:val="auto"/>
                <w:highlight w:val="none"/>
              </w:rPr>
            </w:pPr>
          </w:p>
        </w:tc>
        <w:tc>
          <w:tcPr>
            <w:tcW w:w="1366" w:type="dxa"/>
            <w:vMerge w:val="continue"/>
            <w:vAlign w:val="center"/>
          </w:tcPr>
          <w:p>
            <w:pPr>
              <w:pStyle w:val="160"/>
              <w:spacing w:before="97"/>
              <w:ind w:firstLine="400"/>
              <w:rPr>
                <w:rFonts w:ascii="Times New Roman" w:hAnsi="Times New Roman" w:cs="Times New Roman"/>
                <w:color w:val="auto"/>
                <w:highlight w:val="none"/>
              </w:rPr>
            </w:pPr>
          </w:p>
        </w:tc>
        <w:tc>
          <w:tcPr>
            <w:tcW w:w="1711" w:type="dxa"/>
            <w:gridSpan w:val="2"/>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基底应力(kPa)</w:t>
            </w:r>
          </w:p>
        </w:tc>
        <w:tc>
          <w:tcPr>
            <w:tcW w:w="898" w:type="dxa"/>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承载力</w:t>
            </w:r>
          </w:p>
        </w:tc>
        <w:tc>
          <w:tcPr>
            <w:tcW w:w="1960" w:type="dxa"/>
            <w:gridSpan w:val="2"/>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不均匀系数</w:t>
            </w:r>
          </w:p>
        </w:tc>
        <w:tc>
          <w:tcPr>
            <w:tcW w:w="1963" w:type="dxa"/>
            <w:gridSpan w:val="2"/>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抗滑稳定安全系数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1008" w:type="dxa"/>
            <w:vMerge w:val="continue"/>
            <w:vAlign w:val="center"/>
          </w:tcPr>
          <w:p>
            <w:pPr>
              <w:pStyle w:val="160"/>
              <w:spacing w:before="97"/>
              <w:ind w:firstLine="400"/>
              <w:rPr>
                <w:rFonts w:ascii="Times New Roman" w:hAnsi="Times New Roman" w:cs="Times New Roman"/>
                <w:color w:val="auto"/>
                <w:highlight w:val="none"/>
              </w:rPr>
            </w:pPr>
          </w:p>
        </w:tc>
        <w:tc>
          <w:tcPr>
            <w:tcW w:w="1366" w:type="dxa"/>
            <w:vMerge w:val="continue"/>
            <w:vAlign w:val="center"/>
          </w:tcPr>
          <w:p>
            <w:pPr>
              <w:pStyle w:val="160"/>
              <w:spacing w:before="97"/>
              <w:ind w:firstLine="400"/>
              <w:rPr>
                <w:rFonts w:ascii="Times New Roman" w:hAnsi="Times New Roman" w:cs="Times New Roman"/>
                <w:color w:val="auto"/>
                <w:highlight w:val="none"/>
              </w:rPr>
            </w:pPr>
          </w:p>
        </w:tc>
        <w:tc>
          <w:tcPr>
            <w:tcW w:w="920" w:type="dxa"/>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σ</w:t>
            </w:r>
            <w:r>
              <w:rPr>
                <w:rFonts w:ascii="Times New Roman" w:hAnsi="Times New Roman" w:cs="Times New Roman"/>
                <w:color w:val="auto"/>
                <w:highlight w:val="none"/>
                <w:vertAlign w:val="subscript"/>
              </w:rPr>
              <w:t>max</w:t>
            </w:r>
          </w:p>
        </w:tc>
        <w:tc>
          <w:tcPr>
            <w:tcW w:w="791" w:type="dxa"/>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σ</w:t>
            </w:r>
            <w:r>
              <w:rPr>
                <w:rFonts w:ascii="Times New Roman" w:hAnsi="Times New Roman" w:cs="Times New Roman"/>
                <w:color w:val="auto"/>
                <w:highlight w:val="none"/>
                <w:vertAlign w:val="subscript"/>
              </w:rPr>
              <w:t>min</w:t>
            </w:r>
          </w:p>
        </w:tc>
        <w:tc>
          <w:tcPr>
            <w:tcW w:w="898" w:type="dxa"/>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(kPa)</w:t>
            </w:r>
          </w:p>
        </w:tc>
        <w:tc>
          <w:tcPr>
            <w:tcW w:w="942" w:type="dxa"/>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计算值</w:t>
            </w:r>
          </w:p>
        </w:tc>
        <w:tc>
          <w:tcPr>
            <w:tcW w:w="1018" w:type="dxa"/>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允许值</w:t>
            </w:r>
          </w:p>
        </w:tc>
        <w:tc>
          <w:tcPr>
            <w:tcW w:w="893" w:type="dxa"/>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计算值</w:t>
            </w:r>
          </w:p>
        </w:tc>
        <w:tc>
          <w:tcPr>
            <w:tcW w:w="1070" w:type="dxa"/>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允许值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1008" w:type="dxa"/>
            <w:vMerge w:val="restart"/>
            <w:shd w:val="clear" w:color="auto" w:fill="auto"/>
            <w:vAlign w:val="center"/>
          </w:tcPr>
          <w:p>
            <w:pPr>
              <w:pStyle w:val="160"/>
              <w:spacing w:before="97"/>
              <w:ind w:firstLine="400"/>
              <w:rPr>
                <w:rFonts w:ascii="Times New Roman" w:hAnsi="Times New Roman" w:cs="Times New Roman"/>
                <w:color w:val="auto"/>
                <w:highlight w:val="none"/>
                <w:lang w:eastAsia="zh-CN"/>
              </w:rPr>
            </w:pPr>
            <w:r>
              <w:rPr>
                <w:rFonts w:ascii="Times New Roman" w:hAnsi="Times New Roman" w:cs="Times New Roman"/>
                <w:color w:val="auto"/>
                <w:highlight w:val="none"/>
                <w:lang w:eastAsia="zh-CN"/>
              </w:rPr>
              <w:t>魏纪楼</w:t>
            </w:r>
          </w:p>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橡胶坝</w:t>
            </w:r>
          </w:p>
        </w:tc>
        <w:tc>
          <w:tcPr>
            <w:tcW w:w="1366" w:type="dxa"/>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施工完建</w:t>
            </w:r>
          </w:p>
        </w:tc>
        <w:tc>
          <w:tcPr>
            <w:tcW w:w="920" w:type="dxa"/>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25.30</w:t>
            </w:r>
          </w:p>
        </w:tc>
        <w:tc>
          <w:tcPr>
            <w:tcW w:w="791" w:type="dxa"/>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25.38</w:t>
            </w:r>
          </w:p>
        </w:tc>
        <w:tc>
          <w:tcPr>
            <w:tcW w:w="898" w:type="dxa"/>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160</w:t>
            </w:r>
          </w:p>
        </w:tc>
        <w:tc>
          <w:tcPr>
            <w:tcW w:w="942" w:type="dxa"/>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1.00</w:t>
            </w:r>
          </w:p>
        </w:tc>
        <w:tc>
          <w:tcPr>
            <w:tcW w:w="1018" w:type="dxa"/>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2.0</w:t>
            </w:r>
          </w:p>
        </w:tc>
        <w:tc>
          <w:tcPr>
            <w:tcW w:w="893" w:type="dxa"/>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w:t>
            </w:r>
          </w:p>
        </w:tc>
        <w:tc>
          <w:tcPr>
            <w:tcW w:w="1070" w:type="dxa"/>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1008" w:type="dxa"/>
            <w:vMerge w:val="continue"/>
            <w:vAlign w:val="center"/>
          </w:tcPr>
          <w:p>
            <w:pPr>
              <w:pStyle w:val="160"/>
              <w:spacing w:before="97"/>
              <w:ind w:firstLine="400"/>
              <w:rPr>
                <w:rFonts w:ascii="Times New Roman" w:hAnsi="Times New Roman" w:cs="Times New Roman"/>
                <w:color w:val="auto"/>
                <w:highlight w:val="none"/>
              </w:rPr>
            </w:pPr>
          </w:p>
        </w:tc>
        <w:tc>
          <w:tcPr>
            <w:tcW w:w="1366" w:type="dxa"/>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正常蓄水</w:t>
            </w:r>
          </w:p>
        </w:tc>
        <w:tc>
          <w:tcPr>
            <w:tcW w:w="920" w:type="dxa"/>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36.74</w:t>
            </w:r>
          </w:p>
        </w:tc>
        <w:tc>
          <w:tcPr>
            <w:tcW w:w="791" w:type="dxa"/>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28.59</w:t>
            </w:r>
          </w:p>
        </w:tc>
        <w:tc>
          <w:tcPr>
            <w:tcW w:w="898" w:type="dxa"/>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160</w:t>
            </w:r>
          </w:p>
        </w:tc>
        <w:tc>
          <w:tcPr>
            <w:tcW w:w="942" w:type="dxa"/>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1.30</w:t>
            </w:r>
          </w:p>
        </w:tc>
        <w:tc>
          <w:tcPr>
            <w:tcW w:w="1018" w:type="dxa"/>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2.0</w:t>
            </w:r>
          </w:p>
        </w:tc>
        <w:tc>
          <w:tcPr>
            <w:tcW w:w="893" w:type="dxa"/>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1.86</w:t>
            </w:r>
          </w:p>
        </w:tc>
        <w:tc>
          <w:tcPr>
            <w:tcW w:w="1070" w:type="dxa"/>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1008" w:type="dxa"/>
            <w:vMerge w:val="continue"/>
            <w:shd w:val="clear" w:color="auto" w:fill="auto"/>
            <w:vAlign w:val="center"/>
          </w:tcPr>
          <w:p>
            <w:pPr>
              <w:pStyle w:val="160"/>
              <w:spacing w:before="97"/>
              <w:ind w:firstLine="400"/>
              <w:rPr>
                <w:rFonts w:ascii="Times New Roman" w:hAnsi="Times New Roman" w:cs="Times New Roman"/>
                <w:color w:val="auto"/>
                <w:highlight w:val="none"/>
              </w:rPr>
            </w:pPr>
          </w:p>
        </w:tc>
        <w:tc>
          <w:tcPr>
            <w:tcW w:w="1366" w:type="dxa"/>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设计洪水</w:t>
            </w:r>
          </w:p>
        </w:tc>
        <w:tc>
          <w:tcPr>
            <w:tcW w:w="920" w:type="dxa"/>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25.38</w:t>
            </w:r>
          </w:p>
        </w:tc>
        <w:tc>
          <w:tcPr>
            <w:tcW w:w="791" w:type="dxa"/>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21.61</w:t>
            </w:r>
          </w:p>
        </w:tc>
        <w:tc>
          <w:tcPr>
            <w:tcW w:w="898" w:type="dxa"/>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160</w:t>
            </w:r>
          </w:p>
        </w:tc>
        <w:tc>
          <w:tcPr>
            <w:tcW w:w="942" w:type="dxa"/>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1.25</w:t>
            </w:r>
          </w:p>
        </w:tc>
        <w:tc>
          <w:tcPr>
            <w:tcW w:w="1018" w:type="dxa"/>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2.0</w:t>
            </w:r>
          </w:p>
        </w:tc>
        <w:tc>
          <w:tcPr>
            <w:tcW w:w="893" w:type="dxa"/>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w:t>
            </w:r>
          </w:p>
        </w:tc>
        <w:tc>
          <w:tcPr>
            <w:tcW w:w="1070" w:type="dxa"/>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1008" w:type="dxa"/>
            <w:vMerge w:val="continue"/>
            <w:vAlign w:val="center"/>
          </w:tcPr>
          <w:p>
            <w:pPr>
              <w:pStyle w:val="160"/>
              <w:spacing w:before="97"/>
              <w:ind w:firstLine="400"/>
              <w:rPr>
                <w:rFonts w:ascii="Times New Roman" w:hAnsi="Times New Roman" w:cs="Times New Roman"/>
                <w:color w:val="auto"/>
                <w:highlight w:val="none"/>
              </w:rPr>
            </w:pPr>
          </w:p>
        </w:tc>
        <w:tc>
          <w:tcPr>
            <w:tcW w:w="1366" w:type="dxa"/>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校核洪水</w:t>
            </w:r>
          </w:p>
        </w:tc>
        <w:tc>
          <w:tcPr>
            <w:tcW w:w="920" w:type="dxa"/>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21.42</w:t>
            </w:r>
          </w:p>
        </w:tc>
        <w:tc>
          <w:tcPr>
            <w:tcW w:w="791" w:type="dxa"/>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16.50</w:t>
            </w:r>
          </w:p>
        </w:tc>
        <w:tc>
          <w:tcPr>
            <w:tcW w:w="898" w:type="dxa"/>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160</w:t>
            </w:r>
          </w:p>
        </w:tc>
        <w:tc>
          <w:tcPr>
            <w:tcW w:w="942" w:type="dxa"/>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1.32</w:t>
            </w:r>
          </w:p>
        </w:tc>
        <w:tc>
          <w:tcPr>
            <w:tcW w:w="1018" w:type="dxa"/>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2.5</w:t>
            </w:r>
          </w:p>
        </w:tc>
        <w:tc>
          <w:tcPr>
            <w:tcW w:w="893" w:type="dxa"/>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w:t>
            </w:r>
          </w:p>
        </w:tc>
        <w:tc>
          <w:tcPr>
            <w:tcW w:w="1070" w:type="dxa"/>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1008" w:type="dxa"/>
            <w:vMerge w:val="continue"/>
            <w:vAlign w:val="center"/>
          </w:tcPr>
          <w:p>
            <w:pPr>
              <w:pStyle w:val="160"/>
              <w:spacing w:before="97"/>
              <w:ind w:firstLine="400"/>
              <w:rPr>
                <w:rFonts w:ascii="Times New Roman" w:hAnsi="Times New Roman" w:cs="Times New Roman"/>
                <w:color w:val="auto"/>
                <w:highlight w:val="none"/>
              </w:rPr>
            </w:pPr>
          </w:p>
        </w:tc>
        <w:tc>
          <w:tcPr>
            <w:tcW w:w="1366" w:type="dxa"/>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地震情况</w:t>
            </w:r>
          </w:p>
        </w:tc>
        <w:tc>
          <w:tcPr>
            <w:tcW w:w="920" w:type="dxa"/>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47.56</w:t>
            </w:r>
          </w:p>
        </w:tc>
        <w:tc>
          <w:tcPr>
            <w:tcW w:w="791" w:type="dxa"/>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18.79</w:t>
            </w:r>
          </w:p>
        </w:tc>
        <w:tc>
          <w:tcPr>
            <w:tcW w:w="898" w:type="dxa"/>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160</w:t>
            </w:r>
          </w:p>
        </w:tc>
        <w:tc>
          <w:tcPr>
            <w:tcW w:w="942" w:type="dxa"/>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2.15</w:t>
            </w:r>
          </w:p>
        </w:tc>
        <w:tc>
          <w:tcPr>
            <w:tcW w:w="1018" w:type="dxa"/>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2.5</w:t>
            </w:r>
          </w:p>
        </w:tc>
        <w:tc>
          <w:tcPr>
            <w:tcW w:w="893" w:type="dxa"/>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1.17</w:t>
            </w:r>
          </w:p>
        </w:tc>
        <w:tc>
          <w:tcPr>
            <w:tcW w:w="1070" w:type="dxa"/>
            <w:shd w:val="clear" w:color="auto" w:fill="auto"/>
            <w:vAlign w:val="center"/>
          </w:tcPr>
          <w:p>
            <w:pPr>
              <w:pStyle w:val="160"/>
              <w:spacing w:before="97"/>
              <w:ind w:firstLine="400"/>
              <w:rPr>
                <w:rFonts w:ascii="Times New Roman" w:hAnsi="Times New Roman" w:cs="Times New Roman"/>
                <w:color w:val="auto"/>
                <w:highlight w:val="none"/>
              </w:rPr>
            </w:pPr>
            <w:r>
              <w:rPr>
                <w:rFonts w:ascii="Times New Roman" w:hAnsi="Times New Roman" w:cs="Times New Roman"/>
                <w:color w:val="auto"/>
                <w:highlight w:val="none"/>
              </w:rPr>
              <w:t>1.05</w:t>
            </w:r>
          </w:p>
        </w:tc>
      </w:tr>
    </w:tbl>
    <w:p>
      <w:pPr>
        <w:ind w:firstLine="480"/>
        <w:rPr>
          <w:rFonts w:cs="Times New Roman"/>
          <w:color w:val="auto"/>
          <w:highlight w:val="none"/>
        </w:rPr>
      </w:pPr>
      <w:r>
        <w:rPr>
          <w:rFonts w:cs="Times New Roman"/>
          <w:color w:val="auto"/>
          <w:highlight w:val="none"/>
        </w:rPr>
        <w:t>由表中计算结果知，橡胶坝在各工况下抗滑稳定与基底应力均满足规范要求。</w:t>
      </w:r>
    </w:p>
    <w:p>
      <w:pPr>
        <w:ind w:firstLine="480"/>
        <w:rPr>
          <w:rFonts w:cs="Times New Roman"/>
          <w:color w:val="auto"/>
          <w:highlight w:val="none"/>
        </w:rPr>
      </w:pPr>
      <w:r>
        <w:rPr>
          <w:rFonts w:cs="Times New Roman"/>
          <w:color w:val="auto"/>
          <w:highlight w:val="none"/>
        </w:rPr>
        <w:t>2、边墩稳定计算</w:t>
      </w:r>
    </w:p>
    <w:p>
      <w:pPr>
        <w:ind w:firstLine="480"/>
        <w:rPr>
          <w:rFonts w:cs="Times New Roman"/>
          <w:color w:val="auto"/>
          <w:highlight w:val="none"/>
        </w:rPr>
      </w:pPr>
      <w:r>
        <w:rPr>
          <w:rFonts w:hint="eastAsia" w:cs="Times New Roman"/>
          <w:color w:val="auto"/>
          <w:highlight w:val="none"/>
        </w:rPr>
        <w:t>前香屯</w:t>
      </w:r>
      <w:r>
        <w:rPr>
          <w:rFonts w:cs="Times New Roman"/>
          <w:color w:val="auto"/>
          <w:highlight w:val="none"/>
        </w:rPr>
        <w:t>橡胶坝边墩为悬臂式挡墙结构。边墩顶宽0.8m，底板宽6.0m，趾厚1.0m，趾长2.0m；选取边墩单宽米为计算单元。</w:t>
      </w:r>
    </w:p>
    <w:p>
      <w:pPr>
        <w:ind w:firstLine="480"/>
        <w:rPr>
          <w:rFonts w:cs="Times New Roman"/>
          <w:color w:val="auto"/>
          <w:highlight w:val="none"/>
        </w:rPr>
      </w:pPr>
      <w:r>
        <w:rPr>
          <w:rFonts w:cs="Times New Roman"/>
          <w:color w:val="auto"/>
          <w:highlight w:val="none"/>
        </w:rPr>
        <w:t>（1）计算工况</w:t>
      </w:r>
    </w:p>
    <w:p>
      <w:pPr>
        <w:ind w:firstLine="480"/>
        <w:rPr>
          <w:rFonts w:cs="Times New Roman"/>
          <w:color w:val="auto"/>
          <w:highlight w:val="none"/>
        </w:rPr>
      </w:pPr>
      <w:r>
        <w:rPr>
          <w:rFonts w:cs="Times New Roman"/>
          <w:color w:val="auto"/>
          <w:highlight w:val="none"/>
        </w:rPr>
        <w:t>边墩稳定计算考虑施工完建、正常蓄水、设计洪水这三种基本荷载组合，校核洪水和地震情况两种特殊荷载组合。计算工况及荷载组合见表5.8-6。</w:t>
      </w:r>
    </w:p>
    <w:p>
      <w:pPr>
        <w:ind w:firstLine="480"/>
        <w:jc w:val="center"/>
        <w:rPr>
          <w:rFonts w:eastAsia="黑体" w:cs="Times New Roman"/>
          <w:color w:val="auto"/>
          <w:szCs w:val="24"/>
          <w:highlight w:val="none"/>
        </w:rPr>
      </w:pPr>
      <w:r>
        <w:rPr>
          <w:rFonts w:eastAsia="黑体" w:cs="Times New Roman"/>
          <w:color w:val="auto"/>
          <w:szCs w:val="24"/>
          <w:highlight w:val="none"/>
        </w:rPr>
        <w:t>表5.8-6计算工况及荷载组合表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4"/>
        <w:gridCol w:w="1198"/>
        <w:gridCol w:w="1150"/>
        <w:gridCol w:w="1065"/>
        <w:gridCol w:w="1065"/>
        <w:gridCol w:w="1065"/>
        <w:gridCol w:w="849"/>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24" w:type="pct"/>
            <w:vMerge w:val="restart"/>
            <w:vAlign w:val="center"/>
          </w:tcPr>
          <w:p>
            <w:pPr>
              <w:pStyle w:val="160"/>
              <w:spacing w:before="97"/>
              <w:ind w:firstLine="360"/>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荷载组合</w:t>
            </w:r>
          </w:p>
        </w:tc>
        <w:tc>
          <w:tcPr>
            <w:tcW w:w="703" w:type="pct"/>
            <w:vMerge w:val="restart"/>
            <w:vAlign w:val="center"/>
          </w:tcPr>
          <w:p>
            <w:pPr>
              <w:pStyle w:val="160"/>
              <w:spacing w:before="97"/>
              <w:ind w:firstLine="360"/>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计算工况</w:t>
            </w:r>
          </w:p>
        </w:tc>
        <w:tc>
          <w:tcPr>
            <w:tcW w:w="3674" w:type="pct"/>
            <w:gridSpan w:val="6"/>
            <w:vAlign w:val="center"/>
          </w:tcPr>
          <w:p>
            <w:pPr>
              <w:pStyle w:val="160"/>
              <w:spacing w:before="97"/>
              <w:ind w:firstLine="36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荷载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24" w:type="pct"/>
            <w:vMerge w:val="continue"/>
            <w:vAlign w:val="center"/>
          </w:tcPr>
          <w:p>
            <w:pPr>
              <w:pStyle w:val="160"/>
              <w:spacing w:before="97"/>
              <w:ind w:firstLine="360"/>
              <w:rPr>
                <w:rFonts w:ascii="Times New Roman" w:hAnsi="Times New Roman" w:cs="Times New Roman"/>
                <w:color w:val="auto"/>
                <w:sz w:val="18"/>
                <w:szCs w:val="18"/>
                <w:highlight w:val="none"/>
              </w:rPr>
            </w:pPr>
          </w:p>
        </w:tc>
        <w:tc>
          <w:tcPr>
            <w:tcW w:w="703" w:type="pct"/>
            <w:vMerge w:val="continue"/>
            <w:vAlign w:val="center"/>
          </w:tcPr>
          <w:p>
            <w:pPr>
              <w:pStyle w:val="160"/>
              <w:spacing w:before="97"/>
              <w:ind w:firstLine="360"/>
              <w:rPr>
                <w:rFonts w:ascii="Times New Roman" w:hAnsi="Times New Roman" w:cs="Times New Roman"/>
                <w:color w:val="auto"/>
                <w:sz w:val="18"/>
                <w:szCs w:val="18"/>
                <w:highlight w:val="none"/>
              </w:rPr>
            </w:pPr>
          </w:p>
        </w:tc>
        <w:tc>
          <w:tcPr>
            <w:tcW w:w="675" w:type="pct"/>
            <w:vAlign w:val="center"/>
          </w:tcPr>
          <w:p>
            <w:pPr>
              <w:pStyle w:val="160"/>
              <w:spacing w:before="97"/>
              <w:ind w:firstLine="360"/>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自重</w:t>
            </w:r>
          </w:p>
        </w:tc>
        <w:tc>
          <w:tcPr>
            <w:tcW w:w="625" w:type="pct"/>
            <w:vAlign w:val="center"/>
          </w:tcPr>
          <w:p>
            <w:pPr>
              <w:pStyle w:val="160"/>
              <w:spacing w:before="97"/>
              <w:ind w:firstLine="360"/>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土重</w:t>
            </w:r>
          </w:p>
        </w:tc>
        <w:tc>
          <w:tcPr>
            <w:tcW w:w="625" w:type="pct"/>
            <w:vAlign w:val="center"/>
          </w:tcPr>
          <w:p>
            <w:pPr>
              <w:pStyle w:val="160"/>
              <w:spacing w:before="97"/>
              <w:ind w:firstLine="360"/>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土压力</w:t>
            </w:r>
          </w:p>
        </w:tc>
        <w:tc>
          <w:tcPr>
            <w:tcW w:w="625" w:type="pct"/>
            <w:vAlign w:val="center"/>
          </w:tcPr>
          <w:p>
            <w:pPr>
              <w:pStyle w:val="160"/>
              <w:spacing w:before="97"/>
              <w:ind w:firstLine="360"/>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静水压力</w:t>
            </w:r>
          </w:p>
        </w:tc>
        <w:tc>
          <w:tcPr>
            <w:tcW w:w="498" w:type="pct"/>
            <w:vAlign w:val="center"/>
          </w:tcPr>
          <w:p>
            <w:pPr>
              <w:pStyle w:val="160"/>
              <w:spacing w:before="97"/>
              <w:ind w:firstLine="360"/>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扬压力</w:t>
            </w:r>
          </w:p>
        </w:tc>
        <w:tc>
          <w:tcPr>
            <w:tcW w:w="625" w:type="pct"/>
            <w:vAlign w:val="center"/>
          </w:tcPr>
          <w:p>
            <w:pPr>
              <w:pStyle w:val="160"/>
              <w:spacing w:before="97"/>
              <w:ind w:firstLine="360"/>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地震荷载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24" w:type="pct"/>
            <w:vMerge w:val="restart"/>
            <w:shd w:val="clear" w:color="auto" w:fill="auto"/>
            <w:vAlign w:val="center"/>
          </w:tcPr>
          <w:p>
            <w:pPr>
              <w:pStyle w:val="160"/>
              <w:spacing w:before="97"/>
              <w:ind w:firstLine="360"/>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基本组合</w:t>
            </w:r>
          </w:p>
        </w:tc>
        <w:tc>
          <w:tcPr>
            <w:tcW w:w="703" w:type="pct"/>
            <w:vAlign w:val="center"/>
          </w:tcPr>
          <w:p>
            <w:pPr>
              <w:pStyle w:val="160"/>
              <w:spacing w:before="97"/>
              <w:ind w:firstLine="360"/>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施工完建</w:t>
            </w:r>
          </w:p>
        </w:tc>
        <w:tc>
          <w:tcPr>
            <w:tcW w:w="675" w:type="pct"/>
            <w:vAlign w:val="center"/>
          </w:tcPr>
          <w:p>
            <w:pPr>
              <w:pStyle w:val="160"/>
              <w:spacing w:before="97"/>
              <w:ind w:firstLine="36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w:t>
            </w:r>
          </w:p>
        </w:tc>
        <w:tc>
          <w:tcPr>
            <w:tcW w:w="625" w:type="pct"/>
            <w:vAlign w:val="center"/>
          </w:tcPr>
          <w:p>
            <w:pPr>
              <w:pStyle w:val="160"/>
              <w:spacing w:before="97"/>
              <w:ind w:firstLine="36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w:t>
            </w:r>
          </w:p>
        </w:tc>
        <w:tc>
          <w:tcPr>
            <w:tcW w:w="625" w:type="pct"/>
            <w:vAlign w:val="center"/>
          </w:tcPr>
          <w:p>
            <w:pPr>
              <w:pStyle w:val="160"/>
              <w:spacing w:before="97"/>
              <w:ind w:firstLine="36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w:t>
            </w:r>
          </w:p>
        </w:tc>
        <w:tc>
          <w:tcPr>
            <w:tcW w:w="625" w:type="pct"/>
            <w:vAlign w:val="center"/>
          </w:tcPr>
          <w:p>
            <w:pPr>
              <w:pStyle w:val="160"/>
              <w:spacing w:before="97"/>
              <w:ind w:firstLine="360"/>
              <w:jc w:val="center"/>
              <w:rPr>
                <w:rFonts w:ascii="Times New Roman" w:hAnsi="Times New Roman" w:cs="Times New Roman"/>
                <w:color w:val="auto"/>
                <w:sz w:val="18"/>
                <w:szCs w:val="18"/>
                <w:highlight w:val="none"/>
              </w:rPr>
            </w:pPr>
          </w:p>
        </w:tc>
        <w:tc>
          <w:tcPr>
            <w:tcW w:w="498" w:type="pct"/>
            <w:vAlign w:val="center"/>
          </w:tcPr>
          <w:p>
            <w:pPr>
              <w:pStyle w:val="160"/>
              <w:spacing w:before="97"/>
              <w:ind w:firstLine="360"/>
              <w:jc w:val="center"/>
              <w:rPr>
                <w:rFonts w:ascii="Times New Roman" w:hAnsi="Times New Roman" w:cs="Times New Roman"/>
                <w:color w:val="auto"/>
                <w:sz w:val="18"/>
                <w:szCs w:val="18"/>
                <w:highlight w:val="none"/>
              </w:rPr>
            </w:pPr>
          </w:p>
        </w:tc>
        <w:tc>
          <w:tcPr>
            <w:tcW w:w="625" w:type="pct"/>
            <w:vAlign w:val="center"/>
          </w:tcPr>
          <w:p>
            <w:pPr>
              <w:pStyle w:val="160"/>
              <w:spacing w:before="97"/>
              <w:ind w:firstLine="360"/>
              <w:jc w:val="center"/>
              <w:rPr>
                <w:rFonts w:ascii="Times New Roman" w:hAnsi="Times New Roman" w:cs="Times New Roman"/>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24" w:type="pct"/>
            <w:vMerge w:val="continue"/>
            <w:shd w:val="clear" w:color="auto" w:fill="auto"/>
            <w:vAlign w:val="center"/>
          </w:tcPr>
          <w:p>
            <w:pPr>
              <w:pStyle w:val="160"/>
              <w:spacing w:before="97"/>
              <w:ind w:firstLine="360"/>
              <w:rPr>
                <w:rFonts w:ascii="Times New Roman" w:hAnsi="Times New Roman" w:cs="Times New Roman"/>
                <w:color w:val="auto"/>
                <w:sz w:val="18"/>
                <w:szCs w:val="18"/>
                <w:highlight w:val="none"/>
              </w:rPr>
            </w:pPr>
          </w:p>
        </w:tc>
        <w:tc>
          <w:tcPr>
            <w:tcW w:w="703" w:type="pct"/>
            <w:vAlign w:val="center"/>
          </w:tcPr>
          <w:p>
            <w:pPr>
              <w:pStyle w:val="160"/>
              <w:spacing w:before="97"/>
              <w:ind w:firstLine="360"/>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正常蓄水</w:t>
            </w:r>
          </w:p>
        </w:tc>
        <w:tc>
          <w:tcPr>
            <w:tcW w:w="675" w:type="pct"/>
            <w:vAlign w:val="center"/>
          </w:tcPr>
          <w:p>
            <w:pPr>
              <w:pStyle w:val="160"/>
              <w:spacing w:before="97"/>
              <w:ind w:firstLine="36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w:t>
            </w:r>
          </w:p>
        </w:tc>
        <w:tc>
          <w:tcPr>
            <w:tcW w:w="625" w:type="pct"/>
            <w:vAlign w:val="center"/>
          </w:tcPr>
          <w:p>
            <w:pPr>
              <w:pStyle w:val="160"/>
              <w:spacing w:before="97"/>
              <w:ind w:firstLine="36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w:t>
            </w:r>
          </w:p>
        </w:tc>
        <w:tc>
          <w:tcPr>
            <w:tcW w:w="625" w:type="pct"/>
            <w:vAlign w:val="center"/>
          </w:tcPr>
          <w:p>
            <w:pPr>
              <w:pStyle w:val="160"/>
              <w:spacing w:before="97"/>
              <w:ind w:firstLine="36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w:t>
            </w:r>
          </w:p>
        </w:tc>
        <w:tc>
          <w:tcPr>
            <w:tcW w:w="625" w:type="pct"/>
            <w:vAlign w:val="center"/>
          </w:tcPr>
          <w:p>
            <w:pPr>
              <w:pStyle w:val="160"/>
              <w:spacing w:before="97"/>
              <w:ind w:firstLine="36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w:t>
            </w:r>
          </w:p>
        </w:tc>
        <w:tc>
          <w:tcPr>
            <w:tcW w:w="498" w:type="pct"/>
            <w:vAlign w:val="center"/>
          </w:tcPr>
          <w:p>
            <w:pPr>
              <w:pStyle w:val="160"/>
              <w:spacing w:before="97"/>
              <w:ind w:firstLine="36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w:t>
            </w:r>
          </w:p>
        </w:tc>
        <w:tc>
          <w:tcPr>
            <w:tcW w:w="625" w:type="pct"/>
            <w:vAlign w:val="center"/>
          </w:tcPr>
          <w:p>
            <w:pPr>
              <w:pStyle w:val="160"/>
              <w:spacing w:before="97"/>
              <w:ind w:firstLine="360"/>
              <w:jc w:val="center"/>
              <w:rPr>
                <w:rFonts w:ascii="Times New Roman" w:hAnsi="Times New Roman" w:cs="Times New Roman"/>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24" w:type="pct"/>
            <w:vMerge w:val="continue"/>
            <w:shd w:val="clear" w:color="auto" w:fill="auto"/>
            <w:vAlign w:val="center"/>
          </w:tcPr>
          <w:p>
            <w:pPr>
              <w:pStyle w:val="160"/>
              <w:spacing w:before="97"/>
              <w:ind w:firstLine="360"/>
              <w:rPr>
                <w:rFonts w:ascii="Times New Roman" w:hAnsi="Times New Roman" w:cs="Times New Roman"/>
                <w:color w:val="auto"/>
                <w:sz w:val="18"/>
                <w:szCs w:val="18"/>
                <w:highlight w:val="none"/>
              </w:rPr>
            </w:pPr>
          </w:p>
        </w:tc>
        <w:tc>
          <w:tcPr>
            <w:tcW w:w="703" w:type="pct"/>
            <w:vAlign w:val="center"/>
          </w:tcPr>
          <w:p>
            <w:pPr>
              <w:pStyle w:val="160"/>
              <w:spacing w:before="97"/>
              <w:ind w:firstLine="360"/>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设计洪水</w:t>
            </w:r>
          </w:p>
        </w:tc>
        <w:tc>
          <w:tcPr>
            <w:tcW w:w="675" w:type="pct"/>
            <w:vAlign w:val="center"/>
          </w:tcPr>
          <w:p>
            <w:pPr>
              <w:pStyle w:val="160"/>
              <w:spacing w:before="97"/>
              <w:ind w:firstLine="36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w:t>
            </w:r>
          </w:p>
        </w:tc>
        <w:tc>
          <w:tcPr>
            <w:tcW w:w="625" w:type="pct"/>
            <w:vAlign w:val="center"/>
          </w:tcPr>
          <w:p>
            <w:pPr>
              <w:pStyle w:val="160"/>
              <w:spacing w:before="97"/>
              <w:ind w:firstLine="36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w:t>
            </w:r>
          </w:p>
        </w:tc>
        <w:tc>
          <w:tcPr>
            <w:tcW w:w="625" w:type="pct"/>
            <w:vAlign w:val="center"/>
          </w:tcPr>
          <w:p>
            <w:pPr>
              <w:pStyle w:val="160"/>
              <w:spacing w:before="97"/>
              <w:ind w:firstLine="36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w:t>
            </w:r>
          </w:p>
        </w:tc>
        <w:tc>
          <w:tcPr>
            <w:tcW w:w="625" w:type="pct"/>
            <w:vAlign w:val="center"/>
          </w:tcPr>
          <w:p>
            <w:pPr>
              <w:pStyle w:val="160"/>
              <w:spacing w:before="97"/>
              <w:ind w:firstLine="36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w:t>
            </w:r>
          </w:p>
        </w:tc>
        <w:tc>
          <w:tcPr>
            <w:tcW w:w="498" w:type="pct"/>
            <w:vAlign w:val="center"/>
          </w:tcPr>
          <w:p>
            <w:pPr>
              <w:pStyle w:val="160"/>
              <w:spacing w:before="97"/>
              <w:ind w:firstLine="36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w:t>
            </w:r>
          </w:p>
        </w:tc>
        <w:tc>
          <w:tcPr>
            <w:tcW w:w="625" w:type="pct"/>
            <w:vAlign w:val="center"/>
          </w:tcPr>
          <w:p>
            <w:pPr>
              <w:pStyle w:val="160"/>
              <w:spacing w:before="97"/>
              <w:ind w:firstLine="360"/>
              <w:jc w:val="center"/>
              <w:rPr>
                <w:rFonts w:ascii="Times New Roman" w:hAnsi="Times New Roman" w:cs="Times New Roman"/>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trPr>
        <w:tc>
          <w:tcPr>
            <w:tcW w:w="624" w:type="pct"/>
            <w:vMerge w:val="restart"/>
            <w:shd w:val="clear" w:color="auto" w:fill="auto"/>
            <w:vAlign w:val="center"/>
          </w:tcPr>
          <w:p>
            <w:pPr>
              <w:pStyle w:val="160"/>
              <w:spacing w:before="97"/>
              <w:ind w:firstLine="360"/>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特殊组合</w:t>
            </w:r>
          </w:p>
        </w:tc>
        <w:tc>
          <w:tcPr>
            <w:tcW w:w="703" w:type="pct"/>
            <w:vAlign w:val="center"/>
          </w:tcPr>
          <w:p>
            <w:pPr>
              <w:pStyle w:val="160"/>
              <w:spacing w:before="97"/>
              <w:ind w:firstLine="360"/>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校核洪水</w:t>
            </w:r>
          </w:p>
        </w:tc>
        <w:tc>
          <w:tcPr>
            <w:tcW w:w="675" w:type="pct"/>
            <w:vAlign w:val="center"/>
          </w:tcPr>
          <w:p>
            <w:pPr>
              <w:pStyle w:val="160"/>
              <w:spacing w:before="97"/>
              <w:ind w:firstLine="36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w:t>
            </w:r>
          </w:p>
        </w:tc>
        <w:tc>
          <w:tcPr>
            <w:tcW w:w="625" w:type="pct"/>
            <w:vAlign w:val="center"/>
          </w:tcPr>
          <w:p>
            <w:pPr>
              <w:pStyle w:val="160"/>
              <w:spacing w:before="97"/>
              <w:ind w:firstLine="36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w:t>
            </w:r>
          </w:p>
        </w:tc>
        <w:tc>
          <w:tcPr>
            <w:tcW w:w="625" w:type="pct"/>
            <w:vAlign w:val="center"/>
          </w:tcPr>
          <w:p>
            <w:pPr>
              <w:pStyle w:val="160"/>
              <w:spacing w:before="97"/>
              <w:ind w:firstLine="36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w:t>
            </w:r>
          </w:p>
        </w:tc>
        <w:tc>
          <w:tcPr>
            <w:tcW w:w="625" w:type="pct"/>
            <w:vAlign w:val="center"/>
          </w:tcPr>
          <w:p>
            <w:pPr>
              <w:pStyle w:val="160"/>
              <w:spacing w:before="97"/>
              <w:ind w:firstLine="36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w:t>
            </w:r>
          </w:p>
        </w:tc>
        <w:tc>
          <w:tcPr>
            <w:tcW w:w="498" w:type="pct"/>
            <w:vAlign w:val="center"/>
          </w:tcPr>
          <w:p>
            <w:pPr>
              <w:pStyle w:val="160"/>
              <w:spacing w:before="97"/>
              <w:ind w:firstLine="36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w:t>
            </w:r>
          </w:p>
        </w:tc>
        <w:tc>
          <w:tcPr>
            <w:tcW w:w="625" w:type="pct"/>
            <w:vAlign w:val="center"/>
          </w:tcPr>
          <w:p>
            <w:pPr>
              <w:pStyle w:val="160"/>
              <w:spacing w:before="97"/>
              <w:ind w:firstLine="360"/>
              <w:jc w:val="center"/>
              <w:rPr>
                <w:rFonts w:ascii="Times New Roman" w:hAnsi="Times New Roman" w:cs="Times New Roman"/>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24" w:type="pct"/>
            <w:vMerge w:val="continue"/>
            <w:vAlign w:val="center"/>
          </w:tcPr>
          <w:p>
            <w:pPr>
              <w:pStyle w:val="160"/>
              <w:spacing w:before="97"/>
              <w:ind w:firstLine="360"/>
              <w:rPr>
                <w:rFonts w:ascii="Times New Roman" w:hAnsi="Times New Roman" w:cs="Times New Roman"/>
                <w:color w:val="auto"/>
                <w:sz w:val="18"/>
                <w:szCs w:val="18"/>
                <w:highlight w:val="none"/>
              </w:rPr>
            </w:pPr>
          </w:p>
        </w:tc>
        <w:tc>
          <w:tcPr>
            <w:tcW w:w="703" w:type="pct"/>
            <w:vAlign w:val="center"/>
          </w:tcPr>
          <w:p>
            <w:pPr>
              <w:pStyle w:val="160"/>
              <w:spacing w:before="97"/>
              <w:ind w:firstLine="360"/>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地震情况</w:t>
            </w:r>
          </w:p>
        </w:tc>
        <w:tc>
          <w:tcPr>
            <w:tcW w:w="675" w:type="pct"/>
            <w:vAlign w:val="center"/>
          </w:tcPr>
          <w:p>
            <w:pPr>
              <w:pStyle w:val="160"/>
              <w:spacing w:before="97"/>
              <w:ind w:firstLine="36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w:t>
            </w:r>
          </w:p>
        </w:tc>
        <w:tc>
          <w:tcPr>
            <w:tcW w:w="625" w:type="pct"/>
            <w:vAlign w:val="center"/>
          </w:tcPr>
          <w:p>
            <w:pPr>
              <w:pStyle w:val="160"/>
              <w:spacing w:before="97"/>
              <w:ind w:firstLine="36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w:t>
            </w:r>
          </w:p>
        </w:tc>
        <w:tc>
          <w:tcPr>
            <w:tcW w:w="625" w:type="pct"/>
            <w:vAlign w:val="center"/>
          </w:tcPr>
          <w:p>
            <w:pPr>
              <w:pStyle w:val="160"/>
              <w:spacing w:before="97"/>
              <w:ind w:firstLine="36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w:t>
            </w:r>
          </w:p>
        </w:tc>
        <w:tc>
          <w:tcPr>
            <w:tcW w:w="625" w:type="pct"/>
            <w:vAlign w:val="center"/>
          </w:tcPr>
          <w:p>
            <w:pPr>
              <w:pStyle w:val="160"/>
              <w:spacing w:before="97"/>
              <w:ind w:firstLine="36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w:t>
            </w:r>
          </w:p>
        </w:tc>
        <w:tc>
          <w:tcPr>
            <w:tcW w:w="498" w:type="pct"/>
            <w:vAlign w:val="center"/>
          </w:tcPr>
          <w:p>
            <w:pPr>
              <w:pStyle w:val="160"/>
              <w:spacing w:before="97"/>
              <w:ind w:firstLine="36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w:t>
            </w:r>
          </w:p>
        </w:tc>
        <w:tc>
          <w:tcPr>
            <w:tcW w:w="625" w:type="pct"/>
            <w:vAlign w:val="center"/>
          </w:tcPr>
          <w:p>
            <w:pPr>
              <w:pStyle w:val="160"/>
              <w:spacing w:before="97"/>
              <w:ind w:firstLine="36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w:t>
            </w:r>
          </w:p>
        </w:tc>
      </w:tr>
    </w:tbl>
    <w:p>
      <w:pPr>
        <w:ind w:firstLine="480"/>
        <w:rPr>
          <w:rFonts w:cs="Times New Roman"/>
          <w:color w:val="auto"/>
          <w:highlight w:val="none"/>
        </w:rPr>
      </w:pPr>
      <w:r>
        <w:rPr>
          <w:rFonts w:cs="Times New Roman"/>
          <w:color w:val="auto"/>
          <w:highlight w:val="none"/>
        </w:rPr>
        <w:t>（2）抗滑稳定计算：</w:t>
      </w:r>
    </w:p>
    <w:p>
      <w:pPr>
        <w:ind w:firstLine="480"/>
        <w:jc w:val="center"/>
        <w:rPr>
          <w:rFonts w:cs="Times New Roman"/>
          <w:color w:val="auto"/>
          <w:highlight w:val="none"/>
        </w:rPr>
      </w:pPr>
      <w:r>
        <w:rPr>
          <w:rFonts w:cs="Times New Roman"/>
          <w:color w:val="auto"/>
          <w:highlight w:val="none"/>
        </w:rPr>
        <w:object>
          <v:shape id="_x0000_i1035" o:spt="75" type="#_x0000_t75" style="height:39.5pt;width:66pt;" o:ole="t" filled="f" o:preferrelative="t" stroked="f" coordsize="21600,21600">
            <v:path/>
            <v:fill on="f" focussize="0,0"/>
            <v:stroke on="f" joinstyle="miter"/>
            <v:imagedata r:id="rId60" o:title=""/>
            <o:lock v:ext="edit" aspectratio="t"/>
            <w10:wrap type="none"/>
            <w10:anchorlock/>
          </v:shape>
          <o:OLEObject Type="Embed" ProgID="Equation.3" ShapeID="_x0000_i1035" DrawAspect="Content" ObjectID="_1468075735" r:id="rId59">
            <o:LockedField>false</o:LockedField>
          </o:OLEObject>
        </w:object>
      </w:r>
    </w:p>
    <w:p>
      <w:pPr>
        <w:ind w:firstLine="480"/>
        <w:rPr>
          <w:rFonts w:cs="Times New Roman"/>
          <w:color w:val="auto"/>
          <w:highlight w:val="none"/>
        </w:rPr>
      </w:pPr>
      <w:r>
        <w:rPr>
          <w:rFonts w:cs="Times New Roman"/>
          <w:color w:val="auto"/>
          <w:highlight w:val="none"/>
        </w:rPr>
        <w:t>式中：K</w:t>
      </w:r>
      <w:r>
        <w:rPr>
          <w:rFonts w:cs="Times New Roman"/>
          <w:color w:val="auto"/>
          <w:highlight w:val="none"/>
          <w:vertAlign w:val="subscript"/>
        </w:rPr>
        <w:t>c</w:t>
      </w:r>
      <w:r>
        <w:rPr>
          <w:rFonts w:cs="Times New Roman"/>
          <w:color w:val="auto"/>
          <w:highlight w:val="none"/>
        </w:rPr>
        <w:t>—抗滑稳定安全系数；</w:t>
      </w:r>
    </w:p>
    <w:p>
      <w:pPr>
        <w:ind w:firstLine="1132" w:firstLineChars="472"/>
        <w:rPr>
          <w:rFonts w:cs="Times New Roman"/>
          <w:color w:val="auto"/>
          <w:highlight w:val="none"/>
        </w:rPr>
      </w:pPr>
      <w:r>
        <w:rPr>
          <w:rFonts w:cs="Times New Roman"/>
          <w:color w:val="auto"/>
          <w:highlight w:val="none"/>
        </w:rPr>
        <w:t>f—基础底板与地基之间的摩擦系数，由地勘报告取值0.3；</w:t>
      </w:r>
    </w:p>
    <w:p>
      <w:pPr>
        <w:ind w:firstLine="1132" w:firstLineChars="472"/>
        <w:rPr>
          <w:rFonts w:cs="Times New Roman"/>
          <w:color w:val="auto"/>
          <w:highlight w:val="none"/>
        </w:rPr>
      </w:pPr>
      <w:r>
        <w:rPr>
          <w:rFonts w:cs="Times New Roman"/>
          <w:color w:val="auto"/>
          <w:highlight w:val="none"/>
        </w:rPr>
        <w:t>∑G—作用在边墩上的全部竖向荷载(KN)；</w:t>
      </w:r>
    </w:p>
    <w:p>
      <w:pPr>
        <w:ind w:firstLine="1132" w:firstLineChars="472"/>
        <w:rPr>
          <w:rFonts w:cs="Times New Roman"/>
          <w:color w:val="auto"/>
          <w:highlight w:val="none"/>
        </w:rPr>
      </w:pPr>
      <w:r>
        <w:rPr>
          <w:rFonts w:cs="Times New Roman"/>
          <w:color w:val="auto"/>
          <w:highlight w:val="none"/>
        </w:rPr>
        <w:t>∑F—作用在边墩上的全部水平向荷载(KN)。</w:t>
      </w:r>
    </w:p>
    <w:p>
      <w:pPr>
        <w:ind w:firstLine="480"/>
        <w:rPr>
          <w:rFonts w:cs="Times New Roman"/>
          <w:color w:val="auto"/>
          <w:highlight w:val="none"/>
        </w:rPr>
      </w:pPr>
      <w:r>
        <w:rPr>
          <w:rFonts w:cs="Times New Roman"/>
          <w:color w:val="auto"/>
          <w:highlight w:val="none"/>
        </w:rPr>
        <w:t>（3）地基应力验算：</w:t>
      </w:r>
    </w:p>
    <w:p>
      <w:pPr>
        <w:ind w:firstLine="480"/>
        <w:jc w:val="center"/>
        <w:rPr>
          <w:rFonts w:cs="Times New Roman"/>
          <w:color w:val="auto"/>
          <w:highlight w:val="none"/>
        </w:rPr>
      </w:pPr>
      <w:r>
        <w:rPr>
          <w:rFonts w:cs="Times New Roman"/>
          <w:color w:val="auto"/>
          <w:highlight w:val="none"/>
        </w:rPr>
        <w:object>
          <v:shape id="_x0000_i1036" o:spt="75" type="#_x0000_t75" style="height:39.5pt;width:76.5pt;" o:ole="t" filled="f" o:preferrelative="t" stroked="f" coordsize="21600,21600">
            <v:path/>
            <v:fill on="f" focussize="0,0"/>
            <v:stroke on="f" joinstyle="miter"/>
            <v:imagedata r:id="rId62" o:title=""/>
            <o:lock v:ext="edit" aspectratio="t"/>
            <w10:wrap type="none"/>
            <w10:anchorlock/>
          </v:shape>
          <o:OLEObject Type="Embed" ProgID="Equation.3" ShapeID="_x0000_i1036" DrawAspect="Content" ObjectID="_1468075736" r:id="rId61">
            <o:LockedField>false</o:LockedField>
          </o:OLEObject>
        </w:object>
      </w:r>
    </w:p>
    <w:p>
      <w:pPr>
        <w:ind w:firstLine="480"/>
        <w:jc w:val="center"/>
        <w:rPr>
          <w:rFonts w:cs="Times New Roman"/>
          <w:color w:val="auto"/>
          <w:highlight w:val="none"/>
        </w:rPr>
      </w:pPr>
      <w:r>
        <w:rPr>
          <w:rFonts w:cs="Times New Roman"/>
          <w:color w:val="auto"/>
          <w:highlight w:val="none"/>
        </w:rPr>
        <w:object>
          <v:shape id="_x0000_i1037" o:spt="75" type="#_x0000_t75" style="height:37.5pt;width:119pt;" o:ole="t" filled="f" o:preferrelative="t" stroked="f" coordsize="21600,21600">
            <v:path/>
            <v:fill on="f" focussize="0,0"/>
            <v:stroke on="f" joinstyle="miter"/>
            <v:imagedata r:id="rId64" o:title=""/>
            <o:lock v:ext="edit" aspectratio="t"/>
            <w10:wrap type="none"/>
            <w10:anchorlock/>
          </v:shape>
          <o:OLEObject Type="Embed" ProgID="Equation.3" ShapeID="_x0000_i1037" DrawAspect="Content" ObjectID="_1468075737" r:id="rId63">
            <o:LockedField>false</o:LockedField>
          </o:OLEObject>
        </w:object>
      </w:r>
    </w:p>
    <w:p>
      <w:pPr>
        <w:ind w:firstLine="480"/>
        <w:rPr>
          <w:rFonts w:cs="Times New Roman"/>
          <w:color w:val="auto"/>
          <w:highlight w:val="none"/>
        </w:rPr>
      </w:pPr>
      <w:r>
        <w:rPr>
          <w:rFonts w:cs="Times New Roman"/>
          <w:color w:val="auto"/>
          <w:highlight w:val="none"/>
        </w:rPr>
        <w:t>式中：</w:t>
      </w:r>
      <w:r>
        <w:rPr>
          <w:rFonts w:cs="Times New Roman"/>
          <w:color w:val="auto"/>
          <w:highlight w:val="none"/>
        </w:rPr>
        <w:object>
          <v:shape id="_x0000_i1038" o:spt="75" type="#_x0000_t75" style="height:12.5pt;width:25pt;" o:ole="t" filled="f" o:preferrelative="t" stroked="f" coordsize="21600,21600">
            <v:path/>
            <v:fill on="f" focussize="0,0"/>
            <v:stroke on="f" joinstyle="miter"/>
            <v:imagedata r:id="rId66" o:title=""/>
            <o:lock v:ext="edit" aspectratio="t"/>
            <w10:wrap type="none"/>
            <w10:anchorlock/>
          </v:shape>
          <o:OLEObject Type="Embed" ProgID="Equation.3" ShapeID="_x0000_i1038" DrawAspect="Content" ObjectID="_1468075738" r:id="rId65">
            <o:LockedField>false</o:LockedField>
          </o:OLEObject>
        </w:object>
      </w:r>
      <w:r>
        <w:rPr>
          <w:rFonts w:cs="Times New Roman"/>
          <w:color w:val="auto"/>
          <w:highlight w:val="none"/>
        </w:rPr>
        <w:t>—各力对翼墙底板底中心点为矩心计算力矩总和；</w:t>
      </w:r>
    </w:p>
    <w:p>
      <w:pPr>
        <w:ind w:firstLine="1416" w:firstLineChars="590"/>
        <w:rPr>
          <w:rFonts w:cs="Times New Roman"/>
          <w:color w:val="auto"/>
          <w:highlight w:val="none"/>
        </w:rPr>
      </w:pPr>
      <w:r>
        <w:rPr>
          <w:rFonts w:cs="Times New Roman"/>
          <w:color w:val="auto"/>
          <w:highlight w:val="none"/>
        </w:rPr>
        <w:t>B —边墩底板计算宽度（m）；</w:t>
      </w:r>
    </w:p>
    <w:p>
      <w:pPr>
        <w:ind w:firstLine="1416" w:firstLineChars="590"/>
        <w:rPr>
          <w:rFonts w:cs="Times New Roman"/>
          <w:color w:val="auto"/>
          <w:highlight w:val="none"/>
        </w:rPr>
      </w:pPr>
      <w:r>
        <w:rPr>
          <w:rFonts w:cs="Times New Roman"/>
          <w:color w:val="auto"/>
          <w:highlight w:val="none"/>
        </w:rPr>
        <w:t>L —边墩底板计算长度（m）；</w:t>
      </w:r>
    </w:p>
    <w:p>
      <w:pPr>
        <w:ind w:firstLine="1416" w:firstLineChars="590"/>
        <w:rPr>
          <w:rFonts w:cs="Times New Roman"/>
          <w:color w:val="auto"/>
          <w:highlight w:val="none"/>
        </w:rPr>
      </w:pPr>
      <w:r>
        <w:rPr>
          <w:rFonts w:cs="Times New Roman"/>
          <w:color w:val="auto"/>
          <w:highlight w:val="none"/>
        </w:rPr>
        <w:t>e</w:t>
      </w:r>
      <w:r>
        <w:rPr>
          <w:rFonts w:cs="Times New Roman"/>
          <w:color w:val="auto"/>
          <w:highlight w:val="none"/>
          <w:vertAlign w:val="subscript"/>
        </w:rPr>
        <w:t>0</w:t>
      </w:r>
      <w:r>
        <w:rPr>
          <w:rFonts w:cs="Times New Roman"/>
          <w:color w:val="auto"/>
          <w:highlight w:val="none"/>
        </w:rPr>
        <w:t>—合力对边墩底板中心的偏心距（m）。</w:t>
      </w:r>
    </w:p>
    <w:p>
      <w:pPr>
        <w:ind w:firstLine="480"/>
        <w:rPr>
          <w:rFonts w:cs="Times New Roman"/>
          <w:color w:val="auto"/>
          <w:highlight w:val="none"/>
        </w:rPr>
      </w:pPr>
      <w:r>
        <w:rPr>
          <w:rFonts w:cs="Times New Roman"/>
          <w:color w:val="auto"/>
          <w:highlight w:val="none"/>
        </w:rPr>
        <w:t>（4）计算成果</w:t>
      </w:r>
    </w:p>
    <w:p>
      <w:pPr>
        <w:ind w:firstLine="480"/>
        <w:jc w:val="center"/>
        <w:rPr>
          <w:rFonts w:eastAsia="黑体" w:cs="Times New Roman"/>
          <w:color w:val="auto"/>
          <w:highlight w:val="none"/>
        </w:rPr>
      </w:pPr>
    </w:p>
    <w:p>
      <w:pPr>
        <w:ind w:firstLine="480"/>
        <w:jc w:val="center"/>
        <w:rPr>
          <w:rFonts w:eastAsia="黑体" w:cs="Times New Roman"/>
          <w:color w:val="auto"/>
          <w:highlight w:val="none"/>
        </w:rPr>
      </w:pPr>
    </w:p>
    <w:p>
      <w:pPr>
        <w:ind w:firstLine="480"/>
        <w:jc w:val="center"/>
        <w:rPr>
          <w:rFonts w:cs="Times New Roman"/>
          <w:color w:val="auto"/>
          <w:highlight w:val="none"/>
        </w:rPr>
      </w:pPr>
      <w:r>
        <w:rPr>
          <w:rFonts w:eastAsia="黑体" w:cs="Times New Roman"/>
          <w:color w:val="auto"/>
          <w:highlight w:val="none"/>
        </w:rPr>
        <w:t>表5.8-7边墩稳定计算成果表</w:t>
      </w:r>
    </w:p>
    <w:tbl>
      <w:tblPr>
        <w:tblStyle w:val="33"/>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02"/>
        <w:gridCol w:w="1166"/>
        <w:gridCol w:w="764"/>
        <w:gridCol w:w="764"/>
        <w:gridCol w:w="764"/>
        <w:gridCol w:w="953"/>
        <w:gridCol w:w="852"/>
        <w:gridCol w:w="948"/>
        <w:gridCol w:w="854"/>
        <w:gridCol w:w="85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354" w:type="pct"/>
            <w:vMerge w:val="restart"/>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荷载组合</w:t>
            </w:r>
          </w:p>
        </w:tc>
        <w:tc>
          <w:tcPr>
            <w:tcW w:w="684" w:type="pct"/>
            <w:vMerge w:val="restar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计算工况</w:t>
            </w:r>
          </w:p>
        </w:tc>
        <w:tc>
          <w:tcPr>
            <w:tcW w:w="1344" w:type="pct"/>
            <w:gridSpan w:val="3"/>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基底应力（kPa）</w:t>
            </w:r>
          </w:p>
        </w:tc>
        <w:tc>
          <w:tcPr>
            <w:tcW w:w="559" w:type="pct"/>
            <w:vMerge w:val="restart"/>
            <w:shd w:val="clear" w:color="auto" w:fill="auto"/>
            <w:vAlign w:val="center"/>
          </w:tcPr>
          <w:p>
            <w:pPr>
              <w:pStyle w:val="160"/>
              <w:spacing w:before="97"/>
              <w:jc w:val="center"/>
              <w:rPr>
                <w:rFonts w:ascii="Times New Roman" w:hAnsi="Times New Roman" w:cs="Times New Roman"/>
                <w:color w:val="auto"/>
                <w:sz w:val="18"/>
                <w:szCs w:val="18"/>
                <w:highlight w:val="none"/>
                <w:lang w:eastAsia="zh-CN"/>
              </w:rPr>
            </w:pPr>
            <w:r>
              <w:rPr>
                <w:rFonts w:ascii="Times New Roman" w:hAnsi="Times New Roman" w:cs="Times New Roman"/>
                <w:color w:val="auto"/>
                <w:sz w:val="18"/>
                <w:szCs w:val="18"/>
                <w:highlight w:val="none"/>
                <w:lang w:eastAsia="zh-CN"/>
              </w:rPr>
              <w:t>地基承载力允许值（kPa）</w:t>
            </w:r>
          </w:p>
        </w:tc>
        <w:tc>
          <w:tcPr>
            <w:tcW w:w="1056" w:type="pct"/>
            <w:gridSpan w:val="2"/>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地基应力不均匀系数</w:t>
            </w:r>
          </w:p>
        </w:tc>
        <w:tc>
          <w:tcPr>
            <w:tcW w:w="1003" w:type="pct"/>
            <w:gridSpan w:val="2"/>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抗滑稳定安全系数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354" w:type="pct"/>
            <w:vMerge w:val="continue"/>
            <w:vAlign w:val="center"/>
          </w:tcPr>
          <w:p>
            <w:pPr>
              <w:pStyle w:val="160"/>
              <w:spacing w:before="97"/>
              <w:jc w:val="center"/>
              <w:rPr>
                <w:rFonts w:ascii="Times New Roman" w:hAnsi="Times New Roman" w:cs="Times New Roman"/>
                <w:color w:val="auto"/>
                <w:sz w:val="18"/>
                <w:szCs w:val="18"/>
                <w:highlight w:val="none"/>
              </w:rPr>
            </w:pPr>
          </w:p>
        </w:tc>
        <w:tc>
          <w:tcPr>
            <w:tcW w:w="684" w:type="pct"/>
            <w:vMerge w:val="continue"/>
            <w:vAlign w:val="center"/>
          </w:tcPr>
          <w:p>
            <w:pPr>
              <w:pStyle w:val="160"/>
              <w:spacing w:before="97"/>
              <w:jc w:val="center"/>
              <w:rPr>
                <w:rFonts w:ascii="Times New Roman" w:hAnsi="Times New Roman" w:cs="Times New Roman"/>
                <w:color w:val="auto"/>
                <w:sz w:val="18"/>
                <w:szCs w:val="18"/>
                <w:highlight w:val="none"/>
              </w:rPr>
            </w:pPr>
          </w:p>
        </w:tc>
        <w:tc>
          <w:tcPr>
            <w:tcW w:w="448"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最大值</w:t>
            </w:r>
          </w:p>
        </w:tc>
        <w:tc>
          <w:tcPr>
            <w:tcW w:w="448"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最小值</w:t>
            </w:r>
          </w:p>
        </w:tc>
        <w:tc>
          <w:tcPr>
            <w:tcW w:w="448"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平均值</w:t>
            </w:r>
          </w:p>
        </w:tc>
        <w:tc>
          <w:tcPr>
            <w:tcW w:w="559" w:type="pct"/>
            <w:vMerge w:val="continue"/>
            <w:vAlign w:val="center"/>
          </w:tcPr>
          <w:p>
            <w:pPr>
              <w:pStyle w:val="160"/>
              <w:spacing w:before="97"/>
              <w:jc w:val="center"/>
              <w:rPr>
                <w:rFonts w:ascii="Times New Roman" w:hAnsi="Times New Roman" w:cs="Times New Roman"/>
                <w:color w:val="auto"/>
                <w:sz w:val="18"/>
                <w:szCs w:val="18"/>
                <w:highlight w:val="none"/>
              </w:rPr>
            </w:pPr>
          </w:p>
        </w:tc>
        <w:tc>
          <w:tcPr>
            <w:tcW w:w="500"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计算值</w:t>
            </w:r>
          </w:p>
        </w:tc>
        <w:tc>
          <w:tcPr>
            <w:tcW w:w="556"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允许值</w:t>
            </w:r>
          </w:p>
        </w:tc>
        <w:tc>
          <w:tcPr>
            <w:tcW w:w="501"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计算值</w:t>
            </w:r>
          </w:p>
        </w:tc>
        <w:tc>
          <w:tcPr>
            <w:tcW w:w="502"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允许值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7" w:hRule="atLeast"/>
        </w:trPr>
        <w:tc>
          <w:tcPr>
            <w:tcW w:w="354" w:type="pct"/>
            <w:vMerge w:val="restart"/>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基本组合</w:t>
            </w:r>
          </w:p>
        </w:tc>
        <w:tc>
          <w:tcPr>
            <w:tcW w:w="684"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施工完建</w:t>
            </w:r>
          </w:p>
        </w:tc>
        <w:tc>
          <w:tcPr>
            <w:tcW w:w="448"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117.25</w:t>
            </w:r>
          </w:p>
        </w:tc>
        <w:tc>
          <w:tcPr>
            <w:tcW w:w="448"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60.13</w:t>
            </w:r>
          </w:p>
        </w:tc>
        <w:tc>
          <w:tcPr>
            <w:tcW w:w="448"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88.69</w:t>
            </w:r>
          </w:p>
        </w:tc>
        <w:tc>
          <w:tcPr>
            <w:tcW w:w="559"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160</w:t>
            </w:r>
          </w:p>
        </w:tc>
        <w:tc>
          <w:tcPr>
            <w:tcW w:w="500"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1.98</w:t>
            </w:r>
          </w:p>
        </w:tc>
        <w:tc>
          <w:tcPr>
            <w:tcW w:w="556"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2.00</w:t>
            </w:r>
          </w:p>
        </w:tc>
        <w:tc>
          <w:tcPr>
            <w:tcW w:w="501"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2.04</w:t>
            </w:r>
          </w:p>
        </w:tc>
        <w:tc>
          <w:tcPr>
            <w:tcW w:w="502"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54" w:type="pct"/>
            <w:vMerge w:val="continue"/>
            <w:vAlign w:val="center"/>
          </w:tcPr>
          <w:p>
            <w:pPr>
              <w:pStyle w:val="160"/>
              <w:spacing w:before="97"/>
              <w:jc w:val="center"/>
              <w:rPr>
                <w:rFonts w:ascii="Times New Roman" w:hAnsi="Times New Roman" w:cs="Times New Roman"/>
                <w:color w:val="auto"/>
                <w:sz w:val="18"/>
                <w:szCs w:val="18"/>
                <w:highlight w:val="none"/>
              </w:rPr>
            </w:pPr>
          </w:p>
        </w:tc>
        <w:tc>
          <w:tcPr>
            <w:tcW w:w="684"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正常蓄水</w:t>
            </w:r>
          </w:p>
        </w:tc>
        <w:tc>
          <w:tcPr>
            <w:tcW w:w="448"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87.74</w:t>
            </w:r>
          </w:p>
        </w:tc>
        <w:tc>
          <w:tcPr>
            <w:tcW w:w="448"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47.38</w:t>
            </w:r>
          </w:p>
        </w:tc>
        <w:tc>
          <w:tcPr>
            <w:tcW w:w="448"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67.56</w:t>
            </w:r>
          </w:p>
        </w:tc>
        <w:tc>
          <w:tcPr>
            <w:tcW w:w="559"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160</w:t>
            </w:r>
          </w:p>
        </w:tc>
        <w:tc>
          <w:tcPr>
            <w:tcW w:w="500"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1.83</w:t>
            </w:r>
          </w:p>
        </w:tc>
        <w:tc>
          <w:tcPr>
            <w:tcW w:w="556"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2.00</w:t>
            </w:r>
          </w:p>
        </w:tc>
        <w:tc>
          <w:tcPr>
            <w:tcW w:w="501"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2.13</w:t>
            </w:r>
          </w:p>
        </w:tc>
        <w:tc>
          <w:tcPr>
            <w:tcW w:w="502"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54" w:type="pct"/>
            <w:vMerge w:val="continue"/>
            <w:vAlign w:val="center"/>
          </w:tcPr>
          <w:p>
            <w:pPr>
              <w:pStyle w:val="160"/>
              <w:spacing w:before="97"/>
              <w:jc w:val="center"/>
              <w:rPr>
                <w:rFonts w:ascii="Times New Roman" w:hAnsi="Times New Roman" w:cs="Times New Roman"/>
                <w:color w:val="auto"/>
                <w:sz w:val="18"/>
                <w:szCs w:val="18"/>
                <w:highlight w:val="none"/>
              </w:rPr>
            </w:pPr>
          </w:p>
        </w:tc>
        <w:tc>
          <w:tcPr>
            <w:tcW w:w="684"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设计洪水</w:t>
            </w:r>
          </w:p>
        </w:tc>
        <w:tc>
          <w:tcPr>
            <w:tcW w:w="448"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86.48</w:t>
            </w:r>
          </w:p>
        </w:tc>
        <w:tc>
          <w:tcPr>
            <w:tcW w:w="448"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48.49</w:t>
            </w:r>
          </w:p>
        </w:tc>
        <w:tc>
          <w:tcPr>
            <w:tcW w:w="448"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67.49</w:t>
            </w:r>
          </w:p>
        </w:tc>
        <w:tc>
          <w:tcPr>
            <w:tcW w:w="559"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160</w:t>
            </w:r>
          </w:p>
        </w:tc>
        <w:tc>
          <w:tcPr>
            <w:tcW w:w="500"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1.79</w:t>
            </w:r>
          </w:p>
        </w:tc>
        <w:tc>
          <w:tcPr>
            <w:tcW w:w="556"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2.00</w:t>
            </w:r>
          </w:p>
        </w:tc>
        <w:tc>
          <w:tcPr>
            <w:tcW w:w="501"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2.20</w:t>
            </w:r>
          </w:p>
        </w:tc>
        <w:tc>
          <w:tcPr>
            <w:tcW w:w="502"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54" w:type="pct"/>
            <w:vMerge w:val="restart"/>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特殊组合</w:t>
            </w:r>
          </w:p>
        </w:tc>
        <w:tc>
          <w:tcPr>
            <w:tcW w:w="684"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校核洪水</w:t>
            </w:r>
          </w:p>
        </w:tc>
        <w:tc>
          <w:tcPr>
            <w:tcW w:w="448"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82.22</w:t>
            </w:r>
          </w:p>
        </w:tc>
        <w:tc>
          <w:tcPr>
            <w:tcW w:w="448"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48.13</w:t>
            </w:r>
          </w:p>
        </w:tc>
        <w:tc>
          <w:tcPr>
            <w:tcW w:w="448"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65.18</w:t>
            </w:r>
          </w:p>
        </w:tc>
        <w:tc>
          <w:tcPr>
            <w:tcW w:w="559"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160</w:t>
            </w:r>
          </w:p>
        </w:tc>
        <w:tc>
          <w:tcPr>
            <w:tcW w:w="500"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1.73</w:t>
            </w:r>
          </w:p>
        </w:tc>
        <w:tc>
          <w:tcPr>
            <w:tcW w:w="556"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2.50</w:t>
            </w:r>
          </w:p>
        </w:tc>
        <w:tc>
          <w:tcPr>
            <w:tcW w:w="501"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2.33</w:t>
            </w:r>
          </w:p>
        </w:tc>
        <w:tc>
          <w:tcPr>
            <w:tcW w:w="502"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54" w:type="pct"/>
            <w:vMerge w:val="continue"/>
            <w:vAlign w:val="center"/>
          </w:tcPr>
          <w:p>
            <w:pPr>
              <w:pStyle w:val="160"/>
              <w:spacing w:before="97"/>
              <w:jc w:val="center"/>
              <w:rPr>
                <w:rFonts w:ascii="Times New Roman" w:hAnsi="Times New Roman" w:cs="Times New Roman"/>
                <w:color w:val="auto"/>
                <w:sz w:val="18"/>
                <w:szCs w:val="18"/>
                <w:highlight w:val="none"/>
              </w:rPr>
            </w:pPr>
          </w:p>
        </w:tc>
        <w:tc>
          <w:tcPr>
            <w:tcW w:w="684"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地震情况</w:t>
            </w:r>
          </w:p>
        </w:tc>
        <w:tc>
          <w:tcPr>
            <w:tcW w:w="448"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88.30</w:t>
            </w:r>
          </w:p>
        </w:tc>
        <w:tc>
          <w:tcPr>
            <w:tcW w:w="448"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52.15</w:t>
            </w:r>
          </w:p>
        </w:tc>
        <w:tc>
          <w:tcPr>
            <w:tcW w:w="448"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70.23</w:t>
            </w:r>
          </w:p>
        </w:tc>
        <w:tc>
          <w:tcPr>
            <w:tcW w:w="559"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160</w:t>
            </w:r>
          </w:p>
        </w:tc>
        <w:tc>
          <w:tcPr>
            <w:tcW w:w="500"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1.69</w:t>
            </w:r>
          </w:p>
        </w:tc>
        <w:tc>
          <w:tcPr>
            <w:tcW w:w="556"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2.50</w:t>
            </w:r>
          </w:p>
        </w:tc>
        <w:tc>
          <w:tcPr>
            <w:tcW w:w="501"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1.77</w:t>
            </w:r>
          </w:p>
        </w:tc>
        <w:tc>
          <w:tcPr>
            <w:tcW w:w="502"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1.05</w:t>
            </w:r>
          </w:p>
        </w:tc>
      </w:tr>
    </w:tbl>
    <w:p>
      <w:pPr>
        <w:ind w:firstLine="480"/>
        <w:rPr>
          <w:rFonts w:cs="Times New Roman"/>
          <w:color w:val="auto"/>
          <w:highlight w:val="none"/>
        </w:rPr>
      </w:pPr>
      <w:r>
        <w:rPr>
          <w:rFonts w:cs="Times New Roman"/>
          <w:color w:val="auto"/>
          <w:highlight w:val="none"/>
        </w:rPr>
        <w:t>由计算表格可得出，在各种工况下，橡胶坝边墩的稳定安全系数、地基承载力均满足规范要求。</w:t>
      </w:r>
    </w:p>
    <w:p>
      <w:pPr>
        <w:ind w:firstLine="480"/>
        <w:rPr>
          <w:rFonts w:cs="Times New Roman"/>
          <w:color w:val="auto"/>
          <w:highlight w:val="none"/>
        </w:rPr>
      </w:pPr>
      <w:r>
        <w:rPr>
          <w:rFonts w:cs="Times New Roman"/>
          <w:color w:val="auto"/>
          <w:highlight w:val="none"/>
        </w:rPr>
        <w:t>3、翼墙稳定计算</w:t>
      </w:r>
    </w:p>
    <w:p>
      <w:pPr>
        <w:ind w:firstLine="480"/>
        <w:rPr>
          <w:rFonts w:cs="Times New Roman"/>
          <w:color w:val="auto"/>
          <w:sz w:val="22"/>
          <w:highlight w:val="none"/>
        </w:rPr>
      </w:pPr>
      <w:r>
        <w:rPr>
          <w:rFonts w:cs="Times New Roman"/>
          <w:color w:val="auto"/>
          <w:highlight w:val="none"/>
        </w:rPr>
        <w:t>橡胶坝上下游翼墙均采用钢筋砼悬臂式挡土墙，上下游挡土墙断面详见附图，选取橡胶坝挡土墙最大断面进行稳定计算。</w:t>
      </w:r>
    </w:p>
    <w:p>
      <w:pPr>
        <w:ind w:firstLine="480"/>
        <w:rPr>
          <w:rFonts w:cs="Times New Roman"/>
          <w:color w:val="auto"/>
          <w:highlight w:val="none"/>
        </w:rPr>
      </w:pPr>
      <w:r>
        <w:rPr>
          <w:rFonts w:cs="Times New Roman"/>
          <w:color w:val="auto"/>
          <w:highlight w:val="none"/>
        </w:rPr>
        <w:t>（1）计算说明</w:t>
      </w:r>
    </w:p>
    <w:p>
      <w:pPr>
        <w:ind w:firstLine="480"/>
        <w:rPr>
          <w:rFonts w:cs="Times New Roman"/>
          <w:color w:val="auto"/>
          <w:highlight w:val="none"/>
        </w:rPr>
      </w:pPr>
      <w:r>
        <w:rPr>
          <w:rFonts w:cs="Times New Roman"/>
          <w:color w:val="auto"/>
          <w:highlight w:val="none"/>
        </w:rPr>
        <w:t>作用于挡土墙最大断面上（取单宽米）的荷载有：结构自重、土重、土压力、水压力、扬压力等。</w:t>
      </w:r>
    </w:p>
    <w:p>
      <w:pPr>
        <w:ind w:firstLine="480"/>
        <w:rPr>
          <w:rFonts w:cs="Times New Roman"/>
          <w:color w:val="auto"/>
          <w:highlight w:val="none"/>
        </w:rPr>
      </w:pPr>
      <w:r>
        <w:rPr>
          <w:rFonts w:cs="Times New Roman"/>
          <w:color w:val="auto"/>
          <w:highlight w:val="none"/>
        </w:rPr>
        <w:t>墙体重度：钢筋砼采用25kN/m</w:t>
      </w:r>
      <w:r>
        <w:rPr>
          <w:rFonts w:cs="Times New Roman"/>
          <w:color w:val="auto"/>
          <w:highlight w:val="none"/>
          <w:vertAlign w:val="superscript"/>
        </w:rPr>
        <w:t>3</w:t>
      </w:r>
      <w:r>
        <w:rPr>
          <w:rFonts w:cs="Times New Roman"/>
          <w:color w:val="auto"/>
          <w:highlight w:val="none"/>
        </w:rPr>
        <w:t>。</w:t>
      </w:r>
    </w:p>
    <w:p>
      <w:pPr>
        <w:ind w:firstLine="480"/>
        <w:rPr>
          <w:rFonts w:cs="Times New Roman"/>
          <w:color w:val="auto"/>
          <w:highlight w:val="none"/>
        </w:rPr>
      </w:pPr>
      <w:r>
        <w:rPr>
          <w:rFonts w:cs="Times New Roman"/>
          <w:color w:val="auto"/>
          <w:highlight w:val="none"/>
        </w:rPr>
        <w:t>墙后回填中粗砂性质：内摩擦角22.5°，粘聚力20kPa，湿容重20.5kN/m</w:t>
      </w:r>
      <w:r>
        <w:rPr>
          <w:rFonts w:cs="Times New Roman"/>
          <w:color w:val="auto"/>
          <w:highlight w:val="none"/>
          <w:vertAlign w:val="superscript"/>
        </w:rPr>
        <w:t>3</w:t>
      </w:r>
      <w:r>
        <w:rPr>
          <w:rFonts w:cs="Times New Roman"/>
          <w:color w:val="auto"/>
          <w:highlight w:val="none"/>
        </w:rPr>
        <w:t>，干容重16.3kN/m</w:t>
      </w:r>
      <w:r>
        <w:rPr>
          <w:rFonts w:cs="Times New Roman"/>
          <w:color w:val="auto"/>
          <w:highlight w:val="none"/>
          <w:vertAlign w:val="superscript"/>
        </w:rPr>
        <w:t>3</w:t>
      </w:r>
      <w:r>
        <w:rPr>
          <w:rFonts w:cs="Times New Roman"/>
          <w:color w:val="auto"/>
          <w:highlight w:val="none"/>
        </w:rPr>
        <w:t>。</w:t>
      </w:r>
    </w:p>
    <w:p>
      <w:pPr>
        <w:ind w:firstLine="480"/>
        <w:rPr>
          <w:rFonts w:cs="Times New Roman"/>
          <w:color w:val="auto"/>
          <w:highlight w:val="none"/>
        </w:rPr>
      </w:pPr>
      <w:r>
        <w:rPr>
          <w:rFonts w:cs="Times New Roman"/>
          <w:color w:val="auto"/>
          <w:highlight w:val="none"/>
        </w:rPr>
        <w:t>（2）工况及荷载组合</w:t>
      </w:r>
    </w:p>
    <w:p>
      <w:pPr>
        <w:ind w:firstLine="480"/>
        <w:jc w:val="center"/>
        <w:rPr>
          <w:rFonts w:eastAsia="黑体" w:cs="Times New Roman"/>
          <w:color w:val="auto"/>
          <w:highlight w:val="none"/>
        </w:rPr>
      </w:pPr>
      <w:r>
        <w:rPr>
          <w:rFonts w:eastAsia="黑体" w:cs="Times New Roman"/>
          <w:color w:val="auto"/>
          <w:highlight w:val="none"/>
        </w:rPr>
        <w:t>表5.8-8计算工况及荷载组合表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4"/>
        <w:gridCol w:w="1198"/>
        <w:gridCol w:w="1150"/>
        <w:gridCol w:w="1065"/>
        <w:gridCol w:w="1065"/>
        <w:gridCol w:w="1065"/>
        <w:gridCol w:w="849"/>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jc w:val="center"/>
        </w:trPr>
        <w:tc>
          <w:tcPr>
            <w:tcW w:w="624" w:type="pct"/>
            <w:vMerge w:val="restart"/>
            <w:vAlign w:val="center"/>
          </w:tcPr>
          <w:p>
            <w:pPr>
              <w:pStyle w:val="160"/>
              <w:spacing w:before="97"/>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荷载组合</w:t>
            </w:r>
          </w:p>
        </w:tc>
        <w:tc>
          <w:tcPr>
            <w:tcW w:w="703" w:type="pct"/>
            <w:vMerge w:val="restart"/>
            <w:vAlign w:val="center"/>
          </w:tcPr>
          <w:p>
            <w:pPr>
              <w:pStyle w:val="160"/>
              <w:spacing w:before="97"/>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计算工况</w:t>
            </w:r>
          </w:p>
        </w:tc>
        <w:tc>
          <w:tcPr>
            <w:tcW w:w="3674" w:type="pct"/>
            <w:gridSpan w:val="6"/>
            <w:vAlign w:val="center"/>
          </w:tcPr>
          <w:p>
            <w:pPr>
              <w:pStyle w:val="160"/>
              <w:spacing w:before="97"/>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荷载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4" w:type="pct"/>
            <w:vMerge w:val="continue"/>
            <w:vAlign w:val="center"/>
          </w:tcPr>
          <w:p>
            <w:pPr>
              <w:pStyle w:val="160"/>
              <w:spacing w:before="97"/>
              <w:jc w:val="center"/>
              <w:rPr>
                <w:rFonts w:ascii="Times New Roman" w:hAnsi="Times New Roman" w:cs="Times New Roman"/>
                <w:color w:val="auto"/>
                <w:sz w:val="21"/>
                <w:szCs w:val="21"/>
                <w:highlight w:val="none"/>
              </w:rPr>
            </w:pPr>
          </w:p>
        </w:tc>
        <w:tc>
          <w:tcPr>
            <w:tcW w:w="703" w:type="pct"/>
            <w:vMerge w:val="continue"/>
            <w:vAlign w:val="center"/>
          </w:tcPr>
          <w:p>
            <w:pPr>
              <w:pStyle w:val="160"/>
              <w:spacing w:before="97"/>
              <w:jc w:val="center"/>
              <w:rPr>
                <w:rFonts w:ascii="Times New Roman" w:hAnsi="Times New Roman" w:cs="Times New Roman"/>
                <w:color w:val="auto"/>
                <w:sz w:val="21"/>
                <w:szCs w:val="21"/>
                <w:highlight w:val="none"/>
              </w:rPr>
            </w:pPr>
          </w:p>
        </w:tc>
        <w:tc>
          <w:tcPr>
            <w:tcW w:w="675" w:type="pct"/>
            <w:vAlign w:val="center"/>
          </w:tcPr>
          <w:p>
            <w:pPr>
              <w:pStyle w:val="160"/>
              <w:spacing w:before="97"/>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自重</w:t>
            </w:r>
          </w:p>
        </w:tc>
        <w:tc>
          <w:tcPr>
            <w:tcW w:w="625" w:type="pct"/>
            <w:vAlign w:val="center"/>
          </w:tcPr>
          <w:p>
            <w:pPr>
              <w:pStyle w:val="160"/>
              <w:spacing w:before="97"/>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土重</w:t>
            </w:r>
          </w:p>
        </w:tc>
        <w:tc>
          <w:tcPr>
            <w:tcW w:w="625" w:type="pct"/>
            <w:vAlign w:val="center"/>
          </w:tcPr>
          <w:p>
            <w:pPr>
              <w:pStyle w:val="160"/>
              <w:spacing w:before="97"/>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土压力</w:t>
            </w:r>
          </w:p>
        </w:tc>
        <w:tc>
          <w:tcPr>
            <w:tcW w:w="625" w:type="pct"/>
            <w:vAlign w:val="center"/>
          </w:tcPr>
          <w:p>
            <w:pPr>
              <w:pStyle w:val="160"/>
              <w:spacing w:before="97"/>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静水压力</w:t>
            </w:r>
          </w:p>
        </w:tc>
        <w:tc>
          <w:tcPr>
            <w:tcW w:w="498" w:type="pct"/>
            <w:vAlign w:val="center"/>
          </w:tcPr>
          <w:p>
            <w:pPr>
              <w:pStyle w:val="160"/>
              <w:spacing w:before="97"/>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扬压力</w:t>
            </w:r>
          </w:p>
        </w:tc>
        <w:tc>
          <w:tcPr>
            <w:tcW w:w="625" w:type="pct"/>
            <w:vAlign w:val="center"/>
          </w:tcPr>
          <w:p>
            <w:pPr>
              <w:pStyle w:val="160"/>
              <w:spacing w:before="97"/>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地震荷载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4" w:type="pct"/>
            <w:vMerge w:val="restart"/>
            <w:shd w:val="clear" w:color="auto" w:fill="auto"/>
            <w:vAlign w:val="center"/>
          </w:tcPr>
          <w:p>
            <w:pPr>
              <w:pStyle w:val="160"/>
              <w:spacing w:before="97"/>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基本组合</w:t>
            </w:r>
          </w:p>
        </w:tc>
        <w:tc>
          <w:tcPr>
            <w:tcW w:w="703" w:type="pct"/>
            <w:vAlign w:val="center"/>
          </w:tcPr>
          <w:p>
            <w:pPr>
              <w:pStyle w:val="160"/>
              <w:spacing w:before="97"/>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施工完建</w:t>
            </w:r>
          </w:p>
        </w:tc>
        <w:tc>
          <w:tcPr>
            <w:tcW w:w="675" w:type="pct"/>
            <w:vAlign w:val="center"/>
          </w:tcPr>
          <w:p>
            <w:pPr>
              <w:pStyle w:val="160"/>
              <w:spacing w:before="97"/>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625" w:type="pct"/>
            <w:vAlign w:val="center"/>
          </w:tcPr>
          <w:p>
            <w:pPr>
              <w:pStyle w:val="160"/>
              <w:spacing w:before="97"/>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625" w:type="pct"/>
            <w:vAlign w:val="center"/>
          </w:tcPr>
          <w:p>
            <w:pPr>
              <w:pStyle w:val="160"/>
              <w:spacing w:before="97"/>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625" w:type="pct"/>
            <w:vAlign w:val="center"/>
          </w:tcPr>
          <w:p>
            <w:pPr>
              <w:pStyle w:val="160"/>
              <w:spacing w:before="97"/>
              <w:jc w:val="center"/>
              <w:rPr>
                <w:rFonts w:ascii="Times New Roman" w:hAnsi="Times New Roman" w:cs="Times New Roman"/>
                <w:color w:val="auto"/>
                <w:sz w:val="21"/>
                <w:szCs w:val="21"/>
                <w:highlight w:val="none"/>
              </w:rPr>
            </w:pPr>
          </w:p>
        </w:tc>
        <w:tc>
          <w:tcPr>
            <w:tcW w:w="498" w:type="pct"/>
            <w:vAlign w:val="center"/>
          </w:tcPr>
          <w:p>
            <w:pPr>
              <w:pStyle w:val="160"/>
              <w:spacing w:before="97"/>
              <w:jc w:val="center"/>
              <w:rPr>
                <w:rFonts w:ascii="Times New Roman" w:hAnsi="Times New Roman" w:cs="Times New Roman"/>
                <w:color w:val="auto"/>
                <w:sz w:val="21"/>
                <w:szCs w:val="21"/>
                <w:highlight w:val="none"/>
              </w:rPr>
            </w:pPr>
          </w:p>
        </w:tc>
        <w:tc>
          <w:tcPr>
            <w:tcW w:w="625" w:type="pct"/>
            <w:vAlign w:val="center"/>
          </w:tcPr>
          <w:p>
            <w:pPr>
              <w:pStyle w:val="160"/>
              <w:spacing w:before="97"/>
              <w:jc w:val="center"/>
              <w:rPr>
                <w:rFonts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4" w:type="pct"/>
            <w:vMerge w:val="continue"/>
            <w:shd w:val="clear" w:color="auto" w:fill="auto"/>
            <w:vAlign w:val="center"/>
          </w:tcPr>
          <w:p>
            <w:pPr>
              <w:pStyle w:val="160"/>
              <w:spacing w:before="97"/>
              <w:jc w:val="center"/>
              <w:rPr>
                <w:rFonts w:ascii="Times New Roman" w:hAnsi="Times New Roman" w:cs="Times New Roman"/>
                <w:color w:val="auto"/>
                <w:sz w:val="21"/>
                <w:szCs w:val="21"/>
                <w:highlight w:val="none"/>
              </w:rPr>
            </w:pPr>
          </w:p>
        </w:tc>
        <w:tc>
          <w:tcPr>
            <w:tcW w:w="703" w:type="pct"/>
            <w:vAlign w:val="center"/>
          </w:tcPr>
          <w:p>
            <w:pPr>
              <w:pStyle w:val="160"/>
              <w:spacing w:before="97"/>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正常蓄水</w:t>
            </w:r>
          </w:p>
        </w:tc>
        <w:tc>
          <w:tcPr>
            <w:tcW w:w="675" w:type="pct"/>
            <w:vAlign w:val="center"/>
          </w:tcPr>
          <w:p>
            <w:pPr>
              <w:pStyle w:val="160"/>
              <w:spacing w:before="97"/>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625" w:type="pct"/>
            <w:vAlign w:val="center"/>
          </w:tcPr>
          <w:p>
            <w:pPr>
              <w:pStyle w:val="160"/>
              <w:spacing w:before="97"/>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625" w:type="pct"/>
            <w:vAlign w:val="center"/>
          </w:tcPr>
          <w:p>
            <w:pPr>
              <w:pStyle w:val="160"/>
              <w:spacing w:before="97"/>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625" w:type="pct"/>
            <w:vAlign w:val="center"/>
          </w:tcPr>
          <w:p>
            <w:pPr>
              <w:pStyle w:val="160"/>
              <w:spacing w:before="97"/>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498" w:type="pct"/>
            <w:vAlign w:val="center"/>
          </w:tcPr>
          <w:p>
            <w:pPr>
              <w:pStyle w:val="160"/>
              <w:spacing w:before="97"/>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625" w:type="pct"/>
            <w:vAlign w:val="center"/>
          </w:tcPr>
          <w:p>
            <w:pPr>
              <w:pStyle w:val="160"/>
              <w:spacing w:before="97"/>
              <w:jc w:val="center"/>
              <w:rPr>
                <w:rFonts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4" w:type="pct"/>
            <w:vMerge w:val="continue"/>
            <w:shd w:val="clear" w:color="auto" w:fill="auto"/>
            <w:vAlign w:val="center"/>
          </w:tcPr>
          <w:p>
            <w:pPr>
              <w:pStyle w:val="160"/>
              <w:spacing w:before="97"/>
              <w:jc w:val="center"/>
              <w:rPr>
                <w:rFonts w:ascii="Times New Roman" w:hAnsi="Times New Roman" w:cs="Times New Roman"/>
                <w:color w:val="auto"/>
                <w:sz w:val="21"/>
                <w:szCs w:val="21"/>
                <w:highlight w:val="none"/>
              </w:rPr>
            </w:pPr>
          </w:p>
        </w:tc>
        <w:tc>
          <w:tcPr>
            <w:tcW w:w="703" w:type="pct"/>
            <w:vAlign w:val="center"/>
          </w:tcPr>
          <w:p>
            <w:pPr>
              <w:pStyle w:val="160"/>
              <w:spacing w:before="97"/>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设计洪水</w:t>
            </w:r>
          </w:p>
        </w:tc>
        <w:tc>
          <w:tcPr>
            <w:tcW w:w="675" w:type="pct"/>
            <w:vAlign w:val="center"/>
          </w:tcPr>
          <w:p>
            <w:pPr>
              <w:pStyle w:val="160"/>
              <w:spacing w:before="97"/>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625" w:type="pct"/>
            <w:vAlign w:val="center"/>
          </w:tcPr>
          <w:p>
            <w:pPr>
              <w:pStyle w:val="160"/>
              <w:spacing w:before="97"/>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625" w:type="pct"/>
            <w:vAlign w:val="center"/>
          </w:tcPr>
          <w:p>
            <w:pPr>
              <w:pStyle w:val="160"/>
              <w:spacing w:before="97"/>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625" w:type="pct"/>
            <w:vAlign w:val="center"/>
          </w:tcPr>
          <w:p>
            <w:pPr>
              <w:pStyle w:val="160"/>
              <w:spacing w:before="97"/>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498" w:type="pct"/>
            <w:vAlign w:val="center"/>
          </w:tcPr>
          <w:p>
            <w:pPr>
              <w:pStyle w:val="160"/>
              <w:spacing w:before="97"/>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625" w:type="pct"/>
            <w:vAlign w:val="center"/>
          </w:tcPr>
          <w:p>
            <w:pPr>
              <w:pStyle w:val="160"/>
              <w:spacing w:before="97"/>
              <w:jc w:val="center"/>
              <w:rPr>
                <w:rFonts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4" w:type="pct"/>
            <w:vMerge w:val="restart"/>
            <w:shd w:val="clear" w:color="auto" w:fill="auto"/>
            <w:vAlign w:val="center"/>
          </w:tcPr>
          <w:p>
            <w:pPr>
              <w:pStyle w:val="160"/>
              <w:spacing w:before="97"/>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特殊组合</w:t>
            </w:r>
          </w:p>
        </w:tc>
        <w:tc>
          <w:tcPr>
            <w:tcW w:w="703" w:type="pct"/>
            <w:vAlign w:val="center"/>
          </w:tcPr>
          <w:p>
            <w:pPr>
              <w:pStyle w:val="160"/>
              <w:spacing w:before="97"/>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校核洪水</w:t>
            </w:r>
          </w:p>
        </w:tc>
        <w:tc>
          <w:tcPr>
            <w:tcW w:w="675" w:type="pct"/>
            <w:vAlign w:val="center"/>
          </w:tcPr>
          <w:p>
            <w:pPr>
              <w:pStyle w:val="160"/>
              <w:spacing w:before="97"/>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625" w:type="pct"/>
            <w:vAlign w:val="center"/>
          </w:tcPr>
          <w:p>
            <w:pPr>
              <w:pStyle w:val="160"/>
              <w:spacing w:before="97"/>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625" w:type="pct"/>
            <w:vAlign w:val="center"/>
          </w:tcPr>
          <w:p>
            <w:pPr>
              <w:pStyle w:val="160"/>
              <w:spacing w:before="97"/>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625" w:type="pct"/>
            <w:vAlign w:val="center"/>
          </w:tcPr>
          <w:p>
            <w:pPr>
              <w:pStyle w:val="160"/>
              <w:spacing w:before="97"/>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498" w:type="pct"/>
            <w:vAlign w:val="center"/>
          </w:tcPr>
          <w:p>
            <w:pPr>
              <w:pStyle w:val="160"/>
              <w:spacing w:before="97"/>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625" w:type="pct"/>
            <w:vAlign w:val="center"/>
          </w:tcPr>
          <w:p>
            <w:pPr>
              <w:pStyle w:val="160"/>
              <w:spacing w:before="97"/>
              <w:jc w:val="center"/>
              <w:rPr>
                <w:rFonts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4" w:type="pct"/>
            <w:vMerge w:val="continue"/>
            <w:vAlign w:val="center"/>
          </w:tcPr>
          <w:p>
            <w:pPr>
              <w:pStyle w:val="160"/>
              <w:spacing w:before="97"/>
              <w:jc w:val="center"/>
              <w:rPr>
                <w:rFonts w:ascii="Times New Roman" w:hAnsi="Times New Roman" w:cs="Times New Roman"/>
                <w:color w:val="auto"/>
                <w:sz w:val="21"/>
                <w:szCs w:val="21"/>
                <w:highlight w:val="none"/>
              </w:rPr>
            </w:pPr>
          </w:p>
        </w:tc>
        <w:tc>
          <w:tcPr>
            <w:tcW w:w="703" w:type="pct"/>
            <w:vAlign w:val="center"/>
          </w:tcPr>
          <w:p>
            <w:pPr>
              <w:pStyle w:val="160"/>
              <w:spacing w:before="97"/>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地震情况</w:t>
            </w:r>
          </w:p>
        </w:tc>
        <w:tc>
          <w:tcPr>
            <w:tcW w:w="675" w:type="pct"/>
            <w:vAlign w:val="center"/>
          </w:tcPr>
          <w:p>
            <w:pPr>
              <w:pStyle w:val="160"/>
              <w:spacing w:before="97"/>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625" w:type="pct"/>
            <w:vAlign w:val="center"/>
          </w:tcPr>
          <w:p>
            <w:pPr>
              <w:pStyle w:val="160"/>
              <w:spacing w:before="97"/>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625" w:type="pct"/>
            <w:vAlign w:val="center"/>
          </w:tcPr>
          <w:p>
            <w:pPr>
              <w:pStyle w:val="160"/>
              <w:spacing w:before="97"/>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625" w:type="pct"/>
            <w:vAlign w:val="center"/>
          </w:tcPr>
          <w:p>
            <w:pPr>
              <w:pStyle w:val="160"/>
              <w:spacing w:before="97"/>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498" w:type="pct"/>
            <w:vAlign w:val="center"/>
          </w:tcPr>
          <w:p>
            <w:pPr>
              <w:pStyle w:val="160"/>
              <w:spacing w:before="97"/>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625" w:type="pct"/>
            <w:vAlign w:val="center"/>
          </w:tcPr>
          <w:p>
            <w:pPr>
              <w:pStyle w:val="160"/>
              <w:spacing w:before="97"/>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r>
    </w:tbl>
    <w:p>
      <w:pPr>
        <w:ind w:firstLine="480"/>
        <w:rPr>
          <w:rFonts w:cs="Times New Roman"/>
          <w:color w:val="auto"/>
          <w:highlight w:val="none"/>
        </w:rPr>
      </w:pPr>
      <w:r>
        <w:rPr>
          <w:rFonts w:cs="Times New Roman"/>
          <w:color w:val="auto"/>
          <w:highlight w:val="none"/>
        </w:rPr>
        <w:t>（3）抗滑稳定计算:</w:t>
      </w:r>
    </w:p>
    <w:p>
      <w:pPr>
        <w:ind w:firstLine="480"/>
        <w:jc w:val="center"/>
        <w:rPr>
          <w:rFonts w:cs="Times New Roman"/>
          <w:color w:val="auto"/>
          <w:highlight w:val="none"/>
        </w:rPr>
      </w:pPr>
      <w:r>
        <w:rPr>
          <w:rFonts w:cs="Times New Roman"/>
          <w:color w:val="auto"/>
          <w:highlight w:val="none"/>
        </w:rPr>
        <w:object>
          <v:shape id="_x0000_i1039" o:spt="75" type="#_x0000_t75" style="height:39.5pt;width:66pt;" o:ole="t" filled="f" o:preferrelative="t" stroked="f" coordsize="21600,21600">
            <v:path/>
            <v:fill on="f" focussize="0,0"/>
            <v:stroke on="f" joinstyle="miter"/>
            <v:imagedata r:id="rId60" o:title=""/>
            <o:lock v:ext="edit" aspectratio="t"/>
            <w10:wrap type="none"/>
            <w10:anchorlock/>
          </v:shape>
          <o:OLEObject Type="Embed" ProgID="Equation.3" ShapeID="_x0000_i1039" DrawAspect="Content" ObjectID="_1468075739" r:id="rId67">
            <o:LockedField>false</o:LockedField>
          </o:OLEObject>
        </w:object>
      </w:r>
    </w:p>
    <w:p>
      <w:pPr>
        <w:ind w:firstLine="480"/>
        <w:rPr>
          <w:rFonts w:cs="Times New Roman"/>
          <w:color w:val="auto"/>
          <w:highlight w:val="none"/>
        </w:rPr>
      </w:pPr>
      <w:r>
        <w:rPr>
          <w:rFonts w:cs="Times New Roman"/>
          <w:color w:val="auto"/>
          <w:highlight w:val="none"/>
        </w:rPr>
        <w:t>式中：K</w:t>
      </w:r>
      <w:r>
        <w:rPr>
          <w:rFonts w:cs="Times New Roman"/>
          <w:color w:val="auto"/>
          <w:highlight w:val="none"/>
          <w:vertAlign w:val="subscript"/>
        </w:rPr>
        <w:t>c</w:t>
      </w:r>
      <w:r>
        <w:rPr>
          <w:rFonts w:cs="Times New Roman"/>
          <w:color w:val="auto"/>
          <w:highlight w:val="none"/>
        </w:rPr>
        <w:t>—抗滑稳定安全系数；</w:t>
      </w:r>
    </w:p>
    <w:p>
      <w:pPr>
        <w:ind w:firstLine="1132" w:firstLineChars="472"/>
        <w:rPr>
          <w:rFonts w:cs="Times New Roman"/>
          <w:color w:val="auto"/>
          <w:highlight w:val="none"/>
        </w:rPr>
      </w:pPr>
      <w:r>
        <w:rPr>
          <w:rFonts w:cs="Times New Roman"/>
          <w:color w:val="auto"/>
          <w:highlight w:val="none"/>
        </w:rPr>
        <w:t>f —基础底板与地基之间的摩擦系数，由地勘报告取值0.3；</w:t>
      </w:r>
    </w:p>
    <w:p>
      <w:pPr>
        <w:ind w:firstLine="1132" w:firstLineChars="472"/>
        <w:rPr>
          <w:rFonts w:cs="Times New Roman"/>
          <w:color w:val="auto"/>
          <w:highlight w:val="none"/>
        </w:rPr>
      </w:pPr>
      <w:r>
        <w:rPr>
          <w:rFonts w:cs="Times New Roman"/>
          <w:color w:val="auto"/>
          <w:highlight w:val="none"/>
        </w:rPr>
        <w:t>∑G—作用在翼墙上的全部竖向荷载(KN)；</w:t>
      </w:r>
    </w:p>
    <w:p>
      <w:pPr>
        <w:ind w:firstLine="1132" w:firstLineChars="472"/>
        <w:rPr>
          <w:rFonts w:cs="Times New Roman"/>
          <w:color w:val="auto"/>
          <w:highlight w:val="none"/>
        </w:rPr>
      </w:pPr>
      <w:r>
        <w:rPr>
          <w:rFonts w:cs="Times New Roman"/>
          <w:color w:val="auto"/>
          <w:highlight w:val="none"/>
        </w:rPr>
        <w:t>∑F—作用在翼墙上的全部水平向荷载(KN)。</w:t>
      </w:r>
    </w:p>
    <w:p>
      <w:pPr>
        <w:ind w:firstLine="480"/>
        <w:rPr>
          <w:rFonts w:cs="Times New Roman"/>
          <w:color w:val="auto"/>
          <w:highlight w:val="none"/>
        </w:rPr>
      </w:pPr>
      <w:r>
        <w:rPr>
          <w:rFonts w:cs="Times New Roman"/>
          <w:color w:val="auto"/>
          <w:highlight w:val="none"/>
        </w:rPr>
        <w:t>（4）地基应力验算</w:t>
      </w:r>
    </w:p>
    <w:p>
      <w:pPr>
        <w:ind w:firstLine="480"/>
        <w:jc w:val="center"/>
        <w:rPr>
          <w:rFonts w:cs="Times New Roman"/>
          <w:color w:val="auto"/>
          <w:highlight w:val="none"/>
        </w:rPr>
      </w:pPr>
      <w:r>
        <w:rPr>
          <w:rFonts w:cs="Times New Roman"/>
          <w:color w:val="auto"/>
          <w:highlight w:val="none"/>
        </w:rPr>
        <w:object>
          <v:shape id="_x0000_i1040" o:spt="75" type="#_x0000_t75" style="height:39.5pt;width:75.5pt;" o:ole="t" filled="f" o:preferrelative="t" stroked="f" coordsize="21600,21600">
            <v:path/>
            <v:fill on="f" focussize="0,0"/>
            <v:stroke on="f" joinstyle="miter"/>
            <v:imagedata r:id="rId62" o:title=""/>
            <o:lock v:ext="edit" aspectratio="t"/>
            <w10:wrap type="none"/>
            <w10:anchorlock/>
          </v:shape>
          <o:OLEObject Type="Embed" ProgID="Equation.3" ShapeID="_x0000_i1040" DrawAspect="Content" ObjectID="_1468075740" r:id="rId68">
            <o:LockedField>false</o:LockedField>
          </o:OLEObject>
        </w:object>
      </w:r>
    </w:p>
    <w:p>
      <w:pPr>
        <w:ind w:firstLine="480"/>
        <w:jc w:val="center"/>
        <w:rPr>
          <w:rFonts w:cs="Times New Roman"/>
          <w:color w:val="auto"/>
          <w:highlight w:val="none"/>
        </w:rPr>
      </w:pPr>
      <w:r>
        <w:rPr>
          <w:rFonts w:cs="Times New Roman"/>
          <w:color w:val="auto"/>
          <w:highlight w:val="none"/>
        </w:rPr>
        <w:object>
          <v:shape id="_x0000_i1041" o:spt="75" type="#_x0000_t75" style="height:37.5pt;width:119pt;" o:ole="t" filled="f" o:preferrelative="t" stroked="f" coordsize="21600,21600">
            <v:path/>
            <v:fill on="f" focussize="0,0"/>
            <v:stroke on="f" joinstyle="miter"/>
            <v:imagedata r:id="rId64" o:title=""/>
            <o:lock v:ext="edit" aspectratio="t"/>
            <w10:wrap type="none"/>
            <w10:anchorlock/>
          </v:shape>
          <o:OLEObject Type="Embed" ProgID="Equation.3" ShapeID="_x0000_i1041" DrawAspect="Content" ObjectID="_1468075741" r:id="rId69">
            <o:LockedField>false</o:LockedField>
          </o:OLEObject>
        </w:object>
      </w:r>
    </w:p>
    <w:p>
      <w:pPr>
        <w:ind w:firstLine="480"/>
        <w:rPr>
          <w:rFonts w:cs="Times New Roman"/>
          <w:color w:val="auto"/>
          <w:highlight w:val="none"/>
        </w:rPr>
      </w:pPr>
      <w:r>
        <w:rPr>
          <w:rFonts w:cs="Times New Roman"/>
          <w:color w:val="auto"/>
          <w:highlight w:val="none"/>
        </w:rPr>
        <w:t>式中：</w:t>
      </w:r>
      <w:r>
        <w:rPr>
          <w:rFonts w:cs="Times New Roman"/>
          <w:color w:val="auto"/>
          <w:highlight w:val="none"/>
        </w:rPr>
        <w:object>
          <v:shape id="_x0000_i1042" o:spt="75" type="#_x0000_t75" style="height:13.5pt;width:26pt;" o:ole="t" filled="f" o:preferrelative="t" stroked="f" coordsize="21600,21600">
            <v:path/>
            <v:fill on="f" focussize="0,0"/>
            <v:stroke on="f" joinstyle="miter"/>
            <v:imagedata r:id="rId66" o:title=""/>
            <o:lock v:ext="edit" aspectratio="t"/>
            <w10:wrap type="none"/>
            <w10:anchorlock/>
          </v:shape>
          <o:OLEObject Type="Embed" ProgID="Equation.3" ShapeID="_x0000_i1042" DrawAspect="Content" ObjectID="_1468075742" r:id="rId70">
            <o:LockedField>false</o:LockedField>
          </o:OLEObject>
        </w:object>
      </w:r>
      <w:r>
        <w:rPr>
          <w:rFonts w:cs="Times New Roman"/>
          <w:color w:val="auto"/>
          <w:highlight w:val="none"/>
        </w:rPr>
        <w:t>—各力对翼墙底板底中心点为矩心计算力矩总和；</w:t>
      </w:r>
    </w:p>
    <w:p>
      <w:pPr>
        <w:ind w:firstLine="1274" w:firstLineChars="531"/>
        <w:rPr>
          <w:rFonts w:cs="Times New Roman"/>
          <w:color w:val="auto"/>
          <w:highlight w:val="none"/>
        </w:rPr>
      </w:pPr>
      <w:r>
        <w:rPr>
          <w:rFonts w:cs="Times New Roman"/>
          <w:color w:val="auto"/>
          <w:highlight w:val="none"/>
        </w:rPr>
        <w:t>B —翼墙底板计算宽度（m）；</w:t>
      </w:r>
    </w:p>
    <w:p>
      <w:pPr>
        <w:ind w:firstLine="1274" w:firstLineChars="531"/>
        <w:rPr>
          <w:rFonts w:cs="Times New Roman"/>
          <w:color w:val="auto"/>
          <w:highlight w:val="none"/>
        </w:rPr>
      </w:pPr>
      <w:r>
        <w:rPr>
          <w:rFonts w:cs="Times New Roman"/>
          <w:color w:val="auto"/>
          <w:highlight w:val="none"/>
        </w:rPr>
        <w:t>L —翼墙底板计算长度（m）；</w:t>
      </w:r>
    </w:p>
    <w:p>
      <w:pPr>
        <w:ind w:firstLine="1274" w:firstLineChars="531"/>
        <w:rPr>
          <w:rFonts w:cs="Times New Roman"/>
          <w:color w:val="auto"/>
          <w:highlight w:val="none"/>
        </w:rPr>
      </w:pPr>
      <w:r>
        <w:rPr>
          <w:rFonts w:cs="Times New Roman"/>
          <w:color w:val="auto"/>
          <w:highlight w:val="none"/>
        </w:rPr>
        <w:t>e</w:t>
      </w:r>
      <w:r>
        <w:rPr>
          <w:rFonts w:cs="Times New Roman"/>
          <w:color w:val="auto"/>
          <w:highlight w:val="none"/>
          <w:vertAlign w:val="subscript"/>
        </w:rPr>
        <w:t>0</w:t>
      </w:r>
      <w:r>
        <w:rPr>
          <w:rFonts w:cs="Times New Roman"/>
          <w:color w:val="auto"/>
          <w:highlight w:val="none"/>
        </w:rPr>
        <w:t>—合力对翼墙底板中心的偏心距（m）。</w:t>
      </w:r>
    </w:p>
    <w:p>
      <w:pPr>
        <w:ind w:firstLine="480"/>
        <w:rPr>
          <w:rFonts w:cs="Times New Roman"/>
          <w:color w:val="auto"/>
          <w:highlight w:val="none"/>
        </w:rPr>
      </w:pPr>
      <w:r>
        <w:rPr>
          <w:rFonts w:cs="Times New Roman"/>
          <w:color w:val="auto"/>
          <w:highlight w:val="none"/>
        </w:rPr>
        <w:t>（5）计算结果</w:t>
      </w:r>
    </w:p>
    <w:p>
      <w:pPr>
        <w:ind w:firstLine="480"/>
        <w:rPr>
          <w:rFonts w:cs="Times New Roman"/>
          <w:color w:val="auto"/>
          <w:highlight w:val="none"/>
        </w:rPr>
      </w:pPr>
      <w:r>
        <w:rPr>
          <w:rFonts w:cs="Times New Roman"/>
          <w:color w:val="auto"/>
          <w:highlight w:val="none"/>
        </w:rPr>
        <w:t>各种荷载组合下的计算结果见下表：</w:t>
      </w:r>
    </w:p>
    <w:p>
      <w:pPr>
        <w:pStyle w:val="137"/>
        <w:rPr>
          <w:color w:val="auto"/>
          <w:highlight w:val="none"/>
        </w:rPr>
      </w:pPr>
      <w:r>
        <w:rPr>
          <w:color w:val="auto"/>
          <w:highlight w:val="none"/>
        </w:rPr>
        <w:t>表5.8-9挡土墙稳定计算成果表</w:t>
      </w:r>
    </w:p>
    <w:tbl>
      <w:tblPr>
        <w:tblStyle w:val="33"/>
        <w:tblW w:w="51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06"/>
        <w:gridCol w:w="1335"/>
        <w:gridCol w:w="802"/>
        <w:gridCol w:w="802"/>
        <w:gridCol w:w="804"/>
        <w:gridCol w:w="893"/>
        <w:gridCol w:w="1002"/>
        <w:gridCol w:w="1004"/>
        <w:gridCol w:w="904"/>
        <w:gridCol w:w="90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229" w:type="pct"/>
            <w:vMerge w:val="restart"/>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部位</w:t>
            </w:r>
          </w:p>
        </w:tc>
        <w:tc>
          <w:tcPr>
            <w:tcW w:w="754" w:type="pct"/>
            <w:vMerge w:val="restar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计算工况</w:t>
            </w:r>
          </w:p>
        </w:tc>
        <w:tc>
          <w:tcPr>
            <w:tcW w:w="1360" w:type="pct"/>
            <w:gridSpan w:val="3"/>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基底应力（kPa）</w:t>
            </w:r>
          </w:p>
        </w:tc>
        <w:tc>
          <w:tcPr>
            <w:tcW w:w="504" w:type="pct"/>
            <w:vMerge w:val="restart"/>
            <w:shd w:val="clear" w:color="auto" w:fill="auto"/>
            <w:vAlign w:val="center"/>
          </w:tcPr>
          <w:p>
            <w:pPr>
              <w:pStyle w:val="160"/>
              <w:spacing w:before="97"/>
              <w:jc w:val="center"/>
              <w:rPr>
                <w:rFonts w:ascii="Times New Roman" w:hAnsi="Times New Roman" w:cs="Times New Roman"/>
                <w:color w:val="auto"/>
                <w:sz w:val="18"/>
                <w:szCs w:val="18"/>
                <w:highlight w:val="none"/>
                <w:lang w:eastAsia="zh-CN"/>
              </w:rPr>
            </w:pPr>
            <w:r>
              <w:rPr>
                <w:rFonts w:ascii="Times New Roman" w:hAnsi="Times New Roman" w:cs="Times New Roman"/>
                <w:color w:val="auto"/>
                <w:sz w:val="18"/>
                <w:szCs w:val="18"/>
                <w:highlight w:val="none"/>
                <w:lang w:eastAsia="zh-CN"/>
              </w:rPr>
              <w:t>地基承载力允许值（kPa）</w:t>
            </w:r>
          </w:p>
        </w:tc>
        <w:tc>
          <w:tcPr>
            <w:tcW w:w="1133" w:type="pct"/>
            <w:gridSpan w:val="2"/>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地基应力不均匀系数</w:t>
            </w:r>
          </w:p>
        </w:tc>
        <w:tc>
          <w:tcPr>
            <w:tcW w:w="1021" w:type="pct"/>
            <w:gridSpan w:val="2"/>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抗滑稳定安全系数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229" w:type="pct"/>
            <w:vMerge w:val="continue"/>
            <w:vAlign w:val="center"/>
          </w:tcPr>
          <w:p>
            <w:pPr>
              <w:pStyle w:val="160"/>
              <w:spacing w:before="97"/>
              <w:jc w:val="center"/>
              <w:rPr>
                <w:rFonts w:ascii="Times New Roman" w:hAnsi="Times New Roman" w:cs="Times New Roman"/>
                <w:color w:val="auto"/>
                <w:sz w:val="18"/>
                <w:szCs w:val="18"/>
                <w:highlight w:val="none"/>
              </w:rPr>
            </w:pPr>
          </w:p>
        </w:tc>
        <w:tc>
          <w:tcPr>
            <w:tcW w:w="754" w:type="pct"/>
            <w:vMerge w:val="continue"/>
            <w:vAlign w:val="center"/>
          </w:tcPr>
          <w:p>
            <w:pPr>
              <w:pStyle w:val="160"/>
              <w:spacing w:before="97"/>
              <w:jc w:val="center"/>
              <w:rPr>
                <w:rFonts w:ascii="Times New Roman" w:hAnsi="Times New Roman" w:cs="Times New Roman"/>
                <w:color w:val="auto"/>
                <w:sz w:val="18"/>
                <w:szCs w:val="18"/>
                <w:highlight w:val="none"/>
              </w:rPr>
            </w:pPr>
          </w:p>
        </w:tc>
        <w:tc>
          <w:tcPr>
            <w:tcW w:w="453"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最大值</w:t>
            </w:r>
          </w:p>
        </w:tc>
        <w:tc>
          <w:tcPr>
            <w:tcW w:w="453"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最小值</w:t>
            </w:r>
          </w:p>
        </w:tc>
        <w:tc>
          <w:tcPr>
            <w:tcW w:w="453"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平均值</w:t>
            </w:r>
          </w:p>
        </w:tc>
        <w:tc>
          <w:tcPr>
            <w:tcW w:w="504" w:type="pct"/>
            <w:vMerge w:val="continue"/>
            <w:vAlign w:val="center"/>
          </w:tcPr>
          <w:p>
            <w:pPr>
              <w:pStyle w:val="160"/>
              <w:spacing w:before="97"/>
              <w:jc w:val="center"/>
              <w:rPr>
                <w:rFonts w:ascii="Times New Roman" w:hAnsi="Times New Roman" w:cs="Times New Roman"/>
                <w:color w:val="auto"/>
                <w:sz w:val="18"/>
                <w:szCs w:val="18"/>
                <w:highlight w:val="none"/>
              </w:rPr>
            </w:pPr>
          </w:p>
        </w:tc>
        <w:tc>
          <w:tcPr>
            <w:tcW w:w="566"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计算值</w:t>
            </w:r>
          </w:p>
        </w:tc>
        <w:tc>
          <w:tcPr>
            <w:tcW w:w="566"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允许值</w:t>
            </w:r>
          </w:p>
        </w:tc>
        <w:tc>
          <w:tcPr>
            <w:tcW w:w="510"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计算值</w:t>
            </w:r>
          </w:p>
        </w:tc>
        <w:tc>
          <w:tcPr>
            <w:tcW w:w="510"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允许值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7" w:hRule="atLeast"/>
          <w:jc w:val="center"/>
        </w:trPr>
        <w:tc>
          <w:tcPr>
            <w:tcW w:w="229" w:type="pct"/>
            <w:vMerge w:val="restart"/>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上游挡墙</w:t>
            </w:r>
          </w:p>
        </w:tc>
        <w:tc>
          <w:tcPr>
            <w:tcW w:w="754"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施工完建</w:t>
            </w:r>
          </w:p>
        </w:tc>
        <w:tc>
          <w:tcPr>
            <w:tcW w:w="453"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112.49</w:t>
            </w:r>
          </w:p>
        </w:tc>
        <w:tc>
          <w:tcPr>
            <w:tcW w:w="453"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95.35</w:t>
            </w:r>
          </w:p>
        </w:tc>
        <w:tc>
          <w:tcPr>
            <w:tcW w:w="453"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103.92</w:t>
            </w:r>
          </w:p>
        </w:tc>
        <w:tc>
          <w:tcPr>
            <w:tcW w:w="504"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160</w:t>
            </w:r>
          </w:p>
        </w:tc>
        <w:tc>
          <w:tcPr>
            <w:tcW w:w="566"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1.18</w:t>
            </w:r>
          </w:p>
        </w:tc>
        <w:tc>
          <w:tcPr>
            <w:tcW w:w="566"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2.00</w:t>
            </w:r>
          </w:p>
        </w:tc>
        <w:tc>
          <w:tcPr>
            <w:tcW w:w="510"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2.04</w:t>
            </w:r>
          </w:p>
        </w:tc>
        <w:tc>
          <w:tcPr>
            <w:tcW w:w="510"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9" w:type="pct"/>
            <w:vMerge w:val="continue"/>
            <w:vAlign w:val="center"/>
          </w:tcPr>
          <w:p>
            <w:pPr>
              <w:pStyle w:val="160"/>
              <w:spacing w:before="97"/>
              <w:jc w:val="center"/>
              <w:rPr>
                <w:rFonts w:ascii="Times New Roman" w:hAnsi="Times New Roman" w:cs="Times New Roman"/>
                <w:color w:val="auto"/>
                <w:sz w:val="18"/>
                <w:szCs w:val="18"/>
                <w:highlight w:val="none"/>
              </w:rPr>
            </w:pPr>
          </w:p>
        </w:tc>
        <w:tc>
          <w:tcPr>
            <w:tcW w:w="754"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正常蓄水</w:t>
            </w:r>
          </w:p>
        </w:tc>
        <w:tc>
          <w:tcPr>
            <w:tcW w:w="453"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94.55</w:t>
            </w:r>
          </w:p>
        </w:tc>
        <w:tc>
          <w:tcPr>
            <w:tcW w:w="453"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63.48</w:t>
            </w:r>
          </w:p>
        </w:tc>
        <w:tc>
          <w:tcPr>
            <w:tcW w:w="453"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79.02</w:t>
            </w:r>
          </w:p>
        </w:tc>
        <w:tc>
          <w:tcPr>
            <w:tcW w:w="504"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160</w:t>
            </w:r>
          </w:p>
        </w:tc>
        <w:tc>
          <w:tcPr>
            <w:tcW w:w="566"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1.49</w:t>
            </w:r>
          </w:p>
        </w:tc>
        <w:tc>
          <w:tcPr>
            <w:tcW w:w="566"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2.00</w:t>
            </w:r>
          </w:p>
        </w:tc>
        <w:tc>
          <w:tcPr>
            <w:tcW w:w="510"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2.10</w:t>
            </w:r>
          </w:p>
        </w:tc>
        <w:tc>
          <w:tcPr>
            <w:tcW w:w="510"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9" w:type="pct"/>
            <w:vMerge w:val="continue"/>
            <w:vAlign w:val="center"/>
          </w:tcPr>
          <w:p>
            <w:pPr>
              <w:pStyle w:val="160"/>
              <w:spacing w:before="97"/>
              <w:jc w:val="center"/>
              <w:rPr>
                <w:rFonts w:ascii="Times New Roman" w:hAnsi="Times New Roman" w:cs="Times New Roman"/>
                <w:color w:val="auto"/>
                <w:sz w:val="18"/>
                <w:szCs w:val="18"/>
                <w:highlight w:val="none"/>
              </w:rPr>
            </w:pPr>
          </w:p>
        </w:tc>
        <w:tc>
          <w:tcPr>
            <w:tcW w:w="754"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设计洪水</w:t>
            </w:r>
          </w:p>
        </w:tc>
        <w:tc>
          <w:tcPr>
            <w:tcW w:w="453"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92.15</w:t>
            </w:r>
          </w:p>
        </w:tc>
        <w:tc>
          <w:tcPr>
            <w:tcW w:w="453"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61.75</w:t>
            </w:r>
          </w:p>
        </w:tc>
        <w:tc>
          <w:tcPr>
            <w:tcW w:w="453"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76.87</w:t>
            </w:r>
          </w:p>
        </w:tc>
        <w:tc>
          <w:tcPr>
            <w:tcW w:w="504"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160</w:t>
            </w:r>
          </w:p>
        </w:tc>
        <w:tc>
          <w:tcPr>
            <w:tcW w:w="566"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1.49</w:t>
            </w:r>
          </w:p>
        </w:tc>
        <w:tc>
          <w:tcPr>
            <w:tcW w:w="566"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2.00</w:t>
            </w:r>
          </w:p>
        </w:tc>
        <w:tc>
          <w:tcPr>
            <w:tcW w:w="510"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2.18</w:t>
            </w:r>
          </w:p>
        </w:tc>
        <w:tc>
          <w:tcPr>
            <w:tcW w:w="510"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9" w:type="pct"/>
            <w:vMerge w:val="continue"/>
            <w:vAlign w:val="center"/>
          </w:tcPr>
          <w:p>
            <w:pPr>
              <w:pStyle w:val="160"/>
              <w:spacing w:before="97"/>
              <w:jc w:val="center"/>
              <w:rPr>
                <w:rFonts w:ascii="Times New Roman" w:hAnsi="Times New Roman" w:cs="Times New Roman"/>
                <w:color w:val="auto"/>
                <w:sz w:val="18"/>
                <w:szCs w:val="18"/>
                <w:highlight w:val="none"/>
              </w:rPr>
            </w:pPr>
          </w:p>
        </w:tc>
        <w:tc>
          <w:tcPr>
            <w:tcW w:w="754"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校核洪水</w:t>
            </w:r>
          </w:p>
        </w:tc>
        <w:tc>
          <w:tcPr>
            <w:tcW w:w="453"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87.53</w:t>
            </w:r>
          </w:p>
        </w:tc>
        <w:tc>
          <w:tcPr>
            <w:tcW w:w="453"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59.43</w:t>
            </w:r>
          </w:p>
        </w:tc>
        <w:tc>
          <w:tcPr>
            <w:tcW w:w="453"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73.48</w:t>
            </w:r>
          </w:p>
        </w:tc>
        <w:tc>
          <w:tcPr>
            <w:tcW w:w="504"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160</w:t>
            </w:r>
          </w:p>
        </w:tc>
        <w:tc>
          <w:tcPr>
            <w:tcW w:w="566"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1.47</w:t>
            </w:r>
          </w:p>
        </w:tc>
        <w:tc>
          <w:tcPr>
            <w:tcW w:w="566"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2.50</w:t>
            </w:r>
          </w:p>
        </w:tc>
        <w:tc>
          <w:tcPr>
            <w:tcW w:w="510"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2.37</w:t>
            </w:r>
          </w:p>
        </w:tc>
        <w:tc>
          <w:tcPr>
            <w:tcW w:w="510"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9" w:type="pct"/>
            <w:vMerge w:val="continue"/>
            <w:vAlign w:val="center"/>
          </w:tcPr>
          <w:p>
            <w:pPr>
              <w:pStyle w:val="160"/>
              <w:spacing w:before="97"/>
              <w:jc w:val="center"/>
              <w:rPr>
                <w:rFonts w:ascii="Times New Roman" w:hAnsi="Times New Roman" w:cs="Times New Roman"/>
                <w:color w:val="auto"/>
                <w:sz w:val="18"/>
                <w:szCs w:val="18"/>
                <w:highlight w:val="none"/>
              </w:rPr>
            </w:pPr>
          </w:p>
        </w:tc>
        <w:tc>
          <w:tcPr>
            <w:tcW w:w="754"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地震情况</w:t>
            </w:r>
          </w:p>
        </w:tc>
        <w:tc>
          <w:tcPr>
            <w:tcW w:w="453"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101.60</w:t>
            </w:r>
          </w:p>
        </w:tc>
        <w:tc>
          <w:tcPr>
            <w:tcW w:w="453"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61.27</w:t>
            </w:r>
          </w:p>
        </w:tc>
        <w:tc>
          <w:tcPr>
            <w:tcW w:w="453"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80.93</w:t>
            </w:r>
          </w:p>
        </w:tc>
        <w:tc>
          <w:tcPr>
            <w:tcW w:w="504"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160</w:t>
            </w:r>
          </w:p>
        </w:tc>
        <w:tc>
          <w:tcPr>
            <w:tcW w:w="566"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1.68</w:t>
            </w:r>
          </w:p>
        </w:tc>
        <w:tc>
          <w:tcPr>
            <w:tcW w:w="566"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2.50</w:t>
            </w:r>
          </w:p>
        </w:tc>
        <w:tc>
          <w:tcPr>
            <w:tcW w:w="510"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1.72</w:t>
            </w:r>
          </w:p>
        </w:tc>
        <w:tc>
          <w:tcPr>
            <w:tcW w:w="510"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9" w:type="pct"/>
            <w:vMerge w:val="restart"/>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下游挡墙</w:t>
            </w:r>
          </w:p>
        </w:tc>
        <w:tc>
          <w:tcPr>
            <w:tcW w:w="754"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施工完建</w:t>
            </w:r>
          </w:p>
        </w:tc>
        <w:tc>
          <w:tcPr>
            <w:tcW w:w="453"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107.35</w:t>
            </w:r>
          </w:p>
        </w:tc>
        <w:tc>
          <w:tcPr>
            <w:tcW w:w="453"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104.50</w:t>
            </w:r>
          </w:p>
        </w:tc>
        <w:tc>
          <w:tcPr>
            <w:tcW w:w="453"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105.93</w:t>
            </w:r>
          </w:p>
        </w:tc>
        <w:tc>
          <w:tcPr>
            <w:tcW w:w="504"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160</w:t>
            </w:r>
          </w:p>
        </w:tc>
        <w:tc>
          <w:tcPr>
            <w:tcW w:w="566"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1.03</w:t>
            </w:r>
          </w:p>
        </w:tc>
        <w:tc>
          <w:tcPr>
            <w:tcW w:w="566"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2.00</w:t>
            </w:r>
          </w:p>
        </w:tc>
        <w:tc>
          <w:tcPr>
            <w:tcW w:w="510"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1.93</w:t>
            </w:r>
          </w:p>
        </w:tc>
        <w:tc>
          <w:tcPr>
            <w:tcW w:w="510"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9" w:type="pct"/>
            <w:vMerge w:val="continue"/>
            <w:vAlign w:val="center"/>
          </w:tcPr>
          <w:p>
            <w:pPr>
              <w:pStyle w:val="160"/>
              <w:spacing w:before="97"/>
              <w:jc w:val="center"/>
              <w:rPr>
                <w:rFonts w:ascii="Times New Roman" w:hAnsi="Times New Roman" w:cs="Times New Roman"/>
                <w:color w:val="auto"/>
                <w:sz w:val="18"/>
                <w:szCs w:val="18"/>
                <w:highlight w:val="none"/>
              </w:rPr>
            </w:pPr>
          </w:p>
        </w:tc>
        <w:tc>
          <w:tcPr>
            <w:tcW w:w="754"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正常蓄水</w:t>
            </w:r>
          </w:p>
        </w:tc>
        <w:tc>
          <w:tcPr>
            <w:tcW w:w="453"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91.20</w:t>
            </w:r>
          </w:p>
        </w:tc>
        <w:tc>
          <w:tcPr>
            <w:tcW w:w="453"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69.12</w:t>
            </w:r>
          </w:p>
        </w:tc>
        <w:tc>
          <w:tcPr>
            <w:tcW w:w="453"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80.16</w:t>
            </w:r>
          </w:p>
        </w:tc>
        <w:tc>
          <w:tcPr>
            <w:tcW w:w="504"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160</w:t>
            </w:r>
          </w:p>
        </w:tc>
        <w:tc>
          <w:tcPr>
            <w:tcW w:w="566"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1.32</w:t>
            </w:r>
          </w:p>
        </w:tc>
        <w:tc>
          <w:tcPr>
            <w:tcW w:w="566"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2.00</w:t>
            </w:r>
          </w:p>
        </w:tc>
        <w:tc>
          <w:tcPr>
            <w:tcW w:w="510"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2.02</w:t>
            </w:r>
          </w:p>
        </w:tc>
        <w:tc>
          <w:tcPr>
            <w:tcW w:w="510"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9" w:type="pct"/>
            <w:vMerge w:val="continue"/>
            <w:vAlign w:val="center"/>
          </w:tcPr>
          <w:p>
            <w:pPr>
              <w:pStyle w:val="160"/>
              <w:spacing w:before="97"/>
              <w:jc w:val="center"/>
              <w:rPr>
                <w:rFonts w:ascii="Times New Roman" w:hAnsi="Times New Roman" w:cs="Times New Roman"/>
                <w:color w:val="auto"/>
                <w:sz w:val="18"/>
                <w:szCs w:val="18"/>
                <w:highlight w:val="none"/>
              </w:rPr>
            </w:pPr>
          </w:p>
        </w:tc>
        <w:tc>
          <w:tcPr>
            <w:tcW w:w="754"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设计洪水</w:t>
            </w:r>
          </w:p>
        </w:tc>
        <w:tc>
          <w:tcPr>
            <w:tcW w:w="453"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88.91</w:t>
            </w:r>
          </w:p>
        </w:tc>
        <w:tc>
          <w:tcPr>
            <w:tcW w:w="453"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67.02</w:t>
            </w:r>
          </w:p>
        </w:tc>
        <w:tc>
          <w:tcPr>
            <w:tcW w:w="453"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77.97</w:t>
            </w:r>
          </w:p>
        </w:tc>
        <w:tc>
          <w:tcPr>
            <w:tcW w:w="504"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160</w:t>
            </w:r>
          </w:p>
        </w:tc>
        <w:tc>
          <w:tcPr>
            <w:tcW w:w="566"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1.32</w:t>
            </w:r>
          </w:p>
        </w:tc>
        <w:tc>
          <w:tcPr>
            <w:tcW w:w="566"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2.00</w:t>
            </w:r>
          </w:p>
        </w:tc>
        <w:tc>
          <w:tcPr>
            <w:tcW w:w="510"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2.10</w:t>
            </w:r>
          </w:p>
        </w:tc>
        <w:tc>
          <w:tcPr>
            <w:tcW w:w="510"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9" w:type="pct"/>
            <w:vMerge w:val="continue"/>
            <w:vAlign w:val="center"/>
          </w:tcPr>
          <w:p>
            <w:pPr>
              <w:pStyle w:val="160"/>
              <w:spacing w:before="97"/>
              <w:jc w:val="center"/>
              <w:rPr>
                <w:rFonts w:ascii="Times New Roman" w:hAnsi="Times New Roman" w:cs="Times New Roman"/>
                <w:color w:val="auto"/>
                <w:sz w:val="18"/>
                <w:szCs w:val="18"/>
                <w:highlight w:val="none"/>
              </w:rPr>
            </w:pPr>
          </w:p>
        </w:tc>
        <w:tc>
          <w:tcPr>
            <w:tcW w:w="754"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校核洪水</w:t>
            </w:r>
          </w:p>
        </w:tc>
        <w:tc>
          <w:tcPr>
            <w:tcW w:w="453"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84.55</w:t>
            </w:r>
          </w:p>
        </w:tc>
        <w:tc>
          <w:tcPr>
            <w:tcW w:w="453"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65.17</w:t>
            </w:r>
          </w:p>
        </w:tc>
        <w:tc>
          <w:tcPr>
            <w:tcW w:w="453"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74.86</w:t>
            </w:r>
          </w:p>
        </w:tc>
        <w:tc>
          <w:tcPr>
            <w:tcW w:w="504"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160</w:t>
            </w:r>
          </w:p>
        </w:tc>
        <w:tc>
          <w:tcPr>
            <w:tcW w:w="566"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1.30</w:t>
            </w:r>
          </w:p>
        </w:tc>
        <w:tc>
          <w:tcPr>
            <w:tcW w:w="566"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2.50</w:t>
            </w:r>
          </w:p>
        </w:tc>
        <w:tc>
          <w:tcPr>
            <w:tcW w:w="510"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2.28</w:t>
            </w:r>
          </w:p>
        </w:tc>
        <w:tc>
          <w:tcPr>
            <w:tcW w:w="510"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9" w:type="pct"/>
            <w:vMerge w:val="continue"/>
            <w:vAlign w:val="center"/>
          </w:tcPr>
          <w:p>
            <w:pPr>
              <w:pStyle w:val="160"/>
              <w:spacing w:before="97"/>
              <w:jc w:val="center"/>
              <w:rPr>
                <w:rFonts w:ascii="Times New Roman" w:hAnsi="Times New Roman" w:cs="Times New Roman"/>
                <w:color w:val="auto"/>
                <w:sz w:val="18"/>
                <w:szCs w:val="18"/>
                <w:highlight w:val="none"/>
              </w:rPr>
            </w:pPr>
          </w:p>
        </w:tc>
        <w:tc>
          <w:tcPr>
            <w:tcW w:w="754"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地震情况</w:t>
            </w:r>
          </w:p>
        </w:tc>
        <w:tc>
          <w:tcPr>
            <w:tcW w:w="453"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98.40</w:t>
            </w:r>
          </w:p>
        </w:tc>
        <w:tc>
          <w:tcPr>
            <w:tcW w:w="453"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65.92</w:t>
            </w:r>
          </w:p>
        </w:tc>
        <w:tc>
          <w:tcPr>
            <w:tcW w:w="453"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82.16</w:t>
            </w:r>
          </w:p>
        </w:tc>
        <w:tc>
          <w:tcPr>
            <w:tcW w:w="504"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160</w:t>
            </w:r>
          </w:p>
        </w:tc>
        <w:tc>
          <w:tcPr>
            <w:tcW w:w="566"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1.49</w:t>
            </w:r>
          </w:p>
        </w:tc>
        <w:tc>
          <w:tcPr>
            <w:tcW w:w="566"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2.50</w:t>
            </w:r>
          </w:p>
        </w:tc>
        <w:tc>
          <w:tcPr>
            <w:tcW w:w="510"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1.67</w:t>
            </w:r>
          </w:p>
        </w:tc>
        <w:tc>
          <w:tcPr>
            <w:tcW w:w="510" w:type="pct"/>
            <w:shd w:val="clear" w:color="auto" w:fill="auto"/>
            <w:noWrap/>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1.05</w:t>
            </w:r>
          </w:p>
        </w:tc>
      </w:tr>
    </w:tbl>
    <w:p>
      <w:pPr>
        <w:ind w:firstLine="480"/>
        <w:rPr>
          <w:rFonts w:cs="Times New Roman"/>
          <w:color w:val="auto"/>
          <w:szCs w:val="24"/>
          <w:highlight w:val="none"/>
        </w:rPr>
      </w:pPr>
      <w:r>
        <w:rPr>
          <w:rFonts w:cs="Times New Roman"/>
          <w:color w:val="auto"/>
          <w:szCs w:val="24"/>
          <w:highlight w:val="none"/>
        </w:rPr>
        <w:t>由计算表格可得出，在各种工况下，橡胶坝挡墙稳定的安全系数、地基承载力均满足规范要求。</w:t>
      </w:r>
    </w:p>
    <w:p>
      <w:pPr>
        <w:ind w:firstLine="480"/>
        <w:rPr>
          <w:rFonts w:cs="Times New Roman"/>
          <w:color w:val="auto"/>
          <w:kern w:val="0"/>
          <w:highlight w:val="none"/>
        </w:rPr>
      </w:pPr>
      <w:r>
        <w:rPr>
          <w:rFonts w:hint="eastAsia" w:cs="Times New Roman"/>
          <w:color w:val="auto"/>
          <w:kern w:val="0"/>
          <w:highlight w:val="none"/>
        </w:rPr>
        <w:t>三、</w:t>
      </w:r>
      <w:r>
        <w:rPr>
          <w:rFonts w:cs="Times New Roman"/>
          <w:color w:val="auto"/>
          <w:highlight w:val="none"/>
        </w:rPr>
        <w:t>橡胶坝建设参数表</w:t>
      </w:r>
    </w:p>
    <w:p>
      <w:pPr>
        <w:pStyle w:val="137"/>
        <w:rPr>
          <w:color w:val="auto"/>
          <w:highlight w:val="none"/>
        </w:rPr>
      </w:pPr>
      <w:r>
        <w:rPr>
          <w:color w:val="auto"/>
          <w:highlight w:val="none"/>
        </w:rPr>
        <w:t>表5.8-9橡胶坝建设参数表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70"/>
        <w:gridCol w:w="1240"/>
        <w:gridCol w:w="1240"/>
        <w:gridCol w:w="1522"/>
        <w:gridCol w:w="1241"/>
        <w:gridCol w:w="1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06"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所在河流</w:t>
            </w:r>
          </w:p>
        </w:tc>
        <w:tc>
          <w:tcPr>
            <w:tcW w:w="780" w:type="pct"/>
          </w:tcPr>
          <w:p>
            <w:pPr>
              <w:pStyle w:val="160"/>
              <w:spacing w:before="97"/>
              <w:jc w:val="center"/>
              <w:rPr>
                <w:rFonts w:ascii="Times New Roman" w:hAnsi="Times New Roman" w:cs="Times New Roman"/>
                <w:color w:val="auto"/>
                <w:highlight w:val="none"/>
              </w:rPr>
            </w:pPr>
            <w:r>
              <w:rPr>
                <w:rFonts w:hint="eastAsia" w:ascii="Times New Roman" w:hAnsi="Times New Roman" w:cs="Times New Roman"/>
                <w:color w:val="auto"/>
                <w:highlight w:val="none"/>
                <w:lang w:eastAsia="zh-CN"/>
              </w:rPr>
              <w:t>序号</w:t>
            </w:r>
          </w:p>
        </w:tc>
        <w:tc>
          <w:tcPr>
            <w:tcW w:w="780"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名称</w:t>
            </w:r>
          </w:p>
        </w:tc>
        <w:tc>
          <w:tcPr>
            <w:tcW w:w="877"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单孔净宽（m）</w:t>
            </w:r>
          </w:p>
        </w:tc>
        <w:tc>
          <w:tcPr>
            <w:tcW w:w="780"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孔数</w:t>
            </w:r>
          </w:p>
        </w:tc>
        <w:tc>
          <w:tcPr>
            <w:tcW w:w="877"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挡水高度（m）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06" w:type="pct"/>
            <w:vMerge w:val="restar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左庄沙河</w:t>
            </w:r>
          </w:p>
        </w:tc>
        <w:tc>
          <w:tcPr>
            <w:tcW w:w="780" w:type="pct"/>
          </w:tcPr>
          <w:p>
            <w:pPr>
              <w:pStyle w:val="160"/>
              <w:spacing w:before="97"/>
              <w:jc w:val="center"/>
              <w:rPr>
                <w:rFonts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1</w:t>
            </w:r>
          </w:p>
        </w:tc>
        <w:tc>
          <w:tcPr>
            <w:tcW w:w="780"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小鲍庄</w:t>
            </w:r>
          </w:p>
        </w:tc>
        <w:tc>
          <w:tcPr>
            <w:tcW w:w="877"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25</w:t>
            </w:r>
          </w:p>
        </w:tc>
        <w:tc>
          <w:tcPr>
            <w:tcW w:w="780"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1</w:t>
            </w:r>
          </w:p>
        </w:tc>
        <w:tc>
          <w:tcPr>
            <w:tcW w:w="877"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06" w:type="pct"/>
            <w:vMerge w:val="continue"/>
            <w:vAlign w:val="center"/>
          </w:tcPr>
          <w:p>
            <w:pPr>
              <w:pStyle w:val="160"/>
              <w:spacing w:before="97"/>
              <w:jc w:val="center"/>
              <w:rPr>
                <w:rFonts w:ascii="Times New Roman" w:hAnsi="Times New Roman" w:cs="Times New Roman"/>
                <w:color w:val="auto"/>
                <w:highlight w:val="none"/>
              </w:rPr>
            </w:pPr>
          </w:p>
        </w:tc>
        <w:tc>
          <w:tcPr>
            <w:tcW w:w="780" w:type="pct"/>
          </w:tcPr>
          <w:p>
            <w:pPr>
              <w:pStyle w:val="160"/>
              <w:spacing w:before="97"/>
              <w:jc w:val="center"/>
              <w:rPr>
                <w:rFonts w:ascii="Times New Roman" w:hAnsi="Times New Roman" w:cs="Times New Roman"/>
                <w:color w:val="auto"/>
                <w:highlight w:val="none"/>
                <w:lang w:eastAsia="zh-CN"/>
              </w:rPr>
            </w:pPr>
            <w:r>
              <w:rPr>
                <w:rFonts w:ascii="Times New Roman" w:hAnsi="Times New Roman" w:cs="Times New Roman"/>
                <w:color w:val="auto"/>
                <w:highlight w:val="none"/>
                <w:lang w:eastAsia="zh-CN"/>
              </w:rPr>
              <w:t>2</w:t>
            </w:r>
          </w:p>
        </w:tc>
        <w:tc>
          <w:tcPr>
            <w:tcW w:w="780"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前香屯</w:t>
            </w:r>
          </w:p>
        </w:tc>
        <w:tc>
          <w:tcPr>
            <w:tcW w:w="877"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20</w:t>
            </w:r>
          </w:p>
        </w:tc>
        <w:tc>
          <w:tcPr>
            <w:tcW w:w="780"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1</w:t>
            </w:r>
          </w:p>
        </w:tc>
        <w:tc>
          <w:tcPr>
            <w:tcW w:w="877"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06"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大刘庄河</w:t>
            </w:r>
          </w:p>
        </w:tc>
        <w:tc>
          <w:tcPr>
            <w:tcW w:w="780" w:type="pct"/>
          </w:tcPr>
          <w:p>
            <w:pPr>
              <w:pStyle w:val="160"/>
              <w:spacing w:before="97"/>
              <w:jc w:val="center"/>
              <w:rPr>
                <w:rFonts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1</w:t>
            </w:r>
          </w:p>
        </w:tc>
        <w:tc>
          <w:tcPr>
            <w:tcW w:w="780"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甘露沟</w:t>
            </w:r>
          </w:p>
        </w:tc>
        <w:tc>
          <w:tcPr>
            <w:tcW w:w="877"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20</w:t>
            </w:r>
          </w:p>
        </w:tc>
        <w:tc>
          <w:tcPr>
            <w:tcW w:w="780"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1</w:t>
            </w:r>
          </w:p>
        </w:tc>
        <w:tc>
          <w:tcPr>
            <w:tcW w:w="877"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06" w:type="pct"/>
            <w:vMerge w:val="restar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新沟河（西支）</w:t>
            </w:r>
          </w:p>
        </w:tc>
        <w:tc>
          <w:tcPr>
            <w:tcW w:w="780" w:type="pct"/>
          </w:tcPr>
          <w:p>
            <w:pPr>
              <w:pStyle w:val="160"/>
              <w:spacing w:before="97"/>
              <w:jc w:val="center"/>
              <w:rPr>
                <w:rFonts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1</w:t>
            </w:r>
          </w:p>
        </w:tc>
        <w:tc>
          <w:tcPr>
            <w:tcW w:w="780"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阎庄</w:t>
            </w:r>
          </w:p>
        </w:tc>
        <w:tc>
          <w:tcPr>
            <w:tcW w:w="877"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15</w:t>
            </w:r>
          </w:p>
        </w:tc>
        <w:tc>
          <w:tcPr>
            <w:tcW w:w="780"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1</w:t>
            </w:r>
          </w:p>
        </w:tc>
        <w:tc>
          <w:tcPr>
            <w:tcW w:w="877"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06" w:type="pct"/>
            <w:vMerge w:val="continue"/>
            <w:vAlign w:val="center"/>
          </w:tcPr>
          <w:p>
            <w:pPr>
              <w:pStyle w:val="160"/>
              <w:spacing w:before="97"/>
              <w:jc w:val="center"/>
              <w:rPr>
                <w:rFonts w:ascii="Times New Roman" w:hAnsi="Times New Roman" w:cs="Times New Roman"/>
                <w:color w:val="auto"/>
                <w:highlight w:val="none"/>
              </w:rPr>
            </w:pPr>
          </w:p>
        </w:tc>
        <w:tc>
          <w:tcPr>
            <w:tcW w:w="780" w:type="pct"/>
          </w:tcPr>
          <w:p>
            <w:pPr>
              <w:pStyle w:val="160"/>
              <w:spacing w:before="97"/>
              <w:jc w:val="center"/>
              <w:rPr>
                <w:rFonts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2</w:t>
            </w:r>
          </w:p>
        </w:tc>
        <w:tc>
          <w:tcPr>
            <w:tcW w:w="780"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腰里徐东北</w:t>
            </w:r>
          </w:p>
        </w:tc>
        <w:tc>
          <w:tcPr>
            <w:tcW w:w="877"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15</w:t>
            </w:r>
          </w:p>
        </w:tc>
        <w:tc>
          <w:tcPr>
            <w:tcW w:w="780"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1</w:t>
            </w:r>
          </w:p>
        </w:tc>
        <w:tc>
          <w:tcPr>
            <w:tcW w:w="877"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06" w:type="pct"/>
            <w:vMerge w:val="restar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新沟河（东支）</w:t>
            </w:r>
          </w:p>
        </w:tc>
        <w:tc>
          <w:tcPr>
            <w:tcW w:w="780" w:type="pct"/>
          </w:tcPr>
          <w:p>
            <w:pPr>
              <w:pStyle w:val="160"/>
              <w:spacing w:before="97"/>
              <w:jc w:val="center"/>
              <w:rPr>
                <w:rFonts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1</w:t>
            </w:r>
          </w:p>
        </w:tc>
        <w:tc>
          <w:tcPr>
            <w:tcW w:w="780"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邱家庄北</w:t>
            </w:r>
          </w:p>
        </w:tc>
        <w:tc>
          <w:tcPr>
            <w:tcW w:w="877"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15</w:t>
            </w:r>
          </w:p>
        </w:tc>
        <w:tc>
          <w:tcPr>
            <w:tcW w:w="780"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1</w:t>
            </w:r>
          </w:p>
        </w:tc>
        <w:tc>
          <w:tcPr>
            <w:tcW w:w="877"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06" w:type="pct"/>
            <w:vMerge w:val="continue"/>
            <w:vAlign w:val="center"/>
          </w:tcPr>
          <w:p>
            <w:pPr>
              <w:pStyle w:val="160"/>
              <w:spacing w:before="97"/>
              <w:jc w:val="center"/>
              <w:rPr>
                <w:rFonts w:ascii="Times New Roman" w:hAnsi="Times New Roman" w:cs="Times New Roman"/>
                <w:color w:val="auto"/>
                <w:highlight w:val="none"/>
              </w:rPr>
            </w:pPr>
          </w:p>
        </w:tc>
        <w:tc>
          <w:tcPr>
            <w:tcW w:w="780" w:type="pct"/>
          </w:tcPr>
          <w:p>
            <w:pPr>
              <w:pStyle w:val="160"/>
              <w:spacing w:before="97"/>
              <w:jc w:val="center"/>
              <w:rPr>
                <w:rFonts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2</w:t>
            </w:r>
          </w:p>
        </w:tc>
        <w:tc>
          <w:tcPr>
            <w:tcW w:w="780"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刘后</w:t>
            </w:r>
          </w:p>
        </w:tc>
        <w:tc>
          <w:tcPr>
            <w:tcW w:w="877"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25</w:t>
            </w:r>
          </w:p>
        </w:tc>
        <w:tc>
          <w:tcPr>
            <w:tcW w:w="780"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1</w:t>
            </w:r>
          </w:p>
        </w:tc>
        <w:tc>
          <w:tcPr>
            <w:tcW w:w="877"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06" w:type="pct"/>
            <w:vMerge w:val="continue"/>
            <w:vAlign w:val="center"/>
          </w:tcPr>
          <w:p>
            <w:pPr>
              <w:pStyle w:val="160"/>
              <w:spacing w:before="97"/>
              <w:jc w:val="center"/>
              <w:rPr>
                <w:rFonts w:ascii="Times New Roman" w:hAnsi="Times New Roman" w:cs="Times New Roman"/>
                <w:color w:val="auto"/>
                <w:highlight w:val="none"/>
              </w:rPr>
            </w:pPr>
          </w:p>
        </w:tc>
        <w:tc>
          <w:tcPr>
            <w:tcW w:w="780" w:type="pct"/>
          </w:tcPr>
          <w:p>
            <w:pPr>
              <w:pStyle w:val="160"/>
              <w:spacing w:before="97"/>
              <w:jc w:val="center"/>
              <w:rPr>
                <w:rFonts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3</w:t>
            </w:r>
          </w:p>
        </w:tc>
        <w:tc>
          <w:tcPr>
            <w:tcW w:w="780"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马桥西</w:t>
            </w:r>
          </w:p>
        </w:tc>
        <w:tc>
          <w:tcPr>
            <w:tcW w:w="877"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20</w:t>
            </w:r>
          </w:p>
        </w:tc>
        <w:tc>
          <w:tcPr>
            <w:tcW w:w="780"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1</w:t>
            </w:r>
          </w:p>
        </w:tc>
        <w:tc>
          <w:tcPr>
            <w:tcW w:w="877"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06" w:type="pct"/>
            <w:vMerge w:val="restar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拉沟河</w:t>
            </w:r>
          </w:p>
        </w:tc>
        <w:tc>
          <w:tcPr>
            <w:tcW w:w="780" w:type="pct"/>
          </w:tcPr>
          <w:p>
            <w:pPr>
              <w:pStyle w:val="160"/>
              <w:spacing w:before="97"/>
              <w:jc w:val="center"/>
              <w:rPr>
                <w:rFonts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1</w:t>
            </w:r>
          </w:p>
        </w:tc>
        <w:tc>
          <w:tcPr>
            <w:tcW w:w="780"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河北村</w:t>
            </w:r>
          </w:p>
        </w:tc>
        <w:tc>
          <w:tcPr>
            <w:tcW w:w="877"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30</w:t>
            </w:r>
          </w:p>
        </w:tc>
        <w:tc>
          <w:tcPr>
            <w:tcW w:w="780"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1</w:t>
            </w:r>
          </w:p>
        </w:tc>
        <w:tc>
          <w:tcPr>
            <w:tcW w:w="877"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06" w:type="pct"/>
            <w:vMerge w:val="continue"/>
            <w:vAlign w:val="center"/>
          </w:tcPr>
          <w:p>
            <w:pPr>
              <w:pStyle w:val="160"/>
              <w:spacing w:before="97"/>
              <w:jc w:val="center"/>
              <w:rPr>
                <w:rFonts w:ascii="Times New Roman" w:hAnsi="Times New Roman" w:cs="Times New Roman"/>
                <w:color w:val="auto"/>
                <w:highlight w:val="none"/>
              </w:rPr>
            </w:pPr>
          </w:p>
        </w:tc>
        <w:tc>
          <w:tcPr>
            <w:tcW w:w="780" w:type="pct"/>
          </w:tcPr>
          <w:p>
            <w:pPr>
              <w:pStyle w:val="160"/>
              <w:spacing w:before="97"/>
              <w:jc w:val="center"/>
              <w:rPr>
                <w:rFonts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2</w:t>
            </w:r>
          </w:p>
        </w:tc>
        <w:tc>
          <w:tcPr>
            <w:tcW w:w="780"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马桥东</w:t>
            </w:r>
          </w:p>
        </w:tc>
        <w:tc>
          <w:tcPr>
            <w:tcW w:w="877"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30</w:t>
            </w:r>
          </w:p>
        </w:tc>
        <w:tc>
          <w:tcPr>
            <w:tcW w:w="780"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1</w:t>
            </w:r>
          </w:p>
        </w:tc>
        <w:tc>
          <w:tcPr>
            <w:tcW w:w="877"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06" w:type="pct"/>
            <w:vMerge w:val="restar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陶沟河</w:t>
            </w:r>
          </w:p>
        </w:tc>
        <w:tc>
          <w:tcPr>
            <w:tcW w:w="780" w:type="pct"/>
          </w:tcPr>
          <w:p>
            <w:pPr>
              <w:pStyle w:val="160"/>
              <w:spacing w:before="97"/>
              <w:jc w:val="center"/>
              <w:rPr>
                <w:rFonts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1</w:t>
            </w:r>
          </w:p>
        </w:tc>
        <w:tc>
          <w:tcPr>
            <w:tcW w:w="780"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东南晁</w:t>
            </w:r>
          </w:p>
        </w:tc>
        <w:tc>
          <w:tcPr>
            <w:tcW w:w="877"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40</w:t>
            </w:r>
          </w:p>
        </w:tc>
        <w:tc>
          <w:tcPr>
            <w:tcW w:w="780"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1</w:t>
            </w:r>
          </w:p>
        </w:tc>
        <w:tc>
          <w:tcPr>
            <w:tcW w:w="877"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06" w:type="pct"/>
            <w:vMerge w:val="continue"/>
            <w:vAlign w:val="center"/>
          </w:tcPr>
          <w:p>
            <w:pPr>
              <w:pStyle w:val="160"/>
              <w:spacing w:before="97"/>
              <w:jc w:val="center"/>
              <w:rPr>
                <w:rFonts w:ascii="Times New Roman" w:hAnsi="Times New Roman" w:cs="Times New Roman"/>
                <w:color w:val="auto"/>
                <w:highlight w:val="none"/>
              </w:rPr>
            </w:pPr>
          </w:p>
        </w:tc>
        <w:tc>
          <w:tcPr>
            <w:tcW w:w="780" w:type="pct"/>
          </w:tcPr>
          <w:p>
            <w:pPr>
              <w:pStyle w:val="160"/>
              <w:spacing w:before="97"/>
              <w:jc w:val="center"/>
              <w:rPr>
                <w:rFonts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2</w:t>
            </w:r>
          </w:p>
        </w:tc>
        <w:tc>
          <w:tcPr>
            <w:tcW w:w="780"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刘河崖北</w:t>
            </w:r>
          </w:p>
        </w:tc>
        <w:tc>
          <w:tcPr>
            <w:tcW w:w="877"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50</w:t>
            </w:r>
          </w:p>
        </w:tc>
        <w:tc>
          <w:tcPr>
            <w:tcW w:w="780"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1</w:t>
            </w:r>
          </w:p>
        </w:tc>
        <w:tc>
          <w:tcPr>
            <w:tcW w:w="877" w:type="pct"/>
            <w:shd w:val="clear" w:color="auto" w:fill="auto"/>
            <w:noWrap/>
            <w:tcMar>
              <w:top w:w="15" w:type="dxa"/>
              <w:left w:w="15" w:type="dxa"/>
              <w:bottom w:w="0" w:type="dxa"/>
              <w:right w:w="15" w:type="dxa"/>
            </w:tcMar>
            <w:vAlign w:val="center"/>
          </w:tcPr>
          <w:p>
            <w:pPr>
              <w:pStyle w:val="160"/>
              <w:spacing w:before="97"/>
              <w:jc w:val="center"/>
              <w:rPr>
                <w:rFonts w:ascii="Times New Roman" w:hAnsi="Times New Roman" w:cs="Times New Roman"/>
                <w:color w:val="auto"/>
                <w:highlight w:val="none"/>
              </w:rPr>
            </w:pPr>
            <w:r>
              <w:rPr>
                <w:rFonts w:ascii="Times New Roman" w:hAnsi="Times New Roman" w:cs="Times New Roman"/>
                <w:color w:val="auto"/>
                <w:highlight w:val="none"/>
              </w:rPr>
              <w:t>3.5</w:t>
            </w:r>
          </w:p>
        </w:tc>
      </w:tr>
    </w:tbl>
    <w:p>
      <w:pPr>
        <w:ind w:firstLine="480"/>
        <w:rPr>
          <w:rFonts w:cs="Times New Roman"/>
          <w:color w:val="auto"/>
          <w:kern w:val="0"/>
          <w:highlight w:val="none"/>
          <w:lang w:val="zh-CN"/>
        </w:rPr>
      </w:pPr>
    </w:p>
    <w:p>
      <w:pPr>
        <w:ind w:firstLine="480"/>
        <w:rPr>
          <w:rFonts w:cs="Times New Roman"/>
          <w:color w:val="auto"/>
          <w:kern w:val="0"/>
          <w:highlight w:val="none"/>
          <w:lang w:val="zh-CN"/>
        </w:rPr>
      </w:pPr>
      <w:r>
        <w:rPr>
          <w:rFonts w:hint="eastAsia" w:cs="Times New Roman"/>
          <w:color w:val="auto"/>
          <w:kern w:val="0"/>
          <w:highlight w:val="none"/>
          <w:lang w:val="zh-CN"/>
        </w:rPr>
        <w:t>四、</w:t>
      </w:r>
      <w:r>
        <w:rPr>
          <w:rFonts w:cs="Times New Roman"/>
          <w:color w:val="auto"/>
          <w:highlight w:val="none"/>
        </w:rPr>
        <w:t>安全与观测设备</w:t>
      </w:r>
    </w:p>
    <w:p>
      <w:pPr>
        <w:ind w:firstLine="480"/>
        <w:rPr>
          <w:rFonts w:cs="Times New Roman"/>
          <w:color w:val="auto"/>
          <w:highlight w:val="none"/>
        </w:rPr>
      </w:pPr>
      <w:r>
        <w:rPr>
          <w:rFonts w:cs="Times New Roman"/>
          <w:color w:val="auto"/>
          <w:highlight w:val="none"/>
        </w:rPr>
        <w:t>1、安全设备</w:t>
      </w:r>
    </w:p>
    <w:p>
      <w:pPr>
        <w:ind w:firstLine="480"/>
        <w:rPr>
          <w:rFonts w:cs="Times New Roman"/>
          <w:color w:val="auto"/>
          <w:highlight w:val="none"/>
        </w:rPr>
      </w:pPr>
      <w:r>
        <w:rPr>
          <w:rFonts w:cs="Times New Roman"/>
          <w:color w:val="auto"/>
          <w:highlight w:val="none"/>
        </w:rPr>
        <w:t>为防止坝袋超压，在坝袋两侧边墩上设置弯曲式安全溢流管，管出口位置须与坝袋设计内压水头齐平，管径200mm。坝袋两端顶部各设一个排气阀。</w:t>
      </w:r>
    </w:p>
    <w:p>
      <w:pPr>
        <w:ind w:firstLine="480"/>
        <w:rPr>
          <w:rFonts w:cs="Times New Roman"/>
          <w:color w:val="auto"/>
          <w:highlight w:val="none"/>
        </w:rPr>
      </w:pPr>
      <w:r>
        <w:rPr>
          <w:rFonts w:cs="Times New Roman"/>
          <w:color w:val="auto"/>
          <w:highlight w:val="none"/>
        </w:rPr>
        <w:t>2、观测装置</w:t>
      </w:r>
    </w:p>
    <w:p>
      <w:pPr>
        <w:ind w:firstLine="480"/>
        <w:rPr>
          <w:rFonts w:cs="Times New Roman"/>
          <w:color w:val="auto"/>
          <w:highlight w:val="none"/>
        </w:rPr>
      </w:pPr>
      <w:r>
        <w:rPr>
          <w:rFonts w:cs="Times New Roman"/>
          <w:color w:val="auto"/>
          <w:highlight w:val="none"/>
        </w:rPr>
        <w:t>在橡胶坝边墩上下游分别设水位标尺，用以观测水位；每个边墩沿水流向均设置5个测压管，用以观测渗透压力；顺水流向边墩、挡墙两岸共设置12个沉陷位移观测标点，在岸边适宜位置设置1个沉陷位移观测基点，用以观测沉陷与位移。</w:t>
      </w:r>
    </w:p>
    <w:p>
      <w:pPr>
        <w:ind w:firstLine="480"/>
        <w:rPr>
          <w:rFonts w:cs="Times New Roman"/>
          <w:color w:val="auto"/>
          <w:highlight w:val="none"/>
        </w:rPr>
      </w:pPr>
      <w:r>
        <w:rPr>
          <w:rFonts w:hint="eastAsia" w:cs="Times New Roman"/>
          <w:color w:val="auto"/>
          <w:highlight w:val="none"/>
        </w:rPr>
        <w:t>五、</w:t>
      </w:r>
      <w:r>
        <w:rPr>
          <w:rFonts w:cs="Times New Roman"/>
          <w:color w:val="auto"/>
          <w:highlight w:val="none"/>
        </w:rPr>
        <w:t>管理区建筑</w:t>
      </w:r>
    </w:p>
    <w:p>
      <w:pPr>
        <w:ind w:firstLine="480"/>
        <w:rPr>
          <w:rFonts w:cs="Times New Roman"/>
          <w:color w:val="auto"/>
          <w:highlight w:val="none"/>
        </w:rPr>
      </w:pPr>
      <w:r>
        <w:rPr>
          <w:rFonts w:cs="Times New Roman"/>
          <w:color w:val="auto"/>
          <w:highlight w:val="none"/>
        </w:rPr>
        <w:t>橡胶坝泵站总建筑面积159.7m</w:t>
      </w:r>
      <w:r>
        <w:rPr>
          <w:rFonts w:cs="Times New Roman"/>
          <w:color w:val="auto"/>
          <w:highlight w:val="none"/>
          <w:vertAlign w:val="superscript"/>
        </w:rPr>
        <w:t>2</w:t>
      </w:r>
      <w:r>
        <w:rPr>
          <w:rFonts w:cs="Times New Roman"/>
          <w:color w:val="auto"/>
          <w:highlight w:val="none"/>
        </w:rPr>
        <w:t>，地上一层，层高4.8m，室内外高差0.45m，建筑总高度6.95m，建筑火灾危害等级为丁类，安全出口3处，结构形式为框架结构，设计使用年限为50年。建筑耐火等级为二级。屋面防水为二级。建筑主要功能包括：主厂房、变配电室、值班室。</w:t>
      </w:r>
    </w:p>
    <w:p>
      <w:pPr>
        <w:pStyle w:val="5"/>
        <w:rPr>
          <w:rFonts w:cs="Times New Roman"/>
          <w:color w:val="auto"/>
          <w:highlight w:val="none"/>
        </w:rPr>
      </w:pPr>
      <w:r>
        <w:rPr>
          <w:rFonts w:hint="eastAsia" w:cs="Times New Roman"/>
          <w:color w:val="auto"/>
          <w:highlight w:val="none"/>
        </w:rPr>
        <w:t>5.8.1.</w:t>
      </w:r>
      <w:r>
        <w:rPr>
          <w:rFonts w:cs="Times New Roman"/>
          <w:color w:val="auto"/>
          <w:highlight w:val="none"/>
        </w:rPr>
        <w:t>7</w:t>
      </w:r>
      <w:r>
        <w:rPr>
          <w:rFonts w:hint="eastAsia" w:cs="Times New Roman"/>
          <w:color w:val="auto"/>
          <w:highlight w:val="none"/>
        </w:rPr>
        <w:t>交通桥工程</w:t>
      </w:r>
    </w:p>
    <w:p>
      <w:pPr>
        <w:ind w:firstLine="480"/>
        <w:rPr>
          <w:color w:val="auto"/>
          <w:highlight w:val="none"/>
        </w:rPr>
      </w:pPr>
      <w:r>
        <w:rPr>
          <w:color w:val="auto"/>
          <w:highlight w:val="none"/>
        </w:rPr>
        <w:t>本次</w:t>
      </w:r>
      <w:r>
        <w:rPr>
          <w:rFonts w:hint="eastAsia"/>
          <w:color w:val="auto"/>
          <w:highlight w:val="none"/>
        </w:rPr>
        <w:t>河道治理</w:t>
      </w:r>
      <w:r>
        <w:rPr>
          <w:color w:val="auto"/>
          <w:highlight w:val="none"/>
        </w:rPr>
        <w:t>工程</w:t>
      </w:r>
      <w:r>
        <w:rPr>
          <w:rFonts w:hint="eastAsia"/>
          <w:color w:val="auto"/>
          <w:highlight w:val="none"/>
        </w:rPr>
        <w:t>共新建交通</w:t>
      </w:r>
      <w:r>
        <w:rPr>
          <w:color w:val="auto"/>
          <w:highlight w:val="none"/>
        </w:rPr>
        <w:t>桥共27座，</w:t>
      </w:r>
      <w:r>
        <w:rPr>
          <w:rFonts w:hint="eastAsia"/>
          <w:color w:val="auto"/>
          <w:highlight w:val="none"/>
        </w:rPr>
        <w:t>形式采用</w:t>
      </w:r>
      <w:r>
        <w:rPr>
          <w:color w:val="auto"/>
          <w:highlight w:val="none"/>
        </w:rPr>
        <w:t>桩柱式板桥</w:t>
      </w:r>
      <w:r>
        <w:rPr>
          <w:rFonts w:hint="eastAsia"/>
          <w:color w:val="auto"/>
          <w:highlight w:val="none"/>
        </w:rPr>
        <w:t>，本次设计</w:t>
      </w:r>
      <w:r>
        <w:rPr>
          <w:color w:val="auto"/>
          <w:highlight w:val="none"/>
        </w:rPr>
        <w:t>以</w:t>
      </w:r>
      <w:r>
        <w:rPr>
          <w:rFonts w:hint="eastAsia"/>
          <w:color w:val="auto"/>
          <w:highlight w:val="none"/>
        </w:rPr>
        <w:t>张王庄桥</w:t>
      </w:r>
      <w:r>
        <w:rPr>
          <w:color w:val="auto"/>
          <w:highlight w:val="none"/>
        </w:rPr>
        <w:t>为例进行典型设计。</w:t>
      </w:r>
    </w:p>
    <w:p>
      <w:pPr>
        <w:ind w:firstLine="480"/>
        <w:rPr>
          <w:rFonts w:cs="Times New Roman"/>
          <w:color w:val="auto"/>
          <w:kern w:val="0"/>
          <w:highlight w:val="none"/>
        </w:rPr>
      </w:pPr>
      <w:r>
        <w:rPr>
          <w:rFonts w:hint="eastAsia" w:cs="Times New Roman"/>
          <w:color w:val="auto"/>
          <w:kern w:val="0"/>
          <w:highlight w:val="none"/>
        </w:rPr>
        <w:t>1、</w:t>
      </w:r>
      <w:r>
        <w:rPr>
          <w:rFonts w:cs="Times New Roman"/>
          <w:color w:val="auto"/>
          <w:highlight w:val="none"/>
        </w:rPr>
        <w:t>主要材料</w:t>
      </w:r>
    </w:p>
    <w:p>
      <w:pPr>
        <w:autoSpaceDE w:val="0"/>
        <w:autoSpaceDN w:val="0"/>
        <w:adjustRightInd w:val="0"/>
        <w:snapToGrid w:val="0"/>
        <w:ind w:firstLine="480"/>
        <w:rPr>
          <w:color w:val="auto"/>
          <w:highlight w:val="none"/>
        </w:rPr>
      </w:pPr>
      <w:r>
        <w:rPr>
          <w:rFonts w:hint="eastAsia" w:ascii="宋体" w:hAnsi="宋体"/>
          <w:color w:val="auto"/>
          <w:highlight w:val="none"/>
        </w:rPr>
        <w:t>①</w:t>
      </w:r>
      <w:r>
        <w:rPr>
          <w:color w:val="auto"/>
          <w:highlight w:val="none"/>
        </w:rPr>
        <w:t>混凝土：</w:t>
      </w:r>
    </w:p>
    <w:p>
      <w:pPr>
        <w:autoSpaceDE w:val="0"/>
        <w:autoSpaceDN w:val="0"/>
        <w:adjustRightInd w:val="0"/>
        <w:snapToGrid w:val="0"/>
        <w:ind w:firstLine="480"/>
        <w:rPr>
          <w:color w:val="auto"/>
          <w:highlight w:val="none"/>
        </w:rPr>
      </w:pPr>
      <w:r>
        <w:rPr>
          <w:color w:val="auto"/>
          <w:highlight w:val="none"/>
        </w:rPr>
        <w:t>桥面空心板、铰缝等采用C30混凝土；桥面现浇层、空心板封端混凝土采用C40混凝土；墩台盖梁、墩柱、桥台搭板、防撞护栏采用C30混凝土；桩基采用C30水下混凝土。</w:t>
      </w:r>
    </w:p>
    <w:p>
      <w:pPr>
        <w:autoSpaceDE w:val="0"/>
        <w:autoSpaceDN w:val="0"/>
        <w:adjustRightInd w:val="0"/>
        <w:snapToGrid w:val="0"/>
        <w:ind w:firstLine="480"/>
        <w:rPr>
          <w:color w:val="auto"/>
          <w:highlight w:val="none"/>
        </w:rPr>
      </w:pPr>
      <w:r>
        <w:rPr>
          <w:color w:val="auto"/>
          <w:highlight w:val="none"/>
        </w:rPr>
        <w:t>混凝土技术标准应符合《公路钢筋混凝土及预应力混凝土桥涵设计规范》（JTG 3362-2018）、《公路桥涵施工技术规范》（JTG/T F50-2011）的规定。</w:t>
      </w:r>
    </w:p>
    <w:p>
      <w:pPr>
        <w:autoSpaceDE w:val="0"/>
        <w:autoSpaceDN w:val="0"/>
        <w:adjustRightInd w:val="0"/>
        <w:snapToGrid w:val="0"/>
        <w:ind w:firstLine="480"/>
        <w:rPr>
          <w:color w:val="auto"/>
          <w:highlight w:val="none"/>
        </w:rPr>
      </w:pPr>
      <w:r>
        <w:rPr>
          <w:rFonts w:hint="eastAsia" w:ascii="宋体" w:hAnsi="宋体"/>
          <w:color w:val="auto"/>
          <w:highlight w:val="none"/>
        </w:rPr>
        <w:t>②</w:t>
      </w:r>
      <w:r>
        <w:rPr>
          <w:color w:val="auto"/>
          <w:highlight w:val="none"/>
        </w:rPr>
        <w:t>普通钢筋：</w:t>
      </w:r>
    </w:p>
    <w:p>
      <w:pPr>
        <w:autoSpaceDE w:val="0"/>
        <w:autoSpaceDN w:val="0"/>
        <w:adjustRightInd w:val="0"/>
        <w:snapToGrid w:val="0"/>
        <w:ind w:firstLine="480"/>
        <w:rPr>
          <w:color w:val="auto"/>
          <w:highlight w:val="none"/>
        </w:rPr>
      </w:pPr>
      <w:r>
        <w:rPr>
          <w:color w:val="auto"/>
          <w:highlight w:val="none"/>
        </w:rPr>
        <w:t>普通钢筋采用HPB300和HRB400钢筋，钢筋应符合《钢筋混凝土用钢第1部分：热轧光圆钢筋》（GB/T 1499.1—2017）和《钢筋混凝土用钢第2部分：热轧带肋钢筋》（GB/T 1499.2—2018）的规定。</w:t>
      </w:r>
    </w:p>
    <w:p>
      <w:pPr>
        <w:autoSpaceDE w:val="0"/>
        <w:autoSpaceDN w:val="0"/>
        <w:adjustRightInd w:val="0"/>
        <w:snapToGrid w:val="0"/>
        <w:ind w:firstLine="480"/>
        <w:rPr>
          <w:color w:val="auto"/>
          <w:highlight w:val="none"/>
        </w:rPr>
      </w:pPr>
      <w:r>
        <w:rPr>
          <w:rFonts w:hint="eastAsia" w:ascii="宋体" w:hAnsi="宋体"/>
          <w:color w:val="auto"/>
          <w:highlight w:val="none"/>
        </w:rPr>
        <w:t>③</w:t>
      </w:r>
      <w:r>
        <w:rPr>
          <w:color w:val="auto"/>
          <w:highlight w:val="none"/>
        </w:rPr>
        <w:t>预应力钢筋</w:t>
      </w:r>
    </w:p>
    <w:p>
      <w:pPr>
        <w:autoSpaceDE w:val="0"/>
        <w:autoSpaceDN w:val="0"/>
        <w:adjustRightInd w:val="0"/>
        <w:snapToGrid w:val="0"/>
        <w:ind w:firstLine="480"/>
        <w:rPr>
          <w:color w:val="auto"/>
          <w:highlight w:val="none"/>
        </w:rPr>
      </w:pPr>
      <w:r>
        <w:rPr>
          <w:color w:val="auto"/>
          <w:highlight w:val="none"/>
        </w:rPr>
        <w:t>采用抗拉强度标准值f</w:t>
      </w:r>
      <w:r>
        <w:rPr>
          <w:color w:val="auto"/>
          <w:highlight w:val="none"/>
          <w:vertAlign w:val="subscript"/>
        </w:rPr>
        <w:t>pk</w:t>
      </w:r>
      <w:r>
        <w:rPr>
          <w:color w:val="auto"/>
          <w:highlight w:val="none"/>
        </w:rPr>
        <w:t>=1860MPa，公称直径d=15.2mm的低松弛高强度钢绞线，其力学性能指标应符合</w:t>
      </w:r>
      <w:r>
        <w:rPr>
          <w:bCs/>
          <w:color w:val="auto"/>
          <w:highlight w:val="none"/>
        </w:rPr>
        <w:t>《预应力混凝土用钢绞线》（GB/T 5224-2014）</w:t>
      </w:r>
      <w:r>
        <w:rPr>
          <w:color w:val="auto"/>
          <w:highlight w:val="none"/>
        </w:rPr>
        <w:t>的规定。</w:t>
      </w:r>
    </w:p>
    <w:p>
      <w:pPr>
        <w:autoSpaceDE w:val="0"/>
        <w:autoSpaceDN w:val="0"/>
        <w:adjustRightInd w:val="0"/>
        <w:snapToGrid w:val="0"/>
        <w:ind w:firstLine="480"/>
        <w:rPr>
          <w:color w:val="auto"/>
          <w:highlight w:val="none"/>
        </w:rPr>
      </w:pPr>
      <w:r>
        <w:rPr>
          <w:rFonts w:hint="eastAsia" w:ascii="宋体" w:hAnsi="宋体"/>
          <w:color w:val="auto"/>
          <w:highlight w:val="none"/>
        </w:rPr>
        <w:t>④</w:t>
      </w:r>
      <w:r>
        <w:rPr>
          <w:color w:val="auto"/>
          <w:highlight w:val="none"/>
        </w:rPr>
        <w:t>支座</w:t>
      </w:r>
    </w:p>
    <w:p>
      <w:pPr>
        <w:autoSpaceDE w:val="0"/>
        <w:autoSpaceDN w:val="0"/>
        <w:adjustRightInd w:val="0"/>
        <w:snapToGrid w:val="0"/>
        <w:ind w:firstLine="480"/>
        <w:rPr>
          <w:color w:val="auto"/>
          <w:highlight w:val="none"/>
        </w:rPr>
      </w:pPr>
      <w:r>
        <w:rPr>
          <w:color w:val="auto"/>
          <w:highlight w:val="none"/>
        </w:rPr>
        <w:t>设伸缩缝处的墩台上采用圆板式橡胶滑板支座GYZF4-200×44mm，支座预埋钢板采用Q235B钢板，应符合《碳素结构钢》（</w:t>
      </w:r>
      <w:r>
        <w:rPr>
          <w:bCs/>
          <w:color w:val="auto"/>
          <w:highlight w:val="none"/>
        </w:rPr>
        <w:t>GB/T 700-2006）</w:t>
      </w:r>
      <w:r>
        <w:rPr>
          <w:color w:val="auto"/>
          <w:highlight w:val="none"/>
        </w:rPr>
        <w:t>的规定；设桥面连续的桥墩上采用圆板式橡胶支座GYZ-200×42mm。</w:t>
      </w:r>
    </w:p>
    <w:p>
      <w:pPr>
        <w:ind w:firstLine="480"/>
        <w:rPr>
          <w:rFonts w:cs="Times New Roman"/>
          <w:color w:val="auto"/>
          <w:kern w:val="0"/>
          <w:highlight w:val="none"/>
        </w:rPr>
      </w:pPr>
      <w:r>
        <w:rPr>
          <w:rFonts w:hint="eastAsia" w:cs="Times New Roman"/>
          <w:color w:val="auto"/>
          <w:kern w:val="0"/>
          <w:highlight w:val="none"/>
        </w:rPr>
        <w:t>2、</w:t>
      </w:r>
      <w:r>
        <w:rPr>
          <w:rFonts w:cs="Times New Roman"/>
          <w:color w:val="auto"/>
          <w:highlight w:val="none"/>
        </w:rPr>
        <w:t>桥梁上部结构</w:t>
      </w:r>
    </w:p>
    <w:p>
      <w:pPr>
        <w:autoSpaceDE w:val="0"/>
        <w:autoSpaceDN w:val="0"/>
        <w:adjustRightInd w:val="0"/>
        <w:snapToGrid w:val="0"/>
        <w:ind w:firstLine="480"/>
        <w:rPr>
          <w:color w:val="auto"/>
          <w:highlight w:val="none"/>
        </w:rPr>
      </w:pPr>
      <w:r>
        <w:rPr>
          <w:rFonts w:hint="eastAsia" w:ascii="宋体" w:hAnsi="宋体"/>
          <w:color w:val="auto"/>
          <w:highlight w:val="none"/>
        </w:rPr>
        <w:t>①</w:t>
      </w:r>
      <w:r>
        <w:rPr>
          <w:color w:val="auto"/>
          <w:highlight w:val="none"/>
        </w:rPr>
        <w:t>空心板：上部结构采用混凝土空心板，桥梁空心板结构体系为简支结构，桥梁的跨径采用6m、8m、10标准跨径。装配式混凝土简支空心板宽1.0m，板与板之间采用铰缝连接，标准跨径10m的空心板长9.96 m，板高0.5m；标准跨径6m的空心板长5.96m，板高0.32m；标准跨径8m的空心板长7.96m，板高0.42m。按《公路桥涵设计通用规范》（JTG D60-2015）要求，采用“桥梁博士”计算软件，对桥板进行验算。80mm厚C40混凝土桥面现浇层按照70mm厚参与结构受力。</w:t>
      </w:r>
    </w:p>
    <w:p>
      <w:pPr>
        <w:autoSpaceDE w:val="0"/>
        <w:autoSpaceDN w:val="0"/>
        <w:adjustRightInd w:val="0"/>
        <w:snapToGrid w:val="0"/>
        <w:ind w:firstLine="480"/>
        <w:rPr>
          <w:color w:val="auto"/>
          <w:highlight w:val="none"/>
        </w:rPr>
      </w:pPr>
      <w:r>
        <w:rPr>
          <w:rFonts w:hint="eastAsia" w:ascii="宋体" w:hAnsi="宋体"/>
          <w:color w:val="auto"/>
          <w:highlight w:val="none"/>
        </w:rPr>
        <w:t>②</w:t>
      </w:r>
      <w:r>
        <w:rPr>
          <w:color w:val="auto"/>
          <w:highlight w:val="none"/>
        </w:rPr>
        <w:t>桥面铺装：80mm厚现浇C40混凝土。</w:t>
      </w:r>
    </w:p>
    <w:p>
      <w:pPr>
        <w:autoSpaceDE w:val="0"/>
        <w:autoSpaceDN w:val="0"/>
        <w:adjustRightInd w:val="0"/>
        <w:snapToGrid w:val="0"/>
        <w:ind w:firstLine="480"/>
        <w:rPr>
          <w:color w:val="auto"/>
          <w:highlight w:val="none"/>
        </w:rPr>
      </w:pPr>
      <w:r>
        <w:rPr>
          <w:rFonts w:hint="eastAsia" w:ascii="宋体" w:hAnsi="宋体"/>
          <w:color w:val="auto"/>
          <w:highlight w:val="none"/>
        </w:rPr>
        <w:t>③</w:t>
      </w:r>
      <w:r>
        <w:rPr>
          <w:color w:val="auto"/>
          <w:highlight w:val="none"/>
        </w:rPr>
        <w:t>伸缩缝：根据桥长确定分联，在两桥台处设置D80伸缩缝。</w:t>
      </w:r>
    </w:p>
    <w:p>
      <w:pPr>
        <w:autoSpaceDE w:val="0"/>
        <w:autoSpaceDN w:val="0"/>
        <w:adjustRightInd w:val="0"/>
        <w:snapToGrid w:val="0"/>
        <w:ind w:firstLine="480"/>
        <w:rPr>
          <w:color w:val="auto"/>
          <w:highlight w:val="none"/>
        </w:rPr>
      </w:pPr>
      <w:r>
        <w:rPr>
          <w:rFonts w:hint="eastAsia" w:ascii="宋体" w:hAnsi="宋体"/>
          <w:color w:val="auto"/>
          <w:highlight w:val="none"/>
        </w:rPr>
        <w:t>④</w:t>
      </w:r>
      <w:r>
        <w:rPr>
          <w:color w:val="auto"/>
          <w:highlight w:val="none"/>
        </w:rPr>
        <w:t>支座：桥台及分联处采用GYZF4-200×44圆形四氟滑板橡胶支座，其余桥墩处采用GYZ-200×42圆形板式氯丁橡胶支座。</w:t>
      </w:r>
    </w:p>
    <w:p>
      <w:pPr>
        <w:autoSpaceDE w:val="0"/>
        <w:autoSpaceDN w:val="0"/>
        <w:adjustRightInd w:val="0"/>
        <w:snapToGrid w:val="0"/>
        <w:ind w:firstLine="480"/>
        <w:rPr>
          <w:color w:val="auto"/>
          <w:highlight w:val="none"/>
        </w:rPr>
      </w:pPr>
      <w:r>
        <w:rPr>
          <w:rFonts w:hint="eastAsia" w:ascii="宋体" w:hAnsi="宋体"/>
          <w:color w:val="auto"/>
          <w:highlight w:val="none"/>
        </w:rPr>
        <w:t>⑤</w:t>
      </w:r>
      <w:r>
        <w:rPr>
          <w:color w:val="auto"/>
          <w:highlight w:val="none"/>
        </w:rPr>
        <w:t>排水管：桥面排水管的数量根据径流面积确定，每平方米桥面设不小于300mm</w:t>
      </w:r>
      <w:r>
        <w:rPr>
          <w:color w:val="auto"/>
          <w:highlight w:val="none"/>
          <w:vertAlign w:val="superscript"/>
        </w:rPr>
        <w:t>2</w:t>
      </w:r>
      <w:r>
        <w:rPr>
          <w:color w:val="auto"/>
          <w:highlight w:val="none"/>
        </w:rPr>
        <w:t>的排水管面积。采用直径100mm、壁厚5mm的PVC排水管，根据桥长和桥面宽度的不同计算确定每座桥梁的排水管个数。</w:t>
      </w:r>
    </w:p>
    <w:p>
      <w:pPr>
        <w:ind w:firstLine="480"/>
        <w:rPr>
          <w:rFonts w:cs="Times New Roman"/>
          <w:color w:val="auto"/>
          <w:kern w:val="0"/>
          <w:highlight w:val="none"/>
          <w:lang w:val="zh-CN"/>
        </w:rPr>
      </w:pPr>
      <w:r>
        <w:rPr>
          <w:rFonts w:hint="eastAsia" w:ascii="宋体" w:hAnsi="宋体"/>
          <w:color w:val="auto"/>
          <w:highlight w:val="none"/>
        </w:rPr>
        <w:t>⑥</w:t>
      </w:r>
      <w:r>
        <w:rPr>
          <w:color w:val="auto"/>
          <w:highlight w:val="none"/>
        </w:rPr>
        <w:t>护栏：桥梁</w:t>
      </w:r>
      <w:r>
        <w:rPr>
          <w:rFonts w:hint="eastAsia"/>
          <w:color w:val="auto"/>
          <w:highlight w:val="none"/>
        </w:rPr>
        <w:t>2</w:t>
      </w:r>
      <w:r>
        <w:rPr>
          <w:color w:val="auto"/>
          <w:highlight w:val="none"/>
        </w:rPr>
        <w:t>两侧各设置0.5m宽防撞护栏。</w:t>
      </w:r>
    </w:p>
    <w:p>
      <w:pPr>
        <w:ind w:firstLine="480"/>
        <w:rPr>
          <w:rFonts w:cs="Times New Roman"/>
          <w:color w:val="auto"/>
          <w:kern w:val="0"/>
          <w:highlight w:val="none"/>
          <w:lang w:val="zh-CN"/>
        </w:rPr>
      </w:pPr>
      <w:r>
        <w:rPr>
          <w:rFonts w:hint="eastAsia" w:cs="Times New Roman"/>
          <w:color w:val="auto"/>
          <w:highlight w:val="none"/>
        </w:rPr>
        <w:t>3、</w:t>
      </w:r>
      <w:r>
        <w:rPr>
          <w:rFonts w:cs="Times New Roman"/>
          <w:color w:val="auto"/>
          <w:highlight w:val="none"/>
        </w:rPr>
        <w:t>桥梁下部结构</w:t>
      </w:r>
    </w:p>
    <w:p>
      <w:pPr>
        <w:autoSpaceDE w:val="0"/>
        <w:autoSpaceDN w:val="0"/>
        <w:adjustRightInd w:val="0"/>
        <w:snapToGrid w:val="0"/>
        <w:ind w:firstLine="480"/>
        <w:rPr>
          <w:color w:val="auto"/>
          <w:highlight w:val="none"/>
        </w:rPr>
      </w:pPr>
      <w:r>
        <w:rPr>
          <w:rFonts w:hint="eastAsia" w:ascii="宋体" w:hAnsi="宋体"/>
          <w:color w:val="auto"/>
          <w:highlight w:val="none"/>
        </w:rPr>
        <w:t>①</w:t>
      </w:r>
      <w:r>
        <w:rPr>
          <w:color w:val="auto"/>
          <w:highlight w:val="none"/>
        </w:rPr>
        <w:t>墩、台盖梁</w:t>
      </w:r>
    </w:p>
    <w:p>
      <w:pPr>
        <w:autoSpaceDE w:val="0"/>
        <w:autoSpaceDN w:val="0"/>
        <w:adjustRightInd w:val="0"/>
        <w:snapToGrid w:val="0"/>
        <w:ind w:firstLine="480"/>
        <w:rPr>
          <w:color w:val="auto"/>
          <w:highlight w:val="none"/>
        </w:rPr>
      </w:pPr>
      <w:r>
        <w:rPr>
          <w:color w:val="auto"/>
          <w:highlight w:val="none"/>
        </w:rPr>
        <w:t>应用《公路桥梁计算机辅助设计系统》桥梁通CAD软件计算，并考虑桥梁抗震要求，确定墩、台盖梁结构尺寸。根据《公路桥涵抗震设计细则》（JTG/T B02-01-2008）的抗震构造要求，确定桥梁墩台盖梁宽度，简支梁梁端至墩、台盖梁边缘应有一定的距离，最小值a（cm）按照下式计算：</w:t>
      </w:r>
    </w:p>
    <w:p>
      <w:pPr>
        <w:autoSpaceDE w:val="0"/>
        <w:autoSpaceDN w:val="0"/>
        <w:adjustRightInd w:val="0"/>
        <w:snapToGrid w:val="0"/>
        <w:ind w:firstLine="480"/>
        <w:jc w:val="center"/>
        <w:rPr>
          <w:rFonts w:eastAsia="仿宋_GB2312"/>
          <w:color w:val="auto"/>
          <w:highlight w:val="none"/>
        </w:rPr>
      </w:pPr>
      <w:r>
        <w:rPr>
          <w:rFonts w:eastAsia="仿宋_GB2312"/>
          <w:color w:val="auto"/>
          <w:highlight w:val="none"/>
        </w:rPr>
        <w:t>a ≥70+0.5L，</w:t>
      </w:r>
    </w:p>
    <w:p>
      <w:pPr>
        <w:autoSpaceDE w:val="0"/>
        <w:autoSpaceDN w:val="0"/>
        <w:adjustRightInd w:val="0"/>
        <w:snapToGrid w:val="0"/>
        <w:ind w:firstLine="480"/>
        <w:rPr>
          <w:color w:val="auto"/>
          <w:highlight w:val="none"/>
        </w:rPr>
      </w:pPr>
      <w:r>
        <w:rPr>
          <w:color w:val="auto"/>
          <w:highlight w:val="none"/>
        </w:rPr>
        <w:t>式中： L——梁的计算跨径（m）。</w:t>
      </w:r>
    </w:p>
    <w:p>
      <w:pPr>
        <w:autoSpaceDE w:val="0"/>
        <w:autoSpaceDN w:val="0"/>
        <w:adjustRightInd w:val="0"/>
        <w:snapToGrid w:val="0"/>
        <w:ind w:firstLine="480"/>
        <w:rPr>
          <w:color w:val="auto"/>
          <w:highlight w:val="none"/>
        </w:rPr>
      </w:pPr>
      <w:r>
        <w:rPr>
          <w:color w:val="auto"/>
          <w:highlight w:val="none"/>
        </w:rPr>
        <w:t>根据上述原则确定墩台盖梁尺寸，10m跨径桥墩盖梁高度1.3m，宽度1.65m；桥台盖梁高1.3m，宽度1.5m。16m跨径桥墩盖梁高度1.2m，宽度1.6m；桥台盖梁高1.2m，宽度1.5m。</w:t>
      </w:r>
    </w:p>
    <w:p>
      <w:pPr>
        <w:autoSpaceDE w:val="0"/>
        <w:autoSpaceDN w:val="0"/>
        <w:adjustRightInd w:val="0"/>
        <w:snapToGrid w:val="0"/>
        <w:ind w:firstLine="480"/>
        <w:rPr>
          <w:color w:val="auto"/>
          <w:highlight w:val="none"/>
        </w:rPr>
      </w:pPr>
      <w:r>
        <w:rPr>
          <w:rFonts w:hint="eastAsia" w:ascii="宋体" w:hAnsi="宋体"/>
          <w:color w:val="auto"/>
          <w:highlight w:val="none"/>
        </w:rPr>
        <w:t>②</w:t>
      </w:r>
      <w:r>
        <w:rPr>
          <w:color w:val="auto"/>
          <w:highlight w:val="none"/>
        </w:rPr>
        <w:t>墩柱</w:t>
      </w:r>
    </w:p>
    <w:p>
      <w:pPr>
        <w:autoSpaceDE w:val="0"/>
        <w:autoSpaceDN w:val="0"/>
        <w:adjustRightInd w:val="0"/>
        <w:snapToGrid w:val="0"/>
        <w:ind w:firstLine="480"/>
        <w:rPr>
          <w:color w:val="auto"/>
          <w:highlight w:val="none"/>
        </w:rPr>
      </w:pPr>
      <w:r>
        <w:rPr>
          <w:color w:val="auto"/>
          <w:highlight w:val="none"/>
        </w:rPr>
        <w:t>根据桥梁跨径、上部桥面宽度及“桥梁通CAD”计算结果，确定柱直径、柱个数、柱间距。</w:t>
      </w:r>
    </w:p>
    <w:p>
      <w:pPr>
        <w:autoSpaceDE w:val="0"/>
        <w:autoSpaceDN w:val="0"/>
        <w:adjustRightInd w:val="0"/>
        <w:snapToGrid w:val="0"/>
        <w:ind w:firstLine="480"/>
        <w:rPr>
          <w:color w:val="auto"/>
          <w:highlight w:val="none"/>
        </w:rPr>
      </w:pPr>
      <w:r>
        <w:rPr>
          <w:rFonts w:hint="eastAsia" w:ascii="宋体" w:hAnsi="宋体"/>
          <w:color w:val="auto"/>
          <w:highlight w:val="none"/>
        </w:rPr>
        <w:t>③</w:t>
      </w:r>
      <w:r>
        <w:rPr>
          <w:color w:val="auto"/>
          <w:highlight w:val="none"/>
        </w:rPr>
        <w:t>桩长计算</w:t>
      </w:r>
    </w:p>
    <w:p>
      <w:pPr>
        <w:autoSpaceDE w:val="0"/>
        <w:autoSpaceDN w:val="0"/>
        <w:adjustRightInd w:val="0"/>
        <w:snapToGrid w:val="0"/>
        <w:ind w:firstLine="480"/>
        <w:rPr>
          <w:color w:val="auto"/>
          <w:highlight w:val="none"/>
        </w:rPr>
      </w:pPr>
      <w:r>
        <w:rPr>
          <w:color w:val="auto"/>
          <w:highlight w:val="none"/>
        </w:rPr>
        <w:t>根据地质勘查报告中桥梁工程地质条件评价，桥梁下部结构采用桩柱式墩台，钻孔灌注桩基础。</w:t>
      </w:r>
    </w:p>
    <w:p>
      <w:pPr>
        <w:autoSpaceDE w:val="0"/>
        <w:autoSpaceDN w:val="0"/>
        <w:adjustRightInd w:val="0"/>
        <w:snapToGrid w:val="0"/>
        <w:ind w:firstLine="480"/>
        <w:rPr>
          <w:color w:val="auto"/>
          <w:highlight w:val="none"/>
        </w:rPr>
      </w:pPr>
      <w:r>
        <w:rPr>
          <w:color w:val="auto"/>
          <w:highlight w:val="none"/>
        </w:rPr>
        <w:t>根据交通部《公路桥涵地基与基础设计规范》（JTG D63-2007），钻孔摩擦桩的单桩轴向受压承载力容许值按下式计算：</w:t>
      </w:r>
    </w:p>
    <w:p>
      <w:pPr>
        <w:adjustRightInd w:val="0"/>
        <w:snapToGrid w:val="0"/>
        <w:ind w:firstLine="480"/>
        <w:jc w:val="center"/>
        <w:rPr>
          <w:color w:val="auto"/>
          <w:highlight w:val="none"/>
        </w:rPr>
      </w:pPr>
      <w:r>
        <w:rPr>
          <w:color w:val="auto"/>
          <w:highlight w:val="none"/>
        </w:rPr>
        <w:object>
          <v:shape id="_x0000_i1043" o:spt="75" type="#_x0000_t75" style="height:36pt;width:123pt;" o:ole="t" filled="f" o:preferrelative="t" stroked="f" coordsize="21600,21600">
            <v:path/>
            <v:fill on="f" focussize="0,0"/>
            <v:stroke on="f" joinstyle="miter"/>
            <v:imagedata r:id="rId72" o:title=""/>
            <o:lock v:ext="edit" aspectratio="t"/>
            <w10:wrap type="none"/>
            <w10:anchorlock/>
          </v:shape>
          <o:OLEObject Type="Embed" ProgID="Equation.DSMT4" ShapeID="_x0000_i1043" DrawAspect="Content" ObjectID="_1468075743" r:id="rId71">
            <o:LockedField>false</o:LockedField>
          </o:OLEObject>
        </w:object>
      </w:r>
    </w:p>
    <w:p>
      <w:pPr>
        <w:adjustRightInd w:val="0"/>
        <w:snapToGrid w:val="0"/>
        <w:ind w:firstLine="480"/>
        <w:jc w:val="center"/>
        <w:rPr>
          <w:color w:val="auto"/>
          <w:highlight w:val="none"/>
        </w:rPr>
      </w:pPr>
      <w:r>
        <w:rPr>
          <w:color w:val="auto"/>
          <w:highlight w:val="none"/>
        </w:rPr>
        <w:object>
          <v:shape id="_x0000_i1044" o:spt="75" type="#_x0000_t75" style="height:21pt;width:172.5pt;" o:ole="t" filled="f" o:preferrelative="t" stroked="f" coordsize="21600,21600">
            <v:path/>
            <v:fill on="f" focussize="0,0"/>
            <v:stroke on="f" joinstyle="miter"/>
            <v:imagedata r:id="rId74" o:title=""/>
            <o:lock v:ext="edit" aspectratio="t"/>
            <w10:wrap type="none"/>
            <w10:anchorlock/>
          </v:shape>
          <o:OLEObject Type="Embed" ProgID="Equation.DSMT4" ShapeID="_x0000_i1044" DrawAspect="Content" ObjectID="_1468075744" r:id="rId73">
            <o:LockedField>false</o:LockedField>
          </o:OLEObject>
        </w:object>
      </w:r>
    </w:p>
    <w:p>
      <w:pPr>
        <w:adjustRightInd w:val="0"/>
        <w:snapToGrid w:val="0"/>
        <w:ind w:firstLine="480"/>
        <w:rPr>
          <w:color w:val="auto"/>
          <w:highlight w:val="none"/>
        </w:rPr>
      </w:pPr>
      <w:r>
        <w:rPr>
          <w:color w:val="auto"/>
          <w:highlight w:val="none"/>
        </w:rPr>
        <w:t>式中：</w:t>
      </w:r>
      <w:r>
        <w:rPr>
          <w:color w:val="auto"/>
          <w:highlight w:val="none"/>
        </w:rPr>
        <w:object>
          <v:shape id="_x0000_i1045" o:spt="75" type="#_x0000_t75" style="height:21pt;width:21pt;" o:ole="t" filled="f" o:preferrelative="t" stroked="f" coordsize="21600,21600">
            <v:path/>
            <v:fill on="f" focussize="0,0"/>
            <v:stroke on="f" joinstyle="miter"/>
            <v:imagedata r:id="rId76" o:title=""/>
            <o:lock v:ext="edit" aspectratio="t"/>
            <w10:wrap type="none"/>
            <w10:anchorlock/>
          </v:shape>
          <o:OLEObject Type="Embed" ProgID="Equation.DSMT4" ShapeID="_x0000_i1045" DrawAspect="Content" ObjectID="_1468075745" r:id="rId75">
            <o:LockedField>false</o:LockedField>
          </o:OLEObject>
        </w:object>
      </w:r>
      <w:r>
        <w:rPr>
          <w:color w:val="auto"/>
          <w:highlight w:val="none"/>
        </w:rPr>
        <w:t>——单桩轴向受压承载力容许值（kN）；</w:t>
      </w:r>
    </w:p>
    <w:p>
      <w:pPr>
        <w:adjustRightInd w:val="0"/>
        <w:snapToGrid w:val="0"/>
        <w:ind w:firstLine="1036" w:firstLineChars="432"/>
        <w:rPr>
          <w:color w:val="auto"/>
          <w:highlight w:val="none"/>
        </w:rPr>
      </w:pPr>
      <w:r>
        <w:rPr>
          <w:color w:val="auto"/>
          <w:highlight w:val="none"/>
        </w:rPr>
        <w:object>
          <v:shape id="_x0000_i1046" o:spt="75" type="#_x0000_t75" style="height:13.5pt;width:7.5pt;" o:ole="t" filled="f" o:preferrelative="t" stroked="f" coordsize="21600,21600">
            <v:path/>
            <v:fill on="f" focussize="0,0"/>
            <v:stroke on="f" joinstyle="miter"/>
            <v:imagedata r:id="rId78" o:title=""/>
            <o:lock v:ext="edit" aspectratio="t"/>
            <w10:wrap type="none"/>
            <w10:anchorlock/>
          </v:shape>
          <o:OLEObject Type="Embed" ProgID="Equation.DSMT4" ShapeID="_x0000_i1046" DrawAspect="Content" ObjectID="_1468075746" r:id="rId77">
            <o:LockedField>false</o:LockedField>
          </o:OLEObject>
        </w:object>
      </w:r>
      <w:r>
        <w:rPr>
          <w:color w:val="auto"/>
          <w:highlight w:val="none"/>
        </w:rPr>
        <w:t>——桩的周长（m）；</w:t>
      </w:r>
    </w:p>
    <w:p>
      <w:pPr>
        <w:adjustRightInd w:val="0"/>
        <w:snapToGrid w:val="0"/>
        <w:ind w:firstLine="1036" w:firstLineChars="432"/>
        <w:rPr>
          <w:color w:val="auto"/>
          <w:highlight w:val="none"/>
        </w:rPr>
      </w:pPr>
      <w:r>
        <w:rPr>
          <w:color w:val="auto"/>
          <w:highlight w:val="none"/>
        </w:rPr>
        <w:object>
          <v:shape id="_x0000_i1047" o:spt="75" type="#_x0000_t75" style="height:21pt;width:6pt;" o:ole="t" filled="f" o:preferrelative="t" stroked="f" coordsize="21600,21600">
            <v:path/>
            <v:fill on="f" focussize="0,0"/>
            <v:stroke on="f" joinstyle="miter"/>
            <v:imagedata r:id="rId80" o:title=""/>
            <o:lock v:ext="edit" aspectratio="t"/>
            <w10:wrap type="none"/>
            <w10:anchorlock/>
          </v:shape>
          <o:OLEObject Type="Embed" ProgID="Equation.DSMT4" ShapeID="_x0000_i1047" DrawAspect="Content" ObjectID="_1468075747" r:id="rId79">
            <o:LockedField>false</o:LockedField>
          </o:OLEObject>
        </w:object>
      </w:r>
      <w:r>
        <w:rPr>
          <w:color w:val="auto"/>
          <w:highlight w:val="none"/>
        </w:rPr>
        <w:t>——局部冲刷线以下各土层厚度（m）；</w:t>
      </w:r>
    </w:p>
    <w:p>
      <w:pPr>
        <w:adjustRightInd w:val="0"/>
        <w:snapToGrid w:val="0"/>
        <w:ind w:firstLine="960" w:firstLineChars="400"/>
        <w:rPr>
          <w:color w:val="auto"/>
          <w:highlight w:val="none"/>
        </w:rPr>
      </w:pPr>
      <w:r>
        <w:rPr>
          <w:color w:val="auto"/>
          <w:highlight w:val="none"/>
        </w:rPr>
        <w:object>
          <v:shape id="_x0000_i1048" o:spt="75" type="#_x0000_t75" style="height:21pt;width:13.5pt;" o:ole="t" filled="f" o:preferrelative="t" stroked="f" coordsize="21600,21600">
            <v:path/>
            <v:fill on="f" focussize="0,0"/>
            <v:stroke on="f" joinstyle="miter"/>
            <v:imagedata r:id="rId82" o:title=""/>
            <o:lock v:ext="edit" aspectratio="t"/>
            <w10:wrap type="none"/>
            <w10:anchorlock/>
          </v:shape>
          <o:OLEObject Type="Embed" ProgID="Equation.DSMT4" ShapeID="_x0000_i1048" DrawAspect="Content" ObjectID="_1468075748" r:id="rId81">
            <o:LockedField>false</o:LockedField>
          </o:OLEObject>
        </w:object>
      </w:r>
      <w:r>
        <w:rPr>
          <w:color w:val="auto"/>
          <w:highlight w:val="none"/>
        </w:rPr>
        <w:t>——桩端截面面积（m</w:t>
      </w:r>
      <w:r>
        <w:rPr>
          <w:color w:val="auto"/>
          <w:highlight w:val="none"/>
          <w:vertAlign w:val="superscript"/>
        </w:rPr>
        <w:t>2</w:t>
      </w:r>
      <w:r>
        <w:rPr>
          <w:color w:val="auto"/>
          <w:highlight w:val="none"/>
        </w:rPr>
        <w:t>）；</w:t>
      </w:r>
    </w:p>
    <w:p>
      <w:pPr>
        <w:adjustRightInd w:val="0"/>
        <w:snapToGrid w:val="0"/>
        <w:ind w:firstLine="960" w:firstLineChars="400"/>
        <w:rPr>
          <w:color w:val="auto"/>
          <w:highlight w:val="none"/>
        </w:rPr>
      </w:pPr>
      <w:r>
        <w:rPr>
          <w:color w:val="auto"/>
          <w:highlight w:val="none"/>
        </w:rPr>
        <w:object>
          <v:shape id="_x0000_i1049" o:spt="75" type="#_x0000_t75" style="height:13.5pt;width:10pt;" o:ole="t" filled="f" o:preferrelative="t" stroked="f" coordsize="21600,21600">
            <v:path/>
            <v:fill on="f" focussize="0,0"/>
            <v:stroke on="f" joinstyle="miter"/>
            <v:imagedata r:id="rId84" o:title=""/>
            <o:lock v:ext="edit" aspectratio="t"/>
            <w10:wrap type="none"/>
            <w10:anchorlock/>
          </v:shape>
          <o:OLEObject Type="Embed" ProgID="Equation.DSMT4" ShapeID="_x0000_i1049" DrawAspect="Content" ObjectID="_1468075749" r:id="rId83">
            <o:LockedField>false</o:LockedField>
          </o:OLEObject>
        </w:object>
      </w:r>
      <w:r>
        <w:rPr>
          <w:color w:val="auto"/>
          <w:highlight w:val="none"/>
        </w:rPr>
        <w:t>——土的层数；</w:t>
      </w:r>
    </w:p>
    <w:p>
      <w:pPr>
        <w:adjustRightInd w:val="0"/>
        <w:snapToGrid w:val="0"/>
        <w:ind w:firstLine="960" w:firstLineChars="400"/>
        <w:rPr>
          <w:color w:val="auto"/>
          <w:highlight w:val="none"/>
        </w:rPr>
      </w:pPr>
      <w:r>
        <w:rPr>
          <w:color w:val="auto"/>
          <w:highlight w:val="none"/>
        </w:rPr>
        <w:object>
          <v:shape id="_x0000_i1050" o:spt="75" type="#_x0000_t75" style="height:21pt;width:13.5pt;" o:ole="t" filled="f" o:preferrelative="t" stroked="f" coordsize="21600,21600">
            <v:path/>
            <v:fill on="f" focussize="0,0"/>
            <v:stroke on="f" joinstyle="miter"/>
            <v:imagedata r:id="rId86" o:title=""/>
            <o:lock v:ext="edit" aspectratio="t"/>
            <w10:wrap type="none"/>
            <w10:anchorlock/>
          </v:shape>
          <o:OLEObject Type="Embed" ProgID="Equation.DSMT4" ShapeID="_x0000_i1050" DrawAspect="Content" ObjectID="_1468075750" r:id="rId85">
            <o:LockedField>false</o:LockedField>
          </o:OLEObject>
        </w:object>
      </w:r>
      <w:r>
        <w:rPr>
          <w:color w:val="auto"/>
          <w:highlight w:val="none"/>
        </w:rPr>
        <w:t>——与</w:t>
      </w:r>
      <w:r>
        <w:rPr>
          <w:color w:val="auto"/>
          <w:highlight w:val="none"/>
        </w:rPr>
        <w:object>
          <v:shape id="_x0000_i1051" o:spt="75" type="#_x0000_t75" style="height:21pt;width:6pt;" o:ole="t" filled="f" o:preferrelative="t" stroked="f" coordsize="21600,21600">
            <v:path/>
            <v:fill on="f" focussize="0,0"/>
            <v:stroke on="f" joinstyle="miter"/>
            <v:imagedata r:id="rId80" o:title=""/>
            <o:lock v:ext="edit" aspectratio="t"/>
            <w10:wrap type="none"/>
            <w10:anchorlock/>
          </v:shape>
          <o:OLEObject Type="Embed" ProgID="Equation.DSMT4" ShapeID="_x0000_i1051" DrawAspect="Content" ObjectID="_1468075751" r:id="rId87">
            <o:LockedField>false</o:LockedField>
          </o:OLEObject>
        </w:object>
      </w:r>
      <w:r>
        <w:rPr>
          <w:color w:val="auto"/>
          <w:highlight w:val="none"/>
        </w:rPr>
        <w:t>对应的各土层与桩侧的摩阻力标准值（kPa）；</w:t>
      </w:r>
    </w:p>
    <w:p>
      <w:pPr>
        <w:adjustRightInd w:val="0"/>
        <w:snapToGrid w:val="0"/>
        <w:ind w:firstLine="960" w:firstLineChars="400"/>
        <w:rPr>
          <w:color w:val="auto"/>
          <w:highlight w:val="none"/>
        </w:rPr>
      </w:pPr>
      <w:r>
        <w:rPr>
          <w:color w:val="auto"/>
          <w:highlight w:val="none"/>
        </w:rPr>
        <w:object>
          <v:shape id="_x0000_i1052" o:spt="75" type="#_x0000_t75" style="height:21pt;width:13.5pt;" o:ole="t" filled="f" o:preferrelative="t" stroked="f" coordsize="21600,21600">
            <v:path/>
            <v:fill on="f" focussize="0,0"/>
            <v:stroke on="f" joinstyle="miter"/>
            <v:imagedata r:id="rId89" o:title=""/>
            <o:lock v:ext="edit" aspectratio="t"/>
            <w10:wrap type="none"/>
            <w10:anchorlock/>
          </v:shape>
          <o:OLEObject Type="Embed" ProgID="Equation.DSMT4" ShapeID="_x0000_i1052" DrawAspect="Content" ObjectID="_1468075752" r:id="rId88">
            <o:LockedField>false</o:LockedField>
          </o:OLEObject>
        </w:object>
      </w:r>
      <w:r>
        <w:rPr>
          <w:color w:val="auto"/>
          <w:highlight w:val="none"/>
        </w:rPr>
        <w:t>——桩端处土的承载力容许值（kPa）；</w:t>
      </w:r>
    </w:p>
    <w:p>
      <w:pPr>
        <w:adjustRightInd w:val="0"/>
        <w:snapToGrid w:val="0"/>
        <w:ind w:firstLine="960" w:firstLineChars="400"/>
        <w:rPr>
          <w:color w:val="auto"/>
          <w:highlight w:val="none"/>
        </w:rPr>
      </w:pPr>
      <w:r>
        <w:rPr>
          <w:color w:val="auto"/>
          <w:highlight w:val="none"/>
        </w:rPr>
        <w:drawing>
          <wp:inline distT="0" distB="0" distL="0" distR="0">
            <wp:extent cx="200025" cy="2286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200025" cy="228600"/>
                    </a:xfrm>
                    <a:prstGeom prst="rect">
                      <a:avLst/>
                    </a:prstGeom>
                    <a:noFill/>
                    <a:ln>
                      <a:noFill/>
                    </a:ln>
                  </pic:spPr>
                </pic:pic>
              </a:graphicData>
            </a:graphic>
          </wp:inline>
        </w:drawing>
      </w:r>
      <w:r>
        <w:rPr>
          <w:color w:val="auto"/>
          <w:highlight w:val="none"/>
        </w:rPr>
        <w:t>——桩尖处土的容许承载力（kPa）；</w:t>
      </w:r>
    </w:p>
    <w:p>
      <w:pPr>
        <w:adjustRightInd w:val="0"/>
        <w:snapToGrid w:val="0"/>
        <w:ind w:firstLine="960" w:firstLineChars="400"/>
        <w:rPr>
          <w:color w:val="auto"/>
          <w:highlight w:val="none"/>
        </w:rPr>
      </w:pPr>
      <w:r>
        <w:rPr>
          <w:color w:val="auto"/>
          <w:highlight w:val="none"/>
        </w:rPr>
        <w:drawing>
          <wp:inline distT="0" distB="0" distL="0" distR="0">
            <wp:extent cx="123825" cy="1809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r>
        <w:rPr>
          <w:color w:val="auto"/>
          <w:highlight w:val="none"/>
        </w:rPr>
        <w:t>——桩端的埋置深度（m）；</w:t>
      </w:r>
    </w:p>
    <w:p>
      <w:pPr>
        <w:adjustRightInd w:val="0"/>
        <w:snapToGrid w:val="0"/>
        <w:ind w:firstLine="960" w:firstLineChars="400"/>
        <w:rPr>
          <w:color w:val="auto"/>
          <w:highlight w:val="none"/>
        </w:rPr>
      </w:pPr>
      <w:r>
        <w:rPr>
          <w:color w:val="auto"/>
          <w:highlight w:val="none"/>
        </w:rPr>
        <w:drawing>
          <wp:inline distT="0" distB="0" distL="0" distR="0">
            <wp:extent cx="180975" cy="21907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180975" cy="219075"/>
                    </a:xfrm>
                    <a:prstGeom prst="rect">
                      <a:avLst/>
                    </a:prstGeom>
                    <a:noFill/>
                    <a:ln>
                      <a:noFill/>
                    </a:ln>
                  </pic:spPr>
                </pic:pic>
              </a:graphicData>
            </a:graphic>
          </wp:inline>
        </w:drawing>
      </w:r>
      <w:r>
        <w:rPr>
          <w:color w:val="auto"/>
          <w:highlight w:val="none"/>
        </w:rPr>
        <w:t>——容许承载力随深度修正系数；</w:t>
      </w:r>
    </w:p>
    <w:p>
      <w:pPr>
        <w:adjustRightInd w:val="0"/>
        <w:snapToGrid w:val="0"/>
        <w:ind w:firstLine="960" w:firstLineChars="400"/>
        <w:rPr>
          <w:color w:val="auto"/>
          <w:highlight w:val="none"/>
        </w:rPr>
      </w:pPr>
      <w:r>
        <w:rPr>
          <w:color w:val="auto"/>
          <w:highlight w:val="none"/>
        </w:rPr>
        <w:drawing>
          <wp:inline distT="0" distB="0" distL="0" distR="0">
            <wp:extent cx="152400" cy="2190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152400" cy="219075"/>
                    </a:xfrm>
                    <a:prstGeom prst="rect">
                      <a:avLst/>
                    </a:prstGeom>
                    <a:noFill/>
                    <a:ln>
                      <a:noFill/>
                    </a:ln>
                  </pic:spPr>
                </pic:pic>
              </a:graphicData>
            </a:graphic>
          </wp:inline>
        </w:drawing>
      </w:r>
      <w:r>
        <w:rPr>
          <w:color w:val="auto"/>
          <w:highlight w:val="none"/>
        </w:rPr>
        <w:t>——桩端以上各土层的加权平均重度（kN/m</w:t>
      </w:r>
      <w:r>
        <w:rPr>
          <w:color w:val="auto"/>
          <w:highlight w:val="none"/>
          <w:vertAlign w:val="superscript"/>
        </w:rPr>
        <w:t>3</w:t>
      </w:r>
      <w:r>
        <w:rPr>
          <w:color w:val="auto"/>
          <w:highlight w:val="none"/>
        </w:rPr>
        <w:t>）；</w:t>
      </w:r>
    </w:p>
    <w:p>
      <w:pPr>
        <w:adjustRightInd w:val="0"/>
        <w:snapToGrid w:val="0"/>
        <w:ind w:firstLine="960" w:firstLineChars="400"/>
        <w:rPr>
          <w:color w:val="auto"/>
          <w:highlight w:val="none"/>
        </w:rPr>
      </w:pPr>
      <w:r>
        <w:rPr>
          <w:color w:val="auto"/>
          <w:highlight w:val="none"/>
        </w:rPr>
        <w:drawing>
          <wp:inline distT="0" distB="0" distL="0" distR="0">
            <wp:extent cx="142875" cy="18097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142875" cy="180975"/>
                    </a:xfrm>
                    <a:prstGeom prst="rect">
                      <a:avLst/>
                    </a:prstGeom>
                    <a:noFill/>
                    <a:ln>
                      <a:noFill/>
                    </a:ln>
                  </pic:spPr>
                </pic:pic>
              </a:graphicData>
            </a:graphic>
          </wp:inline>
        </w:drawing>
      </w:r>
      <w:r>
        <w:rPr>
          <w:color w:val="auto"/>
          <w:highlight w:val="none"/>
        </w:rPr>
        <w:t>——修正系数，取0.7；</w:t>
      </w:r>
    </w:p>
    <w:p>
      <w:pPr>
        <w:adjustRightInd w:val="0"/>
        <w:snapToGrid w:val="0"/>
        <w:ind w:firstLine="960" w:firstLineChars="400"/>
        <w:rPr>
          <w:color w:val="auto"/>
          <w:highlight w:val="none"/>
        </w:rPr>
      </w:pPr>
      <w:r>
        <w:rPr>
          <w:color w:val="auto"/>
          <w:highlight w:val="none"/>
        </w:rPr>
        <w:drawing>
          <wp:inline distT="0" distB="0" distL="0" distR="0">
            <wp:extent cx="200025" cy="2286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200025" cy="228600"/>
                    </a:xfrm>
                    <a:prstGeom prst="rect">
                      <a:avLst/>
                    </a:prstGeom>
                    <a:noFill/>
                    <a:ln>
                      <a:noFill/>
                    </a:ln>
                  </pic:spPr>
                </pic:pic>
              </a:graphicData>
            </a:graphic>
          </wp:inline>
        </w:drawing>
      </w:r>
      <w:r>
        <w:rPr>
          <w:color w:val="auto"/>
          <w:highlight w:val="none"/>
        </w:rPr>
        <w:t>——清底系数，取0.7。</w:t>
      </w:r>
    </w:p>
    <w:p>
      <w:pPr>
        <w:ind w:firstLine="480"/>
        <w:rPr>
          <w:rFonts w:cs="Times New Roman"/>
          <w:color w:val="auto"/>
          <w:kern w:val="0"/>
          <w:highlight w:val="none"/>
          <w:lang w:val="zh-CN"/>
        </w:rPr>
      </w:pPr>
      <w:r>
        <w:rPr>
          <w:color w:val="auto"/>
          <w:highlight w:val="none"/>
        </w:rPr>
        <w:t>按照各桥的地质资料，根据上述公式进行计算，确定各桥钻孔摩擦桩长度。</w:t>
      </w:r>
    </w:p>
    <w:p>
      <w:pPr>
        <w:ind w:firstLine="480"/>
        <w:rPr>
          <w:color w:val="auto"/>
          <w:highlight w:val="none"/>
        </w:rPr>
      </w:pPr>
      <w:r>
        <w:rPr>
          <w:rFonts w:hint="eastAsia"/>
          <w:color w:val="auto"/>
          <w:highlight w:val="none"/>
        </w:rPr>
        <w:t>4、</w:t>
      </w:r>
      <w:r>
        <w:rPr>
          <w:color w:val="auto"/>
          <w:highlight w:val="none"/>
        </w:rPr>
        <w:t>抗震设计措施</w:t>
      </w:r>
    </w:p>
    <w:p>
      <w:pPr>
        <w:ind w:firstLine="480"/>
        <w:rPr>
          <w:color w:val="auto"/>
          <w:highlight w:val="none"/>
        </w:rPr>
      </w:pPr>
      <w:r>
        <w:rPr>
          <w:color w:val="auto"/>
          <w:highlight w:val="none"/>
        </w:rPr>
        <w:t>根据《中国地震动参数区划图》（GB18306—2015），场区基本地震动峰值加速度为0.10g，其相应的地震基本烈度为Ⅶ度。根据《公路桥梁抗震设计细则》</w:t>
      </w:r>
      <w:r>
        <w:rPr>
          <w:rFonts w:hint="eastAsia"/>
          <w:color w:val="auto"/>
          <w:highlight w:val="none"/>
        </w:rPr>
        <w:t xml:space="preserve"> </w:t>
      </w:r>
      <w:r>
        <w:rPr>
          <w:color w:val="auto"/>
          <w:highlight w:val="none"/>
        </w:rPr>
        <w:t>（JTG/T B02-01-2008）第3.1.4条规定桥梁抗震设防烈度7度。根据该规范第11章“抗震设施”的规定，本项目抗震设防措施如下：</w:t>
      </w:r>
    </w:p>
    <w:p>
      <w:pPr>
        <w:ind w:firstLine="480"/>
        <w:rPr>
          <w:color w:val="auto"/>
          <w:highlight w:val="none"/>
        </w:rPr>
      </w:pPr>
      <w:r>
        <w:rPr>
          <w:rFonts w:hint="eastAsia" w:ascii="宋体" w:hAnsi="宋体"/>
          <w:color w:val="auto"/>
          <w:highlight w:val="none"/>
        </w:rPr>
        <w:t>①</w:t>
      </w:r>
      <w:r>
        <w:rPr>
          <w:color w:val="auto"/>
          <w:highlight w:val="none"/>
        </w:rPr>
        <w:t>根据抗震构造要求，确定桥梁墩台盖梁宽度，满足简支梁梁端至墩、台盖梁边缘规定的最小值。</w:t>
      </w:r>
    </w:p>
    <w:p>
      <w:pPr>
        <w:ind w:firstLine="480"/>
        <w:rPr>
          <w:color w:val="auto"/>
          <w:highlight w:val="none"/>
        </w:rPr>
      </w:pPr>
      <w:r>
        <w:rPr>
          <w:rFonts w:hint="eastAsia" w:ascii="宋体" w:hAnsi="宋体"/>
          <w:color w:val="auto"/>
          <w:highlight w:val="none"/>
        </w:rPr>
        <w:t>②</w:t>
      </w:r>
      <w:r>
        <w:rPr>
          <w:color w:val="auto"/>
          <w:highlight w:val="none"/>
        </w:rPr>
        <w:t>加强梁横向连接，如增加铰缝钢筋和连接钢板，提高结构的整体性。</w:t>
      </w:r>
    </w:p>
    <w:p>
      <w:pPr>
        <w:ind w:firstLine="480"/>
        <w:rPr>
          <w:color w:val="auto"/>
          <w:highlight w:val="none"/>
        </w:rPr>
      </w:pPr>
      <w:r>
        <w:rPr>
          <w:rFonts w:hint="eastAsia" w:ascii="宋体" w:hAnsi="宋体"/>
          <w:color w:val="auto"/>
          <w:highlight w:val="none"/>
        </w:rPr>
        <w:t>③</w:t>
      </w:r>
      <w:r>
        <w:rPr>
          <w:color w:val="auto"/>
          <w:highlight w:val="none"/>
        </w:rPr>
        <w:t>桥台处梁与背墙之间、两联连接处梁与梁之间加装橡胶垫片，以缓和桥梁纵向冲击作用；</w:t>
      </w:r>
    </w:p>
    <w:p>
      <w:pPr>
        <w:ind w:firstLine="480"/>
        <w:rPr>
          <w:color w:val="auto"/>
          <w:highlight w:val="none"/>
        </w:rPr>
      </w:pPr>
      <w:r>
        <w:rPr>
          <w:rFonts w:hint="eastAsia" w:ascii="宋体" w:hAnsi="宋体"/>
          <w:color w:val="auto"/>
          <w:highlight w:val="none"/>
        </w:rPr>
        <w:t>④</w:t>
      </w:r>
      <w:r>
        <w:rPr>
          <w:color w:val="auto"/>
          <w:highlight w:val="none"/>
        </w:rPr>
        <w:t>墩台盖梁两侧均设置抗震挡块和橡胶垫片，限制桥梁横向位移，避免落梁。提高抗震挡块的配筋，增强挡块强度。</w:t>
      </w:r>
    </w:p>
    <w:p>
      <w:pPr>
        <w:ind w:firstLine="480"/>
        <w:rPr>
          <w:color w:val="auto"/>
          <w:highlight w:val="none"/>
        </w:rPr>
      </w:pPr>
      <w:r>
        <w:rPr>
          <w:rFonts w:hint="eastAsia" w:ascii="宋体" w:hAnsi="宋体"/>
          <w:color w:val="auto"/>
          <w:highlight w:val="none"/>
        </w:rPr>
        <w:t>⑤</w:t>
      </w:r>
      <w:r>
        <w:rPr>
          <w:color w:val="auto"/>
          <w:highlight w:val="none"/>
        </w:rPr>
        <w:t>墩台盖梁处设置抗震锚栓和钢套筒（套桶内锚栓四周填沥青膏），限制梁的位移。</w:t>
      </w:r>
    </w:p>
    <w:p>
      <w:pPr>
        <w:ind w:firstLine="480"/>
        <w:rPr>
          <w:color w:val="auto"/>
          <w:highlight w:val="none"/>
        </w:rPr>
      </w:pPr>
      <w:r>
        <w:rPr>
          <w:rFonts w:hint="eastAsia"/>
          <w:color w:val="auto"/>
          <w:highlight w:val="none"/>
        </w:rPr>
        <w:t>5、</w:t>
      </w:r>
      <w:r>
        <w:rPr>
          <w:color w:val="auto"/>
          <w:highlight w:val="none"/>
        </w:rPr>
        <w:t>耐久性设计及措施</w:t>
      </w:r>
    </w:p>
    <w:p>
      <w:pPr>
        <w:ind w:firstLine="480"/>
        <w:rPr>
          <w:color w:val="auto"/>
          <w:highlight w:val="none"/>
        </w:rPr>
      </w:pPr>
      <w:r>
        <w:rPr>
          <w:color w:val="auto"/>
          <w:highlight w:val="none"/>
        </w:rPr>
        <w:t>（1）混凝土强度等级</w:t>
      </w:r>
    </w:p>
    <w:p>
      <w:pPr>
        <w:ind w:firstLine="480"/>
        <w:rPr>
          <w:color w:val="auto"/>
          <w:highlight w:val="none"/>
        </w:rPr>
      </w:pPr>
      <w:r>
        <w:rPr>
          <w:color w:val="auto"/>
          <w:highlight w:val="none"/>
        </w:rPr>
        <w:t>根据《公路工程混凝土结构耐久性设计规范》（JTG/T 3310-2019）的规定，参照各桥位处地勘资料。根据规范要求，墩台盖梁、墩柱及系梁混凝土强度等级均采用C30。所有桥梁桩基均采用C30水下混凝土。</w:t>
      </w:r>
    </w:p>
    <w:p>
      <w:pPr>
        <w:ind w:firstLine="480"/>
        <w:rPr>
          <w:color w:val="auto"/>
          <w:highlight w:val="none"/>
        </w:rPr>
      </w:pPr>
      <w:r>
        <w:rPr>
          <w:color w:val="auto"/>
          <w:highlight w:val="none"/>
        </w:rPr>
        <w:t>为保证混凝土质量、控制裂缝和提高耐久性，施工中所用的混凝土材料必须符合有关规范的要求。</w:t>
      </w:r>
    </w:p>
    <w:p>
      <w:pPr>
        <w:ind w:firstLine="480"/>
        <w:rPr>
          <w:color w:val="auto"/>
          <w:highlight w:val="none"/>
        </w:rPr>
      </w:pPr>
      <w:r>
        <w:rPr>
          <w:color w:val="auto"/>
          <w:highlight w:val="none"/>
        </w:rPr>
        <w:t>（2）桩、柱抗冻融循环性</w:t>
      </w:r>
    </w:p>
    <w:p>
      <w:pPr>
        <w:ind w:firstLine="480"/>
        <w:rPr>
          <w:rFonts w:cs="Times New Roman"/>
          <w:color w:val="auto"/>
          <w:kern w:val="0"/>
          <w:highlight w:val="none"/>
        </w:rPr>
      </w:pPr>
      <w:r>
        <w:rPr>
          <w:color w:val="auto"/>
          <w:highlight w:val="none"/>
        </w:rPr>
        <w:t>地面（设计水位）上0.5米至地面下1.0米范围桩柱混凝土必须具有抗冻融循环能力，要求其混凝土抗冻性（抗冻耐久性指数DF）应不低于80%。其拌合物的含气量按《公路桥涵施工技术规范》（JTG/T F50-2011）规定采用，墩柱混凝土的抗冻等级为F200。</w:t>
      </w:r>
    </w:p>
    <w:p>
      <w:pPr>
        <w:ind w:firstLine="480"/>
        <w:rPr>
          <w:rFonts w:cs="Times New Roman"/>
          <w:color w:val="auto"/>
          <w:kern w:val="0"/>
          <w:highlight w:val="none"/>
          <w:lang w:val="zh-CN"/>
        </w:rPr>
      </w:pPr>
      <w:r>
        <w:rPr>
          <w:rFonts w:hint="eastAsia" w:cs="Times New Roman"/>
          <w:color w:val="auto"/>
          <w:kern w:val="0"/>
          <w:highlight w:val="none"/>
          <w:lang w:val="zh-CN"/>
        </w:rPr>
        <w:t>6、</w:t>
      </w:r>
      <w:r>
        <w:rPr>
          <w:rFonts w:cs="Times New Roman"/>
          <w:color w:val="auto"/>
          <w:highlight w:val="none"/>
        </w:rPr>
        <w:t>桥头搭板及引路</w:t>
      </w:r>
    </w:p>
    <w:p>
      <w:pPr>
        <w:ind w:firstLine="480"/>
        <w:rPr>
          <w:color w:val="auto"/>
          <w:highlight w:val="none"/>
        </w:rPr>
      </w:pPr>
      <w:r>
        <w:rPr>
          <w:color w:val="auto"/>
          <w:highlight w:val="none"/>
        </w:rPr>
        <w:t>为防止桥头跳车，在两侧桥头处设置桥头搭板，搭板厚0.3m，长5m。桥头搭板下的基层材料为200mm厚水泥稳定碎石（5%）+180mm厚水泥稳定土（5%），台后填土压实度≥0.95。</w:t>
      </w:r>
    </w:p>
    <w:p>
      <w:pPr>
        <w:ind w:firstLine="480"/>
        <w:rPr>
          <w:color w:val="auto"/>
          <w:highlight w:val="none"/>
        </w:rPr>
      </w:pPr>
      <w:r>
        <w:rPr>
          <w:color w:val="auto"/>
          <w:highlight w:val="none"/>
        </w:rPr>
        <w:t>两侧引路均按四级公路考虑，设计车速20km/h。桥头引路按5%放坡，使其与两侧道路以及两侧大堤平顺衔接，路基边坡为1:2。引路两侧有排水沟影响放坡时，应采用挡土墙连接。</w:t>
      </w:r>
    </w:p>
    <w:p>
      <w:pPr>
        <w:ind w:firstLine="480"/>
        <w:rPr>
          <w:rFonts w:cs="Times New Roman"/>
          <w:color w:val="auto"/>
          <w:kern w:val="0"/>
          <w:highlight w:val="none"/>
        </w:rPr>
      </w:pPr>
      <w:r>
        <w:rPr>
          <w:rFonts w:hint="eastAsia" w:cs="Times New Roman"/>
          <w:color w:val="auto"/>
          <w:kern w:val="0"/>
          <w:highlight w:val="none"/>
        </w:rPr>
        <w:t>7、</w:t>
      </w:r>
      <w:r>
        <w:rPr>
          <w:rFonts w:cs="Times New Roman"/>
          <w:color w:val="auto"/>
          <w:highlight w:val="none"/>
        </w:rPr>
        <w:t>设置交通标志</w:t>
      </w:r>
    </w:p>
    <w:p>
      <w:pPr>
        <w:ind w:firstLine="480"/>
        <w:rPr>
          <w:rFonts w:cs="Times New Roman"/>
          <w:color w:val="auto"/>
          <w:kern w:val="0"/>
          <w:highlight w:val="none"/>
          <w:lang w:val="zh-CN"/>
        </w:rPr>
      </w:pPr>
      <w:r>
        <w:rPr>
          <w:color w:val="auto"/>
          <w:highlight w:val="none"/>
        </w:rPr>
        <w:t>为了确保桥梁正常运营，在两侧桥头醒目处设置标志牌，标示桥名及限重。标志牌版面底膜为蓝色，白字白边。标志中内嵌限重标志为白底黑字红边。</w:t>
      </w:r>
    </w:p>
    <w:p>
      <w:pPr>
        <w:ind w:firstLine="480"/>
        <w:rPr>
          <w:rFonts w:cs="Times New Roman"/>
          <w:color w:val="auto"/>
          <w:kern w:val="0"/>
          <w:highlight w:val="none"/>
          <w:lang w:val="zh-CN"/>
        </w:rPr>
      </w:pPr>
      <w:r>
        <w:rPr>
          <w:rFonts w:hint="eastAsia" w:cs="Times New Roman"/>
          <w:color w:val="auto"/>
          <w:kern w:val="0"/>
          <w:highlight w:val="none"/>
          <w:lang w:val="zh-CN"/>
        </w:rPr>
        <w:t>8、</w:t>
      </w:r>
      <w:r>
        <w:rPr>
          <w:rFonts w:hint="eastAsia" w:cs="Times New Roman"/>
          <w:color w:val="auto"/>
          <w:highlight w:val="none"/>
        </w:rPr>
        <w:t>交通桥参数表</w:t>
      </w:r>
    </w:p>
    <w:p>
      <w:pPr>
        <w:pStyle w:val="137"/>
        <w:rPr>
          <w:color w:val="auto"/>
          <w:highlight w:val="none"/>
        </w:rPr>
      </w:pPr>
      <w:r>
        <w:rPr>
          <w:rFonts w:hint="eastAsia"/>
          <w:color w:val="auto"/>
          <w:highlight w:val="none"/>
        </w:rPr>
        <w:t>表5.</w:t>
      </w:r>
      <w:r>
        <w:rPr>
          <w:color w:val="auto"/>
          <w:highlight w:val="none"/>
        </w:rPr>
        <w:t>2</w:t>
      </w:r>
      <w:r>
        <w:rPr>
          <w:rFonts w:hint="eastAsia"/>
          <w:color w:val="auto"/>
          <w:highlight w:val="none"/>
        </w:rPr>
        <w:t>-</w:t>
      </w:r>
      <w:r>
        <w:rPr>
          <w:color w:val="auto"/>
          <w:highlight w:val="none"/>
        </w:rPr>
        <w:t>1</w:t>
      </w:r>
      <w:r>
        <w:rPr>
          <w:rFonts w:hint="eastAsia"/>
          <w:color w:val="auto"/>
          <w:highlight w:val="none"/>
        </w:rPr>
        <w:t>交通桥参数表</w:t>
      </w:r>
    </w:p>
    <w:tbl>
      <w:tblPr>
        <w:tblStyle w:val="33"/>
        <w:tblW w:w="5000" w:type="pct"/>
        <w:tblInd w:w="0" w:type="dxa"/>
        <w:tblLayout w:type="autofit"/>
        <w:tblCellMar>
          <w:top w:w="0" w:type="dxa"/>
          <w:left w:w="108" w:type="dxa"/>
          <w:bottom w:w="0" w:type="dxa"/>
          <w:right w:w="108" w:type="dxa"/>
        </w:tblCellMar>
      </w:tblPr>
      <w:tblGrid>
        <w:gridCol w:w="1756"/>
        <w:gridCol w:w="1486"/>
        <w:gridCol w:w="1290"/>
        <w:gridCol w:w="1211"/>
        <w:gridCol w:w="1553"/>
        <w:gridCol w:w="1226"/>
      </w:tblGrid>
      <w:tr>
        <w:tblPrEx>
          <w:tblCellMar>
            <w:top w:w="0" w:type="dxa"/>
            <w:left w:w="108" w:type="dxa"/>
            <w:bottom w:w="0" w:type="dxa"/>
            <w:right w:w="108" w:type="dxa"/>
          </w:tblCellMar>
        </w:tblPrEx>
        <w:trPr>
          <w:trHeight w:val="285" w:hRule="atLeast"/>
        </w:trPr>
        <w:tc>
          <w:tcPr>
            <w:tcW w:w="9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所在河道</w:t>
            </w:r>
          </w:p>
        </w:tc>
        <w:tc>
          <w:tcPr>
            <w:tcW w:w="880"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序号</w:t>
            </w:r>
          </w:p>
        </w:tc>
        <w:tc>
          <w:tcPr>
            <w:tcW w:w="765"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桥名</w:t>
            </w:r>
          </w:p>
        </w:tc>
        <w:tc>
          <w:tcPr>
            <w:tcW w:w="718"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净跨（m）</w:t>
            </w:r>
          </w:p>
        </w:tc>
        <w:tc>
          <w:tcPr>
            <w:tcW w:w="919"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跨数</w:t>
            </w:r>
          </w:p>
        </w:tc>
        <w:tc>
          <w:tcPr>
            <w:tcW w:w="727"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桥宽（m）</w:t>
            </w:r>
          </w:p>
        </w:tc>
      </w:tr>
      <w:tr>
        <w:tblPrEx>
          <w:tblCellMar>
            <w:top w:w="0" w:type="dxa"/>
            <w:left w:w="108" w:type="dxa"/>
            <w:bottom w:w="0" w:type="dxa"/>
            <w:right w:w="108" w:type="dxa"/>
          </w:tblCellMar>
        </w:tblPrEx>
        <w:trPr>
          <w:trHeight w:val="285" w:hRule="atLeast"/>
        </w:trPr>
        <w:tc>
          <w:tcPr>
            <w:tcW w:w="991"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左庄沙河</w:t>
            </w:r>
          </w:p>
        </w:tc>
        <w:tc>
          <w:tcPr>
            <w:tcW w:w="8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1</w:t>
            </w:r>
          </w:p>
        </w:tc>
        <w:tc>
          <w:tcPr>
            <w:tcW w:w="765"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郭园</w:t>
            </w:r>
          </w:p>
        </w:tc>
        <w:tc>
          <w:tcPr>
            <w:tcW w:w="718"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10</w:t>
            </w:r>
          </w:p>
        </w:tc>
        <w:tc>
          <w:tcPr>
            <w:tcW w:w="919"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3</w:t>
            </w:r>
          </w:p>
        </w:tc>
        <w:tc>
          <w:tcPr>
            <w:tcW w:w="727"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6</w:t>
            </w:r>
          </w:p>
        </w:tc>
      </w:tr>
      <w:tr>
        <w:tblPrEx>
          <w:tblCellMar>
            <w:top w:w="0" w:type="dxa"/>
            <w:left w:w="108" w:type="dxa"/>
            <w:bottom w:w="0" w:type="dxa"/>
            <w:right w:w="108" w:type="dxa"/>
          </w:tblCellMar>
        </w:tblPrEx>
        <w:trPr>
          <w:trHeight w:val="285" w:hRule="atLeast"/>
        </w:trPr>
        <w:tc>
          <w:tcPr>
            <w:tcW w:w="99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cs="Times New Roman"/>
                <w:color w:val="auto"/>
                <w:kern w:val="0"/>
                <w:sz w:val="22"/>
                <w:highlight w:val="none"/>
              </w:rPr>
            </w:pPr>
          </w:p>
        </w:tc>
        <w:tc>
          <w:tcPr>
            <w:tcW w:w="8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2</w:t>
            </w:r>
          </w:p>
        </w:tc>
        <w:tc>
          <w:tcPr>
            <w:tcW w:w="765"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 xml:space="preserve">后香屯 </w:t>
            </w:r>
          </w:p>
        </w:tc>
        <w:tc>
          <w:tcPr>
            <w:tcW w:w="718"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8</w:t>
            </w:r>
          </w:p>
        </w:tc>
        <w:tc>
          <w:tcPr>
            <w:tcW w:w="919"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3</w:t>
            </w:r>
          </w:p>
        </w:tc>
        <w:tc>
          <w:tcPr>
            <w:tcW w:w="727"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6</w:t>
            </w:r>
          </w:p>
        </w:tc>
      </w:tr>
      <w:tr>
        <w:tblPrEx>
          <w:tblCellMar>
            <w:top w:w="0" w:type="dxa"/>
            <w:left w:w="108" w:type="dxa"/>
            <w:bottom w:w="0" w:type="dxa"/>
            <w:right w:w="108" w:type="dxa"/>
          </w:tblCellMar>
        </w:tblPrEx>
        <w:trPr>
          <w:trHeight w:val="285" w:hRule="atLeast"/>
        </w:trPr>
        <w:tc>
          <w:tcPr>
            <w:tcW w:w="99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cs="Times New Roman"/>
                <w:color w:val="auto"/>
                <w:kern w:val="0"/>
                <w:sz w:val="22"/>
                <w:highlight w:val="none"/>
              </w:rPr>
            </w:pPr>
          </w:p>
        </w:tc>
        <w:tc>
          <w:tcPr>
            <w:tcW w:w="8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3</w:t>
            </w:r>
          </w:p>
        </w:tc>
        <w:tc>
          <w:tcPr>
            <w:tcW w:w="765"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前香屯</w:t>
            </w:r>
          </w:p>
        </w:tc>
        <w:tc>
          <w:tcPr>
            <w:tcW w:w="718"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8</w:t>
            </w:r>
          </w:p>
        </w:tc>
        <w:tc>
          <w:tcPr>
            <w:tcW w:w="919"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3</w:t>
            </w:r>
          </w:p>
        </w:tc>
        <w:tc>
          <w:tcPr>
            <w:tcW w:w="727"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6</w:t>
            </w:r>
          </w:p>
        </w:tc>
      </w:tr>
      <w:tr>
        <w:tblPrEx>
          <w:tblCellMar>
            <w:top w:w="0" w:type="dxa"/>
            <w:left w:w="108" w:type="dxa"/>
            <w:bottom w:w="0" w:type="dxa"/>
            <w:right w:w="108" w:type="dxa"/>
          </w:tblCellMar>
        </w:tblPrEx>
        <w:trPr>
          <w:trHeight w:val="285" w:hRule="atLeast"/>
        </w:trPr>
        <w:tc>
          <w:tcPr>
            <w:tcW w:w="991"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大刘庄河</w:t>
            </w:r>
          </w:p>
        </w:tc>
        <w:tc>
          <w:tcPr>
            <w:tcW w:w="8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1</w:t>
            </w:r>
          </w:p>
        </w:tc>
        <w:tc>
          <w:tcPr>
            <w:tcW w:w="765"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东贾庄</w:t>
            </w:r>
          </w:p>
        </w:tc>
        <w:tc>
          <w:tcPr>
            <w:tcW w:w="718"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8</w:t>
            </w:r>
          </w:p>
        </w:tc>
        <w:tc>
          <w:tcPr>
            <w:tcW w:w="919"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3</w:t>
            </w:r>
          </w:p>
        </w:tc>
        <w:tc>
          <w:tcPr>
            <w:tcW w:w="727"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6</w:t>
            </w:r>
          </w:p>
        </w:tc>
      </w:tr>
      <w:tr>
        <w:tblPrEx>
          <w:tblCellMar>
            <w:top w:w="0" w:type="dxa"/>
            <w:left w:w="108" w:type="dxa"/>
            <w:bottom w:w="0" w:type="dxa"/>
            <w:right w:w="108" w:type="dxa"/>
          </w:tblCellMar>
        </w:tblPrEx>
        <w:trPr>
          <w:trHeight w:val="285" w:hRule="atLeast"/>
        </w:trPr>
        <w:tc>
          <w:tcPr>
            <w:tcW w:w="99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cs="Times New Roman"/>
                <w:color w:val="auto"/>
                <w:kern w:val="0"/>
                <w:sz w:val="22"/>
                <w:highlight w:val="none"/>
              </w:rPr>
            </w:pPr>
          </w:p>
        </w:tc>
        <w:tc>
          <w:tcPr>
            <w:tcW w:w="8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2</w:t>
            </w:r>
          </w:p>
        </w:tc>
        <w:tc>
          <w:tcPr>
            <w:tcW w:w="765"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张王庄</w:t>
            </w:r>
          </w:p>
        </w:tc>
        <w:tc>
          <w:tcPr>
            <w:tcW w:w="718"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8</w:t>
            </w:r>
          </w:p>
        </w:tc>
        <w:tc>
          <w:tcPr>
            <w:tcW w:w="919"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2</w:t>
            </w:r>
          </w:p>
        </w:tc>
        <w:tc>
          <w:tcPr>
            <w:tcW w:w="727"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6</w:t>
            </w:r>
          </w:p>
        </w:tc>
      </w:tr>
      <w:tr>
        <w:tblPrEx>
          <w:tblCellMar>
            <w:top w:w="0" w:type="dxa"/>
            <w:left w:w="108" w:type="dxa"/>
            <w:bottom w:w="0" w:type="dxa"/>
            <w:right w:w="108" w:type="dxa"/>
          </w:tblCellMar>
        </w:tblPrEx>
        <w:trPr>
          <w:trHeight w:val="285" w:hRule="atLeast"/>
        </w:trPr>
        <w:tc>
          <w:tcPr>
            <w:tcW w:w="99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cs="Times New Roman"/>
                <w:color w:val="auto"/>
                <w:kern w:val="0"/>
                <w:sz w:val="22"/>
                <w:highlight w:val="none"/>
              </w:rPr>
            </w:pPr>
          </w:p>
        </w:tc>
        <w:tc>
          <w:tcPr>
            <w:tcW w:w="8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3</w:t>
            </w:r>
          </w:p>
        </w:tc>
        <w:tc>
          <w:tcPr>
            <w:tcW w:w="765"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北杨庄</w:t>
            </w:r>
          </w:p>
        </w:tc>
        <w:tc>
          <w:tcPr>
            <w:tcW w:w="718"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8</w:t>
            </w:r>
          </w:p>
        </w:tc>
        <w:tc>
          <w:tcPr>
            <w:tcW w:w="919"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4</w:t>
            </w:r>
          </w:p>
        </w:tc>
        <w:tc>
          <w:tcPr>
            <w:tcW w:w="727"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6</w:t>
            </w:r>
          </w:p>
        </w:tc>
      </w:tr>
      <w:tr>
        <w:tblPrEx>
          <w:tblCellMar>
            <w:top w:w="0" w:type="dxa"/>
            <w:left w:w="108" w:type="dxa"/>
            <w:bottom w:w="0" w:type="dxa"/>
            <w:right w:w="108" w:type="dxa"/>
          </w:tblCellMar>
        </w:tblPrEx>
        <w:trPr>
          <w:trHeight w:val="285" w:hRule="atLeast"/>
        </w:trPr>
        <w:tc>
          <w:tcPr>
            <w:tcW w:w="99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cs="Times New Roman"/>
                <w:color w:val="auto"/>
                <w:kern w:val="0"/>
                <w:sz w:val="22"/>
                <w:highlight w:val="none"/>
              </w:rPr>
            </w:pPr>
          </w:p>
        </w:tc>
        <w:tc>
          <w:tcPr>
            <w:tcW w:w="8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4</w:t>
            </w:r>
          </w:p>
        </w:tc>
        <w:tc>
          <w:tcPr>
            <w:tcW w:w="765"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西南杨南</w:t>
            </w:r>
          </w:p>
        </w:tc>
        <w:tc>
          <w:tcPr>
            <w:tcW w:w="718"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8</w:t>
            </w:r>
          </w:p>
        </w:tc>
        <w:tc>
          <w:tcPr>
            <w:tcW w:w="919"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4</w:t>
            </w:r>
          </w:p>
        </w:tc>
        <w:tc>
          <w:tcPr>
            <w:tcW w:w="727"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6</w:t>
            </w:r>
          </w:p>
        </w:tc>
      </w:tr>
      <w:tr>
        <w:tblPrEx>
          <w:tblCellMar>
            <w:top w:w="0" w:type="dxa"/>
            <w:left w:w="108" w:type="dxa"/>
            <w:bottom w:w="0" w:type="dxa"/>
            <w:right w:w="108" w:type="dxa"/>
          </w:tblCellMar>
        </w:tblPrEx>
        <w:trPr>
          <w:trHeight w:val="285" w:hRule="atLeast"/>
        </w:trPr>
        <w:tc>
          <w:tcPr>
            <w:tcW w:w="991"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新沟河（西支）</w:t>
            </w:r>
          </w:p>
        </w:tc>
        <w:tc>
          <w:tcPr>
            <w:tcW w:w="8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1</w:t>
            </w:r>
          </w:p>
        </w:tc>
        <w:tc>
          <w:tcPr>
            <w:tcW w:w="765"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东孙庄</w:t>
            </w:r>
          </w:p>
        </w:tc>
        <w:tc>
          <w:tcPr>
            <w:tcW w:w="718"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8</w:t>
            </w:r>
          </w:p>
        </w:tc>
        <w:tc>
          <w:tcPr>
            <w:tcW w:w="919"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3</w:t>
            </w:r>
          </w:p>
        </w:tc>
        <w:tc>
          <w:tcPr>
            <w:tcW w:w="727"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6</w:t>
            </w:r>
          </w:p>
        </w:tc>
      </w:tr>
      <w:tr>
        <w:tblPrEx>
          <w:tblCellMar>
            <w:top w:w="0" w:type="dxa"/>
            <w:left w:w="108" w:type="dxa"/>
            <w:bottom w:w="0" w:type="dxa"/>
            <w:right w:w="108" w:type="dxa"/>
          </w:tblCellMar>
        </w:tblPrEx>
        <w:trPr>
          <w:trHeight w:val="285" w:hRule="atLeast"/>
        </w:trPr>
        <w:tc>
          <w:tcPr>
            <w:tcW w:w="99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cs="Times New Roman"/>
                <w:color w:val="auto"/>
                <w:kern w:val="0"/>
                <w:sz w:val="22"/>
                <w:highlight w:val="none"/>
              </w:rPr>
            </w:pPr>
          </w:p>
        </w:tc>
        <w:tc>
          <w:tcPr>
            <w:tcW w:w="8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2</w:t>
            </w:r>
          </w:p>
        </w:tc>
        <w:tc>
          <w:tcPr>
            <w:tcW w:w="765"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大周庄</w:t>
            </w:r>
          </w:p>
        </w:tc>
        <w:tc>
          <w:tcPr>
            <w:tcW w:w="718"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8</w:t>
            </w:r>
          </w:p>
        </w:tc>
        <w:tc>
          <w:tcPr>
            <w:tcW w:w="919"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4</w:t>
            </w:r>
          </w:p>
        </w:tc>
        <w:tc>
          <w:tcPr>
            <w:tcW w:w="727"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6</w:t>
            </w:r>
          </w:p>
        </w:tc>
      </w:tr>
      <w:tr>
        <w:tblPrEx>
          <w:tblCellMar>
            <w:top w:w="0" w:type="dxa"/>
            <w:left w:w="108" w:type="dxa"/>
            <w:bottom w:w="0" w:type="dxa"/>
            <w:right w:w="108" w:type="dxa"/>
          </w:tblCellMar>
        </w:tblPrEx>
        <w:trPr>
          <w:trHeight w:val="285" w:hRule="atLeast"/>
        </w:trPr>
        <w:tc>
          <w:tcPr>
            <w:tcW w:w="99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cs="Times New Roman"/>
                <w:color w:val="auto"/>
                <w:kern w:val="0"/>
                <w:sz w:val="22"/>
                <w:highlight w:val="none"/>
              </w:rPr>
            </w:pPr>
          </w:p>
        </w:tc>
        <w:tc>
          <w:tcPr>
            <w:tcW w:w="8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3</w:t>
            </w:r>
          </w:p>
        </w:tc>
        <w:tc>
          <w:tcPr>
            <w:tcW w:w="765"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秦庄</w:t>
            </w:r>
          </w:p>
        </w:tc>
        <w:tc>
          <w:tcPr>
            <w:tcW w:w="718"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8</w:t>
            </w:r>
          </w:p>
        </w:tc>
        <w:tc>
          <w:tcPr>
            <w:tcW w:w="919"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4</w:t>
            </w:r>
          </w:p>
        </w:tc>
        <w:tc>
          <w:tcPr>
            <w:tcW w:w="727"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6</w:t>
            </w:r>
          </w:p>
        </w:tc>
      </w:tr>
      <w:tr>
        <w:tblPrEx>
          <w:tblCellMar>
            <w:top w:w="0" w:type="dxa"/>
            <w:left w:w="108" w:type="dxa"/>
            <w:bottom w:w="0" w:type="dxa"/>
            <w:right w:w="108" w:type="dxa"/>
          </w:tblCellMar>
        </w:tblPrEx>
        <w:trPr>
          <w:trHeight w:val="285" w:hRule="atLeast"/>
        </w:trPr>
        <w:tc>
          <w:tcPr>
            <w:tcW w:w="99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cs="Times New Roman"/>
                <w:color w:val="auto"/>
                <w:kern w:val="0"/>
                <w:sz w:val="22"/>
                <w:highlight w:val="none"/>
              </w:rPr>
            </w:pPr>
          </w:p>
        </w:tc>
        <w:tc>
          <w:tcPr>
            <w:tcW w:w="8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4</w:t>
            </w:r>
          </w:p>
        </w:tc>
        <w:tc>
          <w:tcPr>
            <w:tcW w:w="765"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干露沟</w:t>
            </w:r>
          </w:p>
        </w:tc>
        <w:tc>
          <w:tcPr>
            <w:tcW w:w="718"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8</w:t>
            </w:r>
          </w:p>
        </w:tc>
        <w:tc>
          <w:tcPr>
            <w:tcW w:w="919"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3</w:t>
            </w:r>
          </w:p>
        </w:tc>
        <w:tc>
          <w:tcPr>
            <w:tcW w:w="727"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6</w:t>
            </w:r>
          </w:p>
        </w:tc>
      </w:tr>
      <w:tr>
        <w:tblPrEx>
          <w:tblCellMar>
            <w:top w:w="0" w:type="dxa"/>
            <w:left w:w="108" w:type="dxa"/>
            <w:bottom w:w="0" w:type="dxa"/>
            <w:right w:w="108" w:type="dxa"/>
          </w:tblCellMar>
        </w:tblPrEx>
        <w:trPr>
          <w:trHeight w:val="285" w:hRule="atLeast"/>
        </w:trPr>
        <w:tc>
          <w:tcPr>
            <w:tcW w:w="99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cs="Times New Roman"/>
                <w:color w:val="auto"/>
                <w:kern w:val="0"/>
                <w:sz w:val="22"/>
                <w:highlight w:val="none"/>
              </w:rPr>
            </w:pPr>
          </w:p>
        </w:tc>
        <w:tc>
          <w:tcPr>
            <w:tcW w:w="8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5</w:t>
            </w:r>
          </w:p>
        </w:tc>
        <w:tc>
          <w:tcPr>
            <w:tcW w:w="765"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河湾</w:t>
            </w:r>
          </w:p>
        </w:tc>
        <w:tc>
          <w:tcPr>
            <w:tcW w:w="718"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8</w:t>
            </w:r>
          </w:p>
        </w:tc>
        <w:tc>
          <w:tcPr>
            <w:tcW w:w="919"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4</w:t>
            </w:r>
          </w:p>
        </w:tc>
        <w:tc>
          <w:tcPr>
            <w:tcW w:w="727"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6</w:t>
            </w:r>
          </w:p>
        </w:tc>
      </w:tr>
      <w:tr>
        <w:tblPrEx>
          <w:tblCellMar>
            <w:top w:w="0" w:type="dxa"/>
            <w:left w:w="108" w:type="dxa"/>
            <w:bottom w:w="0" w:type="dxa"/>
            <w:right w:w="108" w:type="dxa"/>
          </w:tblCellMar>
        </w:tblPrEx>
        <w:trPr>
          <w:trHeight w:val="285" w:hRule="atLeast"/>
        </w:trPr>
        <w:tc>
          <w:tcPr>
            <w:tcW w:w="99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cs="Times New Roman"/>
                <w:color w:val="auto"/>
                <w:kern w:val="0"/>
                <w:sz w:val="22"/>
                <w:highlight w:val="none"/>
              </w:rPr>
            </w:pPr>
          </w:p>
        </w:tc>
        <w:tc>
          <w:tcPr>
            <w:tcW w:w="8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6</w:t>
            </w:r>
          </w:p>
        </w:tc>
        <w:tc>
          <w:tcPr>
            <w:tcW w:w="765"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宗官庄</w:t>
            </w:r>
          </w:p>
        </w:tc>
        <w:tc>
          <w:tcPr>
            <w:tcW w:w="718"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8</w:t>
            </w:r>
          </w:p>
        </w:tc>
        <w:tc>
          <w:tcPr>
            <w:tcW w:w="919"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4</w:t>
            </w:r>
          </w:p>
        </w:tc>
        <w:tc>
          <w:tcPr>
            <w:tcW w:w="727"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6</w:t>
            </w:r>
          </w:p>
        </w:tc>
      </w:tr>
      <w:tr>
        <w:tblPrEx>
          <w:tblCellMar>
            <w:top w:w="0" w:type="dxa"/>
            <w:left w:w="108" w:type="dxa"/>
            <w:bottom w:w="0" w:type="dxa"/>
            <w:right w:w="108" w:type="dxa"/>
          </w:tblCellMar>
        </w:tblPrEx>
        <w:trPr>
          <w:trHeight w:val="285" w:hRule="atLeast"/>
        </w:trPr>
        <w:tc>
          <w:tcPr>
            <w:tcW w:w="99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cs="Times New Roman"/>
                <w:color w:val="auto"/>
                <w:kern w:val="0"/>
                <w:sz w:val="22"/>
                <w:highlight w:val="none"/>
              </w:rPr>
            </w:pPr>
          </w:p>
        </w:tc>
        <w:tc>
          <w:tcPr>
            <w:tcW w:w="8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7</w:t>
            </w:r>
          </w:p>
        </w:tc>
        <w:tc>
          <w:tcPr>
            <w:tcW w:w="765"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阎庄</w:t>
            </w:r>
          </w:p>
        </w:tc>
        <w:tc>
          <w:tcPr>
            <w:tcW w:w="718"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8</w:t>
            </w:r>
          </w:p>
        </w:tc>
        <w:tc>
          <w:tcPr>
            <w:tcW w:w="919"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3</w:t>
            </w:r>
          </w:p>
        </w:tc>
        <w:tc>
          <w:tcPr>
            <w:tcW w:w="727"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6</w:t>
            </w:r>
          </w:p>
        </w:tc>
      </w:tr>
      <w:tr>
        <w:tblPrEx>
          <w:tblCellMar>
            <w:top w:w="0" w:type="dxa"/>
            <w:left w:w="108" w:type="dxa"/>
            <w:bottom w:w="0" w:type="dxa"/>
            <w:right w:w="108" w:type="dxa"/>
          </w:tblCellMar>
        </w:tblPrEx>
        <w:trPr>
          <w:trHeight w:val="285" w:hRule="atLeast"/>
        </w:trPr>
        <w:tc>
          <w:tcPr>
            <w:tcW w:w="991"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新沟河（东支）</w:t>
            </w:r>
          </w:p>
        </w:tc>
        <w:tc>
          <w:tcPr>
            <w:tcW w:w="8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1</w:t>
            </w:r>
          </w:p>
        </w:tc>
        <w:tc>
          <w:tcPr>
            <w:tcW w:w="765"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周官庄</w:t>
            </w:r>
          </w:p>
        </w:tc>
        <w:tc>
          <w:tcPr>
            <w:tcW w:w="718"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8</w:t>
            </w:r>
          </w:p>
        </w:tc>
        <w:tc>
          <w:tcPr>
            <w:tcW w:w="919"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4</w:t>
            </w:r>
          </w:p>
        </w:tc>
        <w:tc>
          <w:tcPr>
            <w:tcW w:w="727"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6</w:t>
            </w:r>
          </w:p>
        </w:tc>
      </w:tr>
      <w:tr>
        <w:tblPrEx>
          <w:tblCellMar>
            <w:top w:w="0" w:type="dxa"/>
            <w:left w:w="108" w:type="dxa"/>
            <w:bottom w:w="0" w:type="dxa"/>
            <w:right w:w="108" w:type="dxa"/>
          </w:tblCellMar>
        </w:tblPrEx>
        <w:trPr>
          <w:trHeight w:val="285" w:hRule="atLeast"/>
        </w:trPr>
        <w:tc>
          <w:tcPr>
            <w:tcW w:w="99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cs="Times New Roman"/>
                <w:color w:val="auto"/>
                <w:kern w:val="0"/>
                <w:sz w:val="22"/>
                <w:highlight w:val="none"/>
              </w:rPr>
            </w:pPr>
          </w:p>
        </w:tc>
        <w:tc>
          <w:tcPr>
            <w:tcW w:w="8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2</w:t>
            </w:r>
          </w:p>
        </w:tc>
        <w:tc>
          <w:tcPr>
            <w:tcW w:w="765"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邱官庄</w:t>
            </w:r>
          </w:p>
        </w:tc>
        <w:tc>
          <w:tcPr>
            <w:tcW w:w="718"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8</w:t>
            </w:r>
          </w:p>
        </w:tc>
        <w:tc>
          <w:tcPr>
            <w:tcW w:w="919"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4</w:t>
            </w:r>
          </w:p>
        </w:tc>
        <w:tc>
          <w:tcPr>
            <w:tcW w:w="727"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6</w:t>
            </w:r>
          </w:p>
        </w:tc>
      </w:tr>
      <w:tr>
        <w:tblPrEx>
          <w:tblCellMar>
            <w:top w:w="0" w:type="dxa"/>
            <w:left w:w="108" w:type="dxa"/>
            <w:bottom w:w="0" w:type="dxa"/>
            <w:right w:w="108" w:type="dxa"/>
          </w:tblCellMar>
        </w:tblPrEx>
        <w:trPr>
          <w:trHeight w:val="285" w:hRule="atLeast"/>
        </w:trPr>
        <w:tc>
          <w:tcPr>
            <w:tcW w:w="99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cs="Times New Roman"/>
                <w:color w:val="auto"/>
                <w:kern w:val="0"/>
                <w:sz w:val="22"/>
                <w:highlight w:val="none"/>
              </w:rPr>
            </w:pPr>
          </w:p>
        </w:tc>
        <w:tc>
          <w:tcPr>
            <w:tcW w:w="8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3</w:t>
            </w:r>
          </w:p>
        </w:tc>
        <w:tc>
          <w:tcPr>
            <w:tcW w:w="765"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邱官庄南</w:t>
            </w:r>
          </w:p>
        </w:tc>
        <w:tc>
          <w:tcPr>
            <w:tcW w:w="718"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8</w:t>
            </w:r>
          </w:p>
        </w:tc>
        <w:tc>
          <w:tcPr>
            <w:tcW w:w="919"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4</w:t>
            </w:r>
          </w:p>
        </w:tc>
        <w:tc>
          <w:tcPr>
            <w:tcW w:w="727"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6</w:t>
            </w:r>
          </w:p>
        </w:tc>
      </w:tr>
      <w:tr>
        <w:tblPrEx>
          <w:tblCellMar>
            <w:top w:w="0" w:type="dxa"/>
            <w:left w:w="108" w:type="dxa"/>
            <w:bottom w:w="0" w:type="dxa"/>
            <w:right w:w="108" w:type="dxa"/>
          </w:tblCellMar>
        </w:tblPrEx>
        <w:trPr>
          <w:trHeight w:val="285" w:hRule="atLeast"/>
        </w:trPr>
        <w:tc>
          <w:tcPr>
            <w:tcW w:w="99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cs="Times New Roman"/>
                <w:color w:val="auto"/>
                <w:kern w:val="0"/>
                <w:sz w:val="22"/>
                <w:highlight w:val="none"/>
              </w:rPr>
            </w:pPr>
          </w:p>
        </w:tc>
        <w:tc>
          <w:tcPr>
            <w:tcW w:w="8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4</w:t>
            </w:r>
          </w:p>
        </w:tc>
        <w:tc>
          <w:tcPr>
            <w:tcW w:w="765"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圈里</w:t>
            </w:r>
          </w:p>
        </w:tc>
        <w:tc>
          <w:tcPr>
            <w:tcW w:w="718"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10</w:t>
            </w:r>
          </w:p>
        </w:tc>
        <w:tc>
          <w:tcPr>
            <w:tcW w:w="919"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5</w:t>
            </w:r>
          </w:p>
        </w:tc>
        <w:tc>
          <w:tcPr>
            <w:tcW w:w="727"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6</w:t>
            </w:r>
          </w:p>
        </w:tc>
      </w:tr>
      <w:tr>
        <w:tblPrEx>
          <w:tblCellMar>
            <w:top w:w="0" w:type="dxa"/>
            <w:left w:w="108" w:type="dxa"/>
            <w:bottom w:w="0" w:type="dxa"/>
            <w:right w:w="108" w:type="dxa"/>
          </w:tblCellMar>
        </w:tblPrEx>
        <w:trPr>
          <w:trHeight w:val="285" w:hRule="atLeast"/>
        </w:trPr>
        <w:tc>
          <w:tcPr>
            <w:tcW w:w="99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cs="Times New Roman"/>
                <w:color w:val="auto"/>
                <w:kern w:val="0"/>
                <w:sz w:val="22"/>
                <w:highlight w:val="none"/>
              </w:rPr>
            </w:pPr>
          </w:p>
        </w:tc>
        <w:tc>
          <w:tcPr>
            <w:tcW w:w="8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5</w:t>
            </w:r>
          </w:p>
        </w:tc>
        <w:tc>
          <w:tcPr>
            <w:tcW w:w="765"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圈里南</w:t>
            </w:r>
          </w:p>
        </w:tc>
        <w:tc>
          <w:tcPr>
            <w:tcW w:w="718"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10</w:t>
            </w:r>
          </w:p>
        </w:tc>
        <w:tc>
          <w:tcPr>
            <w:tcW w:w="919"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5</w:t>
            </w:r>
          </w:p>
        </w:tc>
        <w:tc>
          <w:tcPr>
            <w:tcW w:w="727"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6</w:t>
            </w:r>
          </w:p>
        </w:tc>
      </w:tr>
      <w:tr>
        <w:tblPrEx>
          <w:tblCellMar>
            <w:top w:w="0" w:type="dxa"/>
            <w:left w:w="108" w:type="dxa"/>
            <w:bottom w:w="0" w:type="dxa"/>
            <w:right w:w="108" w:type="dxa"/>
          </w:tblCellMar>
        </w:tblPrEx>
        <w:trPr>
          <w:trHeight w:val="285" w:hRule="atLeast"/>
        </w:trPr>
        <w:tc>
          <w:tcPr>
            <w:tcW w:w="99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cs="Times New Roman"/>
                <w:color w:val="auto"/>
                <w:kern w:val="0"/>
                <w:sz w:val="22"/>
                <w:highlight w:val="none"/>
              </w:rPr>
            </w:pPr>
          </w:p>
        </w:tc>
        <w:tc>
          <w:tcPr>
            <w:tcW w:w="8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6</w:t>
            </w:r>
          </w:p>
        </w:tc>
        <w:tc>
          <w:tcPr>
            <w:tcW w:w="765"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刘后</w:t>
            </w:r>
          </w:p>
        </w:tc>
        <w:tc>
          <w:tcPr>
            <w:tcW w:w="718"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10</w:t>
            </w:r>
          </w:p>
        </w:tc>
        <w:tc>
          <w:tcPr>
            <w:tcW w:w="919"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5</w:t>
            </w:r>
          </w:p>
        </w:tc>
        <w:tc>
          <w:tcPr>
            <w:tcW w:w="727"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6</w:t>
            </w:r>
          </w:p>
        </w:tc>
      </w:tr>
      <w:tr>
        <w:tblPrEx>
          <w:tblCellMar>
            <w:top w:w="0" w:type="dxa"/>
            <w:left w:w="108" w:type="dxa"/>
            <w:bottom w:w="0" w:type="dxa"/>
            <w:right w:w="108" w:type="dxa"/>
          </w:tblCellMar>
        </w:tblPrEx>
        <w:trPr>
          <w:trHeight w:val="285" w:hRule="atLeast"/>
        </w:trPr>
        <w:tc>
          <w:tcPr>
            <w:tcW w:w="99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cs="Times New Roman"/>
                <w:color w:val="auto"/>
                <w:kern w:val="0"/>
                <w:sz w:val="22"/>
                <w:highlight w:val="none"/>
              </w:rPr>
            </w:pPr>
          </w:p>
        </w:tc>
        <w:tc>
          <w:tcPr>
            <w:tcW w:w="8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7</w:t>
            </w:r>
          </w:p>
        </w:tc>
        <w:tc>
          <w:tcPr>
            <w:tcW w:w="765"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马桥西</w:t>
            </w:r>
          </w:p>
        </w:tc>
        <w:tc>
          <w:tcPr>
            <w:tcW w:w="718"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10</w:t>
            </w:r>
          </w:p>
        </w:tc>
        <w:tc>
          <w:tcPr>
            <w:tcW w:w="919"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5</w:t>
            </w:r>
          </w:p>
        </w:tc>
        <w:tc>
          <w:tcPr>
            <w:tcW w:w="727"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6</w:t>
            </w:r>
          </w:p>
        </w:tc>
      </w:tr>
      <w:tr>
        <w:tblPrEx>
          <w:tblCellMar>
            <w:top w:w="0" w:type="dxa"/>
            <w:left w:w="108" w:type="dxa"/>
            <w:bottom w:w="0" w:type="dxa"/>
            <w:right w:w="108" w:type="dxa"/>
          </w:tblCellMar>
        </w:tblPrEx>
        <w:trPr>
          <w:trHeight w:val="285" w:hRule="atLeast"/>
        </w:trPr>
        <w:tc>
          <w:tcPr>
            <w:tcW w:w="991"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拉沟河</w:t>
            </w:r>
          </w:p>
        </w:tc>
        <w:tc>
          <w:tcPr>
            <w:tcW w:w="8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1</w:t>
            </w:r>
          </w:p>
        </w:tc>
        <w:tc>
          <w:tcPr>
            <w:tcW w:w="765"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马桥北</w:t>
            </w:r>
          </w:p>
        </w:tc>
        <w:tc>
          <w:tcPr>
            <w:tcW w:w="718"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10</w:t>
            </w:r>
          </w:p>
        </w:tc>
        <w:tc>
          <w:tcPr>
            <w:tcW w:w="919"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5</w:t>
            </w:r>
          </w:p>
        </w:tc>
        <w:tc>
          <w:tcPr>
            <w:tcW w:w="727"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6</w:t>
            </w:r>
          </w:p>
        </w:tc>
      </w:tr>
      <w:tr>
        <w:tblPrEx>
          <w:tblCellMar>
            <w:top w:w="0" w:type="dxa"/>
            <w:left w:w="108" w:type="dxa"/>
            <w:bottom w:w="0" w:type="dxa"/>
            <w:right w:w="108" w:type="dxa"/>
          </w:tblCellMar>
        </w:tblPrEx>
        <w:trPr>
          <w:trHeight w:val="285" w:hRule="atLeast"/>
        </w:trPr>
        <w:tc>
          <w:tcPr>
            <w:tcW w:w="99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cs="Times New Roman"/>
                <w:color w:val="auto"/>
                <w:kern w:val="0"/>
                <w:sz w:val="22"/>
                <w:highlight w:val="none"/>
              </w:rPr>
            </w:pPr>
          </w:p>
        </w:tc>
        <w:tc>
          <w:tcPr>
            <w:tcW w:w="8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2</w:t>
            </w:r>
          </w:p>
        </w:tc>
        <w:tc>
          <w:tcPr>
            <w:tcW w:w="765"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马桥东</w:t>
            </w:r>
          </w:p>
        </w:tc>
        <w:tc>
          <w:tcPr>
            <w:tcW w:w="718"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10</w:t>
            </w:r>
          </w:p>
        </w:tc>
        <w:tc>
          <w:tcPr>
            <w:tcW w:w="919"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5</w:t>
            </w:r>
          </w:p>
        </w:tc>
        <w:tc>
          <w:tcPr>
            <w:tcW w:w="727"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6</w:t>
            </w:r>
          </w:p>
        </w:tc>
      </w:tr>
      <w:tr>
        <w:tblPrEx>
          <w:tblCellMar>
            <w:top w:w="0" w:type="dxa"/>
            <w:left w:w="108" w:type="dxa"/>
            <w:bottom w:w="0" w:type="dxa"/>
            <w:right w:w="108" w:type="dxa"/>
          </w:tblCellMar>
        </w:tblPrEx>
        <w:trPr>
          <w:trHeight w:val="285" w:hRule="atLeast"/>
        </w:trPr>
        <w:tc>
          <w:tcPr>
            <w:tcW w:w="991"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陶沟河</w:t>
            </w:r>
          </w:p>
        </w:tc>
        <w:tc>
          <w:tcPr>
            <w:tcW w:w="8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1</w:t>
            </w:r>
          </w:p>
        </w:tc>
        <w:tc>
          <w:tcPr>
            <w:tcW w:w="765"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唐庄西北</w:t>
            </w:r>
          </w:p>
        </w:tc>
        <w:tc>
          <w:tcPr>
            <w:tcW w:w="718"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10</w:t>
            </w:r>
          </w:p>
        </w:tc>
        <w:tc>
          <w:tcPr>
            <w:tcW w:w="919"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7</w:t>
            </w:r>
          </w:p>
        </w:tc>
        <w:tc>
          <w:tcPr>
            <w:tcW w:w="727"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6</w:t>
            </w:r>
          </w:p>
        </w:tc>
      </w:tr>
      <w:tr>
        <w:tblPrEx>
          <w:tblCellMar>
            <w:top w:w="0" w:type="dxa"/>
            <w:left w:w="108" w:type="dxa"/>
            <w:bottom w:w="0" w:type="dxa"/>
            <w:right w:w="108" w:type="dxa"/>
          </w:tblCellMar>
        </w:tblPrEx>
        <w:trPr>
          <w:trHeight w:val="285" w:hRule="atLeast"/>
        </w:trPr>
        <w:tc>
          <w:tcPr>
            <w:tcW w:w="991" w:type="pct"/>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宋体" w:hAnsi="宋体" w:cs="Times New Roman"/>
                <w:color w:val="auto"/>
                <w:kern w:val="0"/>
                <w:sz w:val="22"/>
                <w:highlight w:val="none"/>
              </w:rPr>
            </w:pPr>
          </w:p>
        </w:tc>
        <w:tc>
          <w:tcPr>
            <w:tcW w:w="8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2</w:t>
            </w:r>
          </w:p>
        </w:tc>
        <w:tc>
          <w:tcPr>
            <w:tcW w:w="765"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后晁</w:t>
            </w:r>
          </w:p>
        </w:tc>
        <w:tc>
          <w:tcPr>
            <w:tcW w:w="718"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10</w:t>
            </w:r>
          </w:p>
        </w:tc>
        <w:tc>
          <w:tcPr>
            <w:tcW w:w="919"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8</w:t>
            </w:r>
          </w:p>
        </w:tc>
        <w:tc>
          <w:tcPr>
            <w:tcW w:w="727"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6</w:t>
            </w:r>
          </w:p>
        </w:tc>
      </w:tr>
      <w:tr>
        <w:tblPrEx>
          <w:tblCellMar>
            <w:top w:w="0" w:type="dxa"/>
            <w:left w:w="108" w:type="dxa"/>
            <w:bottom w:w="0" w:type="dxa"/>
            <w:right w:w="108" w:type="dxa"/>
          </w:tblCellMar>
        </w:tblPrEx>
        <w:trPr>
          <w:trHeight w:val="285" w:hRule="atLeast"/>
        </w:trPr>
        <w:tc>
          <w:tcPr>
            <w:tcW w:w="991" w:type="pct"/>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宋体" w:hAnsi="宋体" w:cs="Times New Roman"/>
                <w:color w:val="auto"/>
                <w:kern w:val="0"/>
                <w:sz w:val="22"/>
                <w:highlight w:val="none"/>
              </w:rPr>
            </w:pPr>
          </w:p>
        </w:tc>
        <w:tc>
          <w:tcPr>
            <w:tcW w:w="8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3</w:t>
            </w:r>
          </w:p>
        </w:tc>
        <w:tc>
          <w:tcPr>
            <w:tcW w:w="765"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东南晁</w:t>
            </w:r>
          </w:p>
        </w:tc>
        <w:tc>
          <w:tcPr>
            <w:tcW w:w="718"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10</w:t>
            </w:r>
          </w:p>
        </w:tc>
        <w:tc>
          <w:tcPr>
            <w:tcW w:w="919"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8</w:t>
            </w:r>
          </w:p>
        </w:tc>
        <w:tc>
          <w:tcPr>
            <w:tcW w:w="727"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6</w:t>
            </w:r>
          </w:p>
        </w:tc>
      </w:tr>
      <w:tr>
        <w:tblPrEx>
          <w:tblCellMar>
            <w:top w:w="0" w:type="dxa"/>
            <w:left w:w="108" w:type="dxa"/>
            <w:bottom w:w="0" w:type="dxa"/>
            <w:right w:w="108" w:type="dxa"/>
          </w:tblCellMar>
        </w:tblPrEx>
        <w:trPr>
          <w:trHeight w:val="285" w:hRule="atLeast"/>
        </w:trPr>
        <w:tc>
          <w:tcPr>
            <w:tcW w:w="991" w:type="pct"/>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宋体" w:hAnsi="宋体" w:cs="Times New Roman"/>
                <w:color w:val="auto"/>
                <w:kern w:val="0"/>
                <w:sz w:val="22"/>
                <w:highlight w:val="none"/>
              </w:rPr>
            </w:pPr>
          </w:p>
        </w:tc>
        <w:tc>
          <w:tcPr>
            <w:tcW w:w="8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4</w:t>
            </w:r>
          </w:p>
        </w:tc>
        <w:tc>
          <w:tcPr>
            <w:tcW w:w="765"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西南晁</w:t>
            </w:r>
          </w:p>
        </w:tc>
        <w:tc>
          <w:tcPr>
            <w:tcW w:w="718"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10</w:t>
            </w:r>
          </w:p>
        </w:tc>
        <w:tc>
          <w:tcPr>
            <w:tcW w:w="919"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8</w:t>
            </w:r>
          </w:p>
        </w:tc>
        <w:tc>
          <w:tcPr>
            <w:tcW w:w="727"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cs="Times New Roman"/>
                <w:color w:val="auto"/>
                <w:kern w:val="0"/>
                <w:sz w:val="22"/>
                <w:highlight w:val="none"/>
              </w:rPr>
            </w:pPr>
            <w:r>
              <w:rPr>
                <w:rFonts w:ascii="宋体" w:hAnsi="宋体" w:cs="Times New Roman"/>
                <w:color w:val="auto"/>
                <w:kern w:val="0"/>
                <w:sz w:val="22"/>
                <w:highlight w:val="none"/>
              </w:rPr>
              <w:t>6</w:t>
            </w:r>
          </w:p>
        </w:tc>
      </w:tr>
    </w:tbl>
    <w:p>
      <w:pPr>
        <w:ind w:firstLine="480"/>
        <w:rPr>
          <w:rFonts w:cs="Times New Roman"/>
          <w:color w:val="auto"/>
          <w:kern w:val="0"/>
          <w:highlight w:val="none"/>
        </w:rPr>
      </w:pPr>
    </w:p>
    <w:p>
      <w:pPr>
        <w:pStyle w:val="4"/>
        <w:tabs>
          <w:tab w:val="left" w:pos="2780"/>
        </w:tabs>
        <w:rPr>
          <w:color w:val="auto"/>
          <w:highlight w:val="none"/>
        </w:rPr>
      </w:pPr>
      <w:r>
        <w:rPr>
          <w:rFonts w:hint="eastAsia"/>
          <w:color w:val="auto"/>
          <w:highlight w:val="none"/>
        </w:rPr>
        <w:t>5.8.2</w:t>
      </w:r>
      <w:r>
        <w:rPr>
          <w:color w:val="auto"/>
          <w:highlight w:val="none"/>
        </w:rPr>
        <w:t>水系连通工程</w:t>
      </w:r>
      <w:r>
        <w:rPr>
          <w:color w:val="auto"/>
          <w:highlight w:val="none"/>
        </w:rPr>
        <w:tab/>
      </w:r>
    </w:p>
    <w:p>
      <w:pPr>
        <w:ind w:firstLine="480"/>
        <w:rPr>
          <w:rFonts w:cs="Times New Roman"/>
          <w:color w:val="auto"/>
          <w:highlight w:val="none"/>
        </w:rPr>
      </w:pPr>
      <w:r>
        <w:rPr>
          <w:rFonts w:cs="Times New Roman"/>
          <w:color w:val="auto"/>
          <w:highlight w:val="none"/>
        </w:rPr>
        <w:t>峄城区东部水系连通工程对贾庄节制闸灌区实施节水配套改造工程进行延伸，在延伸管道</w:t>
      </w:r>
      <w:r>
        <w:rPr>
          <w:rFonts w:hint="eastAsia" w:cs="Times New Roman"/>
          <w:color w:val="auto"/>
          <w:highlight w:val="none"/>
        </w:rPr>
        <w:t>、渠道</w:t>
      </w:r>
      <w:r>
        <w:rPr>
          <w:rFonts w:cs="Times New Roman"/>
          <w:color w:val="auto"/>
          <w:highlight w:val="none"/>
        </w:rPr>
        <w:t>与河道交叉处设分水口，连通左庄沙河、大刘庄河、新沟河、拉沟河、陶沟河，适时对河道进行生态补水；同时在圈里村附近设分水管道调水至刘庄水库，提高刘庄水库在非汛期的蓄水能力。</w:t>
      </w:r>
    </w:p>
    <w:p>
      <w:pPr>
        <w:pStyle w:val="5"/>
        <w:rPr>
          <w:rFonts w:cs="Times New Roman"/>
          <w:color w:val="auto"/>
          <w:highlight w:val="none"/>
        </w:rPr>
      </w:pPr>
      <w:r>
        <w:rPr>
          <w:rFonts w:hint="eastAsia" w:cs="Times New Roman"/>
          <w:color w:val="auto"/>
          <w:highlight w:val="none"/>
        </w:rPr>
        <w:t>5.8.2.1</w:t>
      </w:r>
      <w:r>
        <w:rPr>
          <w:rFonts w:cs="Times New Roman"/>
          <w:color w:val="auto"/>
          <w:highlight w:val="none"/>
        </w:rPr>
        <w:t>工程等级与设计标准</w:t>
      </w:r>
    </w:p>
    <w:p>
      <w:pPr>
        <w:ind w:firstLine="480"/>
        <w:rPr>
          <w:color w:val="auto"/>
          <w:highlight w:val="none"/>
        </w:rPr>
      </w:pPr>
      <w:r>
        <w:rPr>
          <w:rFonts w:cs="Times New Roman"/>
          <w:color w:val="auto"/>
          <w:highlight w:val="none"/>
        </w:rPr>
        <w:t>峄城区东部地区水系连通工程渠道及节制闸的建筑物级别均为3级。</w:t>
      </w:r>
    </w:p>
    <w:p>
      <w:pPr>
        <w:pStyle w:val="5"/>
        <w:rPr>
          <w:rFonts w:cs="Times New Roman"/>
          <w:color w:val="auto"/>
          <w:highlight w:val="none"/>
        </w:rPr>
      </w:pPr>
      <w:r>
        <w:rPr>
          <w:rFonts w:hint="eastAsia" w:cs="Times New Roman"/>
          <w:color w:val="auto"/>
          <w:highlight w:val="none"/>
        </w:rPr>
        <w:t>5.8.2.2</w:t>
      </w:r>
      <w:r>
        <w:rPr>
          <w:rFonts w:cs="Times New Roman"/>
          <w:color w:val="auto"/>
          <w:highlight w:val="none"/>
        </w:rPr>
        <w:t>工程总体布置</w:t>
      </w:r>
    </w:p>
    <w:p>
      <w:pPr>
        <w:ind w:firstLine="480"/>
        <w:rPr>
          <w:rFonts w:cs="Times New Roman"/>
          <w:color w:val="auto"/>
          <w:highlight w:val="none"/>
        </w:rPr>
      </w:pPr>
      <w:r>
        <w:rPr>
          <w:rFonts w:cs="Times New Roman"/>
          <w:color w:val="auto"/>
          <w:highlight w:val="none"/>
        </w:rPr>
        <w:t>在已规划实施的贾庄节制闸灌区节水配套改造项目的基础上进行延伸，</w:t>
      </w:r>
      <w:r>
        <w:rPr>
          <w:rFonts w:hint="eastAsia" w:cs="Times New Roman"/>
          <w:color w:val="auto"/>
          <w:highlight w:val="none"/>
        </w:rPr>
        <w:t>在已建渠道与左庄沙河交叉处设分水闸，对左庄沙河进行补水，同时对左庄沙河分水闸至前香屯段、前香屯南至新沟河（东支）段进行护砌，渠道</w:t>
      </w:r>
      <w:r>
        <w:rPr>
          <w:rFonts w:cs="Times New Roman"/>
          <w:color w:val="auto"/>
          <w:highlight w:val="none"/>
        </w:rPr>
        <w:t>与河道交叉处设分水口，连通左庄沙河、大刘庄河、新沟河、拉沟河，适时对河道进行生态补水。</w:t>
      </w:r>
    </w:p>
    <w:p>
      <w:pPr>
        <w:ind w:firstLine="480"/>
        <w:rPr>
          <w:rFonts w:cs="Times New Roman"/>
          <w:color w:val="auto"/>
          <w:highlight w:val="none"/>
        </w:rPr>
      </w:pPr>
      <w:r>
        <w:rPr>
          <w:rFonts w:cs="Times New Roman"/>
          <w:color w:val="auto"/>
          <w:highlight w:val="none"/>
        </w:rPr>
        <w:t>在圈里村西新建提升泵站，调水管线沿村村通道路向北铺设，途经圈里、魏楼、邱家庄、倪堂、王家庄至刘庄水库，管道全长6.9km；在前进桥处向东沿S234省道铺设分水管线，全长5.2km，在途经拉沟河、陶沟河处设分水口，对河道进行适时生态补水。</w:t>
      </w:r>
    </w:p>
    <w:p>
      <w:pPr>
        <w:pStyle w:val="5"/>
        <w:rPr>
          <w:rFonts w:cs="Times New Roman"/>
          <w:color w:val="auto"/>
          <w:highlight w:val="none"/>
        </w:rPr>
      </w:pPr>
      <w:r>
        <w:rPr>
          <w:rFonts w:cs="Times New Roman"/>
          <w:color w:val="auto"/>
          <w:highlight w:val="none"/>
        </w:rPr>
        <w:t>5.8.2.3</w:t>
      </w:r>
      <w:r>
        <w:rPr>
          <w:rFonts w:hint="eastAsia" w:cs="Times New Roman"/>
          <w:color w:val="auto"/>
          <w:highlight w:val="none"/>
        </w:rPr>
        <w:t>工程设计</w:t>
      </w:r>
    </w:p>
    <w:p>
      <w:pPr>
        <w:ind w:firstLine="480"/>
        <w:rPr>
          <w:rFonts w:cs="Times New Roman"/>
          <w:color w:val="auto"/>
          <w:highlight w:val="none"/>
        </w:rPr>
      </w:pPr>
      <w:r>
        <w:rPr>
          <w:rFonts w:hint="eastAsia" w:cs="Times New Roman"/>
          <w:color w:val="auto"/>
          <w:highlight w:val="none"/>
        </w:rPr>
        <w:t>根据《枣庄市峄城区贾庄节制闸灌区节水配套改造项目实施方案》中渠首泵站设计流量为0.93m</w:t>
      </w:r>
      <w:r>
        <w:rPr>
          <w:rFonts w:hint="eastAsia" w:cs="Times New Roman"/>
          <w:color w:val="auto"/>
          <w:highlight w:val="none"/>
          <w:vertAlign w:val="superscript"/>
        </w:rPr>
        <w:t>3</w:t>
      </w:r>
      <w:r>
        <w:rPr>
          <w:rFonts w:hint="eastAsia" w:cs="Times New Roman"/>
          <w:color w:val="auto"/>
          <w:highlight w:val="none"/>
        </w:rPr>
        <w:t>/s，东部水系连通工程利用灌区泵站闲暇进行调水和生态补水，因此东部水系连通工程系统流量取0.93m</w:t>
      </w:r>
      <w:r>
        <w:rPr>
          <w:rFonts w:hint="eastAsia" w:cs="Times New Roman"/>
          <w:color w:val="auto"/>
          <w:highlight w:val="none"/>
          <w:vertAlign w:val="superscript"/>
        </w:rPr>
        <w:t>3</w:t>
      </w:r>
      <w:r>
        <w:rPr>
          <w:rFonts w:hint="eastAsia" w:cs="Times New Roman"/>
          <w:color w:val="auto"/>
          <w:highlight w:val="none"/>
        </w:rPr>
        <w:t>/s，渠道</w:t>
      </w:r>
      <w:r>
        <w:rPr>
          <w:rFonts w:cs="Times New Roman"/>
          <w:color w:val="auto"/>
          <w:highlight w:val="none"/>
        </w:rPr>
        <w:t>与河道交叉处设分水</w:t>
      </w:r>
      <w:r>
        <w:rPr>
          <w:rFonts w:hint="eastAsia" w:cs="Times New Roman"/>
          <w:color w:val="auto"/>
          <w:highlight w:val="none"/>
        </w:rPr>
        <w:t>闸，将此流量利用渠道和管道分配至左庄沙河、大刘庄河、新沟河（西支）、新沟河（东支）、拉沟河、陶沟河及刘庄水库，每条河分配流量为0.1</w:t>
      </w:r>
      <w:r>
        <w:rPr>
          <w:rFonts w:cs="Times New Roman"/>
          <w:color w:val="auto"/>
          <w:highlight w:val="none"/>
        </w:rPr>
        <w:t>4</w:t>
      </w:r>
      <w:r>
        <w:rPr>
          <w:rFonts w:hint="eastAsia" w:cs="Times New Roman"/>
          <w:color w:val="auto"/>
          <w:highlight w:val="none"/>
        </w:rPr>
        <w:t xml:space="preserve"> m</w:t>
      </w:r>
      <w:r>
        <w:rPr>
          <w:rFonts w:hint="eastAsia" w:cs="Times New Roman"/>
          <w:color w:val="auto"/>
          <w:highlight w:val="none"/>
          <w:vertAlign w:val="superscript"/>
        </w:rPr>
        <w:t>3</w:t>
      </w:r>
      <w:r>
        <w:rPr>
          <w:rFonts w:hint="eastAsia" w:cs="Times New Roman"/>
          <w:color w:val="auto"/>
          <w:highlight w:val="none"/>
        </w:rPr>
        <w:t>/s。</w:t>
      </w:r>
    </w:p>
    <w:p>
      <w:pPr>
        <w:ind w:firstLine="480"/>
        <w:rPr>
          <w:rFonts w:cs="Times New Roman"/>
          <w:color w:val="auto"/>
          <w:highlight w:val="none"/>
        </w:rPr>
      </w:pPr>
      <w:r>
        <w:rPr>
          <w:rFonts w:hint="eastAsia" w:cs="Times New Roman"/>
          <w:color w:val="auto"/>
          <w:highlight w:val="none"/>
        </w:rPr>
        <w:t>对左庄沙河分水闸至前香屯段、前香屯南至新沟河（东支）段渠道进行清淤、护砌，护坡采用浆砌混凝土砌块防护，在渠道穿越大刘庄河、王场新河、新沟河（西支）处设倒虹吸。</w:t>
      </w:r>
    </w:p>
    <w:p>
      <w:pPr>
        <w:ind w:firstLine="480"/>
        <w:rPr>
          <w:rFonts w:cs="Times New Roman"/>
          <w:color w:val="auto"/>
          <w:highlight w:val="none"/>
        </w:rPr>
      </w:pPr>
      <w:r>
        <w:rPr>
          <w:rFonts w:cs="Times New Roman"/>
          <w:color w:val="auto"/>
          <w:highlight w:val="none"/>
        </w:rPr>
        <w:t>在圈里村西新建提升泵站，调水管线沿村村通道路向北铺设，途经圈里、魏楼、邱家庄、倪堂、王家庄至刘庄水库，管道全长6.9km；在前进桥处向东沿S234省道铺设分水管线，全长5.2km，在途经拉沟河、陶沟河处设分水口，对河道进行适时生态补水。</w:t>
      </w:r>
    </w:p>
    <w:p>
      <w:pPr>
        <w:ind w:firstLine="480"/>
        <w:rPr>
          <w:color w:val="auto"/>
          <w:highlight w:val="none"/>
        </w:rPr>
      </w:pPr>
      <w:r>
        <w:rPr>
          <w:rFonts w:hint="eastAsia"/>
          <w:color w:val="auto"/>
          <w:highlight w:val="none"/>
        </w:rPr>
        <w:t>根据工程布置及渠道现状，各段渠道设计水力参数见表5.</w:t>
      </w:r>
      <w:r>
        <w:rPr>
          <w:color w:val="auto"/>
          <w:highlight w:val="none"/>
        </w:rPr>
        <w:t>8</w:t>
      </w:r>
      <w:r>
        <w:rPr>
          <w:rFonts w:hint="eastAsia"/>
          <w:color w:val="auto"/>
          <w:highlight w:val="none"/>
        </w:rPr>
        <w:t>-1，各段管道水力参数见表5.</w:t>
      </w:r>
      <w:r>
        <w:rPr>
          <w:color w:val="auto"/>
          <w:highlight w:val="none"/>
        </w:rPr>
        <w:t>8</w:t>
      </w:r>
      <w:r>
        <w:rPr>
          <w:rFonts w:hint="eastAsia"/>
          <w:color w:val="auto"/>
          <w:highlight w:val="none"/>
        </w:rPr>
        <w:t>-2。</w:t>
      </w:r>
    </w:p>
    <w:p>
      <w:pPr>
        <w:ind w:firstLine="482"/>
        <w:rPr>
          <w:b/>
          <w:color w:val="auto"/>
          <w:highlight w:val="none"/>
        </w:rPr>
      </w:pPr>
      <w:r>
        <w:rPr>
          <w:rFonts w:hint="eastAsia"/>
          <w:b/>
          <w:color w:val="auto"/>
          <w:highlight w:val="none"/>
        </w:rPr>
        <w:t>表5.</w:t>
      </w:r>
      <w:r>
        <w:rPr>
          <w:b/>
          <w:color w:val="auto"/>
          <w:highlight w:val="none"/>
        </w:rPr>
        <w:t>8</w:t>
      </w:r>
      <w:r>
        <w:rPr>
          <w:rFonts w:hint="eastAsia"/>
          <w:b/>
          <w:color w:val="auto"/>
          <w:highlight w:val="none"/>
        </w:rPr>
        <w:t xml:space="preserve">-1 </w:t>
      </w:r>
      <w:r>
        <w:rPr>
          <w:b/>
          <w:color w:val="auto"/>
          <w:highlight w:val="none"/>
        </w:rPr>
        <w:t xml:space="preserve">             </w:t>
      </w:r>
      <w:r>
        <w:rPr>
          <w:rFonts w:hint="eastAsia"/>
          <w:b/>
          <w:color w:val="auto"/>
          <w:highlight w:val="none"/>
        </w:rPr>
        <w:t>渠道设计水力参数表</w:t>
      </w:r>
    </w:p>
    <w:tbl>
      <w:tblPr>
        <w:tblStyle w:val="34"/>
        <w:tblW w:w="502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05"/>
        <w:gridCol w:w="1092"/>
        <w:gridCol w:w="1092"/>
        <w:gridCol w:w="1092"/>
        <w:gridCol w:w="1227"/>
        <w:gridCol w:w="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pct"/>
          </w:tcPr>
          <w:p>
            <w:pPr>
              <w:spacing w:beforeLines="0" w:afterLines="0"/>
              <w:ind w:firstLine="0" w:firstLineChars="0"/>
              <w:jc w:val="center"/>
              <w:rPr>
                <w:rFonts w:cs="Times New Roman"/>
                <w:color w:val="auto"/>
                <w:sz w:val="21"/>
                <w:highlight w:val="none"/>
              </w:rPr>
            </w:pPr>
            <w:r>
              <w:rPr>
                <w:rFonts w:hint="eastAsia" w:cs="Times New Roman"/>
                <w:color w:val="auto"/>
                <w:sz w:val="21"/>
                <w:highlight w:val="none"/>
              </w:rPr>
              <w:t>渠道名称</w:t>
            </w:r>
          </w:p>
        </w:tc>
        <w:tc>
          <w:tcPr>
            <w:tcW w:w="638" w:type="pct"/>
          </w:tcPr>
          <w:p>
            <w:pPr>
              <w:spacing w:beforeLines="0" w:afterLines="0"/>
              <w:ind w:firstLine="0" w:firstLineChars="0"/>
              <w:jc w:val="left"/>
              <w:rPr>
                <w:rFonts w:cs="Times New Roman"/>
                <w:color w:val="auto"/>
                <w:sz w:val="21"/>
                <w:highlight w:val="none"/>
              </w:rPr>
            </w:pPr>
            <w:r>
              <w:rPr>
                <w:rFonts w:hint="eastAsia" w:cs="Times New Roman"/>
                <w:color w:val="auto"/>
                <w:sz w:val="21"/>
                <w:highlight w:val="none"/>
              </w:rPr>
              <w:t>底宽（m）</w:t>
            </w:r>
          </w:p>
        </w:tc>
        <w:tc>
          <w:tcPr>
            <w:tcW w:w="638" w:type="pct"/>
          </w:tcPr>
          <w:p>
            <w:pPr>
              <w:spacing w:beforeLines="0" w:afterLines="0"/>
              <w:ind w:firstLine="0" w:firstLineChars="0"/>
              <w:jc w:val="left"/>
              <w:rPr>
                <w:rFonts w:cs="Times New Roman"/>
                <w:color w:val="auto"/>
                <w:sz w:val="21"/>
                <w:highlight w:val="none"/>
              </w:rPr>
            </w:pPr>
            <w:r>
              <w:rPr>
                <w:rFonts w:hint="eastAsia" w:cs="Times New Roman"/>
                <w:color w:val="auto"/>
                <w:sz w:val="21"/>
                <w:highlight w:val="none"/>
              </w:rPr>
              <w:t>设计坡比</w:t>
            </w:r>
          </w:p>
        </w:tc>
        <w:tc>
          <w:tcPr>
            <w:tcW w:w="638" w:type="pct"/>
          </w:tcPr>
          <w:p>
            <w:pPr>
              <w:spacing w:beforeLines="0" w:afterLines="0"/>
              <w:ind w:firstLine="0" w:firstLineChars="0"/>
              <w:jc w:val="left"/>
              <w:rPr>
                <w:rFonts w:cs="Times New Roman"/>
                <w:color w:val="auto"/>
                <w:sz w:val="21"/>
                <w:highlight w:val="none"/>
              </w:rPr>
            </w:pPr>
            <w:r>
              <w:rPr>
                <w:rFonts w:hint="eastAsia" w:cs="Times New Roman"/>
                <w:color w:val="auto"/>
                <w:sz w:val="21"/>
                <w:highlight w:val="none"/>
              </w:rPr>
              <w:t>沟深（m）</w:t>
            </w:r>
          </w:p>
        </w:tc>
        <w:tc>
          <w:tcPr>
            <w:tcW w:w="717" w:type="pct"/>
          </w:tcPr>
          <w:p>
            <w:pPr>
              <w:spacing w:beforeLines="0" w:afterLines="0"/>
              <w:ind w:firstLine="0" w:firstLineChars="0"/>
              <w:jc w:val="left"/>
              <w:rPr>
                <w:rFonts w:cs="Times New Roman"/>
                <w:color w:val="auto"/>
                <w:sz w:val="21"/>
                <w:highlight w:val="none"/>
              </w:rPr>
            </w:pPr>
            <w:r>
              <w:rPr>
                <w:rFonts w:hint="eastAsia" w:cs="Times New Roman"/>
                <w:color w:val="auto"/>
                <w:sz w:val="21"/>
                <w:highlight w:val="none"/>
              </w:rPr>
              <w:t>流量（</w:t>
            </w:r>
            <w:r>
              <w:rPr>
                <w:rFonts w:hint="eastAsia" w:cs="Times New Roman"/>
                <w:color w:val="auto"/>
                <w:highlight w:val="none"/>
              </w:rPr>
              <w:t>m</w:t>
            </w:r>
            <w:r>
              <w:rPr>
                <w:rFonts w:hint="eastAsia" w:cs="Times New Roman"/>
                <w:color w:val="auto"/>
                <w:highlight w:val="none"/>
                <w:vertAlign w:val="superscript"/>
              </w:rPr>
              <w:t>3</w:t>
            </w:r>
            <w:r>
              <w:rPr>
                <w:rFonts w:hint="eastAsia" w:cs="Times New Roman"/>
                <w:color w:val="auto"/>
                <w:highlight w:val="none"/>
              </w:rPr>
              <w:t>/s</w:t>
            </w:r>
            <w:r>
              <w:rPr>
                <w:rFonts w:hint="eastAsia" w:cs="Times New Roman"/>
                <w:color w:val="auto"/>
                <w:sz w:val="21"/>
                <w:highlight w:val="none"/>
              </w:rPr>
              <w:t>）</w:t>
            </w:r>
          </w:p>
        </w:tc>
        <w:tc>
          <w:tcPr>
            <w:tcW w:w="555" w:type="pct"/>
          </w:tcPr>
          <w:p>
            <w:pPr>
              <w:spacing w:beforeLines="0" w:afterLines="0"/>
              <w:ind w:firstLine="0" w:firstLineChars="0"/>
              <w:jc w:val="left"/>
              <w:rPr>
                <w:rFonts w:cs="Times New Roman"/>
                <w:color w:val="auto"/>
                <w:sz w:val="21"/>
                <w:highlight w:val="none"/>
              </w:rPr>
            </w:pPr>
            <w:r>
              <w:rPr>
                <w:rFonts w:hint="eastAsia" w:cs="Times New Roman"/>
                <w:color w:val="auto"/>
                <w:sz w:val="21"/>
                <w:highlight w:val="none"/>
              </w:rPr>
              <w:t>比降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pct"/>
          </w:tcPr>
          <w:p>
            <w:pPr>
              <w:spacing w:beforeLines="0" w:afterLines="0"/>
              <w:ind w:firstLine="0" w:firstLineChars="0"/>
              <w:rPr>
                <w:rFonts w:cs="Times New Roman"/>
                <w:color w:val="auto"/>
                <w:sz w:val="21"/>
                <w:highlight w:val="none"/>
              </w:rPr>
            </w:pPr>
            <w:r>
              <w:rPr>
                <w:rFonts w:hint="eastAsia" w:cs="Times New Roman"/>
                <w:color w:val="auto"/>
                <w:sz w:val="21"/>
                <w:highlight w:val="none"/>
              </w:rPr>
              <w:t>左庄沙河—大刘庄河</w:t>
            </w:r>
          </w:p>
        </w:tc>
        <w:tc>
          <w:tcPr>
            <w:tcW w:w="638" w:type="pct"/>
          </w:tcPr>
          <w:p>
            <w:pPr>
              <w:spacing w:beforeLines="0" w:afterLines="0"/>
              <w:ind w:firstLine="420"/>
              <w:rPr>
                <w:rFonts w:cs="Times New Roman"/>
                <w:color w:val="auto"/>
                <w:sz w:val="21"/>
                <w:highlight w:val="none"/>
              </w:rPr>
            </w:pPr>
            <w:r>
              <w:rPr>
                <w:rFonts w:hint="eastAsia" w:cs="Times New Roman"/>
                <w:color w:val="auto"/>
                <w:sz w:val="21"/>
                <w:highlight w:val="none"/>
              </w:rPr>
              <w:t>2</w:t>
            </w:r>
          </w:p>
        </w:tc>
        <w:tc>
          <w:tcPr>
            <w:tcW w:w="638" w:type="pct"/>
          </w:tcPr>
          <w:p>
            <w:pPr>
              <w:spacing w:beforeLines="0" w:afterLines="0"/>
              <w:ind w:firstLine="420"/>
              <w:rPr>
                <w:rFonts w:cs="Times New Roman"/>
                <w:color w:val="auto"/>
                <w:sz w:val="21"/>
                <w:highlight w:val="none"/>
              </w:rPr>
            </w:pPr>
            <w:r>
              <w:rPr>
                <w:rFonts w:hint="eastAsia" w:cs="Times New Roman"/>
                <w:color w:val="auto"/>
                <w:sz w:val="21"/>
                <w:highlight w:val="none"/>
              </w:rPr>
              <w:t>1:2</w:t>
            </w:r>
          </w:p>
        </w:tc>
        <w:tc>
          <w:tcPr>
            <w:tcW w:w="638" w:type="pct"/>
          </w:tcPr>
          <w:p>
            <w:pPr>
              <w:spacing w:beforeLines="0" w:afterLines="0"/>
              <w:ind w:firstLine="420"/>
              <w:rPr>
                <w:rFonts w:cs="Times New Roman"/>
                <w:color w:val="auto"/>
                <w:sz w:val="21"/>
                <w:highlight w:val="none"/>
              </w:rPr>
            </w:pPr>
            <w:r>
              <w:rPr>
                <w:rFonts w:hint="eastAsia" w:cs="Times New Roman"/>
                <w:color w:val="auto"/>
                <w:sz w:val="21"/>
                <w:highlight w:val="none"/>
              </w:rPr>
              <w:t>2</w:t>
            </w:r>
          </w:p>
        </w:tc>
        <w:tc>
          <w:tcPr>
            <w:tcW w:w="717" w:type="pct"/>
          </w:tcPr>
          <w:p>
            <w:pPr>
              <w:spacing w:beforeLines="0" w:afterLines="0"/>
              <w:ind w:firstLine="420"/>
              <w:rPr>
                <w:rFonts w:cs="Times New Roman"/>
                <w:color w:val="auto"/>
                <w:sz w:val="21"/>
                <w:highlight w:val="none"/>
              </w:rPr>
            </w:pPr>
            <w:r>
              <w:rPr>
                <w:rFonts w:hint="eastAsia" w:cs="Times New Roman"/>
                <w:color w:val="auto"/>
                <w:sz w:val="21"/>
                <w:highlight w:val="none"/>
              </w:rPr>
              <w:t>0.84</w:t>
            </w:r>
          </w:p>
        </w:tc>
        <w:tc>
          <w:tcPr>
            <w:tcW w:w="555" w:type="pct"/>
          </w:tcPr>
          <w:p>
            <w:pPr>
              <w:spacing w:beforeLines="0" w:afterLines="0"/>
              <w:ind w:firstLine="0" w:firstLineChars="0"/>
              <w:rPr>
                <w:rFonts w:cs="Times New Roman"/>
                <w:color w:val="auto"/>
                <w:sz w:val="21"/>
                <w:highlight w:val="none"/>
              </w:rPr>
            </w:pPr>
            <w:r>
              <w:rPr>
                <w:rFonts w:hint="eastAsia" w:cs="Times New Roman"/>
                <w:color w:val="auto"/>
                <w:sz w:val="21"/>
                <w:highlight w:val="none"/>
              </w:rPr>
              <w:t>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pct"/>
          </w:tcPr>
          <w:p>
            <w:pPr>
              <w:spacing w:beforeLines="0" w:afterLines="0"/>
              <w:ind w:firstLine="0" w:firstLineChars="0"/>
              <w:rPr>
                <w:rFonts w:cs="Times New Roman"/>
                <w:color w:val="auto"/>
                <w:sz w:val="21"/>
                <w:highlight w:val="none"/>
              </w:rPr>
            </w:pPr>
            <w:r>
              <w:rPr>
                <w:rFonts w:hint="eastAsia" w:cs="Times New Roman"/>
                <w:color w:val="auto"/>
                <w:sz w:val="21"/>
                <w:highlight w:val="none"/>
              </w:rPr>
              <w:t>大刘庄河—新沟河（西支）</w:t>
            </w:r>
          </w:p>
        </w:tc>
        <w:tc>
          <w:tcPr>
            <w:tcW w:w="638" w:type="pct"/>
          </w:tcPr>
          <w:p>
            <w:pPr>
              <w:spacing w:beforeLines="0" w:afterLines="0"/>
              <w:ind w:firstLine="420"/>
              <w:rPr>
                <w:rFonts w:cs="Times New Roman"/>
                <w:color w:val="auto"/>
                <w:sz w:val="21"/>
                <w:highlight w:val="none"/>
              </w:rPr>
            </w:pPr>
            <w:r>
              <w:rPr>
                <w:rFonts w:hint="eastAsia" w:cs="Times New Roman"/>
                <w:color w:val="auto"/>
                <w:sz w:val="21"/>
                <w:highlight w:val="none"/>
              </w:rPr>
              <w:t>3</w:t>
            </w:r>
          </w:p>
        </w:tc>
        <w:tc>
          <w:tcPr>
            <w:tcW w:w="638" w:type="pct"/>
          </w:tcPr>
          <w:p>
            <w:pPr>
              <w:spacing w:beforeLines="0" w:afterLines="0"/>
              <w:ind w:firstLine="420"/>
              <w:rPr>
                <w:rFonts w:cs="Times New Roman"/>
                <w:color w:val="auto"/>
                <w:sz w:val="21"/>
                <w:highlight w:val="none"/>
              </w:rPr>
            </w:pPr>
            <w:r>
              <w:rPr>
                <w:rFonts w:hint="eastAsia" w:cs="Times New Roman"/>
                <w:color w:val="auto"/>
                <w:sz w:val="21"/>
                <w:highlight w:val="none"/>
              </w:rPr>
              <w:t>1:2</w:t>
            </w:r>
          </w:p>
        </w:tc>
        <w:tc>
          <w:tcPr>
            <w:tcW w:w="638" w:type="pct"/>
          </w:tcPr>
          <w:p>
            <w:pPr>
              <w:spacing w:beforeLines="0" w:afterLines="0"/>
              <w:ind w:firstLine="420"/>
              <w:rPr>
                <w:rFonts w:cs="Times New Roman"/>
                <w:color w:val="auto"/>
                <w:sz w:val="21"/>
                <w:highlight w:val="none"/>
              </w:rPr>
            </w:pPr>
            <w:r>
              <w:rPr>
                <w:rFonts w:hint="eastAsia" w:cs="Times New Roman"/>
                <w:color w:val="auto"/>
                <w:sz w:val="21"/>
                <w:highlight w:val="none"/>
              </w:rPr>
              <w:t>3</w:t>
            </w:r>
          </w:p>
        </w:tc>
        <w:tc>
          <w:tcPr>
            <w:tcW w:w="717" w:type="pct"/>
          </w:tcPr>
          <w:p>
            <w:pPr>
              <w:spacing w:beforeLines="0" w:afterLines="0"/>
              <w:ind w:firstLine="420"/>
              <w:rPr>
                <w:rFonts w:cs="Times New Roman"/>
                <w:color w:val="auto"/>
                <w:sz w:val="21"/>
                <w:highlight w:val="none"/>
              </w:rPr>
            </w:pPr>
            <w:r>
              <w:rPr>
                <w:rFonts w:hint="eastAsia" w:cs="Times New Roman"/>
                <w:color w:val="auto"/>
                <w:sz w:val="21"/>
                <w:highlight w:val="none"/>
              </w:rPr>
              <w:t>0.</w:t>
            </w:r>
            <w:r>
              <w:rPr>
                <w:rFonts w:cs="Times New Roman"/>
                <w:color w:val="auto"/>
                <w:sz w:val="21"/>
                <w:highlight w:val="none"/>
              </w:rPr>
              <w:t>70</w:t>
            </w:r>
          </w:p>
        </w:tc>
        <w:tc>
          <w:tcPr>
            <w:tcW w:w="555" w:type="pct"/>
          </w:tcPr>
          <w:p>
            <w:pPr>
              <w:spacing w:beforeLines="0" w:afterLines="0"/>
              <w:ind w:firstLine="0" w:firstLineChars="0"/>
              <w:rPr>
                <w:rFonts w:cs="Times New Roman"/>
                <w:color w:val="auto"/>
                <w:sz w:val="21"/>
                <w:highlight w:val="none"/>
              </w:rPr>
            </w:pPr>
            <w:r>
              <w:rPr>
                <w:rFonts w:hint="eastAsia" w:cs="Times New Roman"/>
                <w:color w:val="auto"/>
                <w:sz w:val="21"/>
                <w:highlight w:val="none"/>
              </w:rPr>
              <w:t>0.0</w:t>
            </w:r>
            <w:r>
              <w:rPr>
                <w:rFonts w:cs="Times New Roman"/>
                <w:color w:val="auto"/>
                <w:sz w:val="21"/>
                <w:highlight w:val="none"/>
              </w:rPr>
              <w:t>0</w:t>
            </w:r>
            <w:r>
              <w:rPr>
                <w:rFonts w:hint="eastAsia" w:cs="Times New Roman"/>
                <w:color w:val="auto"/>
                <w:sz w:val="21"/>
                <w:highlight w:val="none"/>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pct"/>
          </w:tcPr>
          <w:p>
            <w:pPr>
              <w:spacing w:beforeLines="0" w:afterLines="0"/>
              <w:ind w:firstLine="0" w:firstLineChars="0"/>
              <w:rPr>
                <w:rFonts w:cs="Times New Roman"/>
                <w:color w:val="auto"/>
                <w:sz w:val="21"/>
                <w:highlight w:val="none"/>
              </w:rPr>
            </w:pPr>
            <w:r>
              <w:rPr>
                <w:rFonts w:hint="eastAsia" w:cs="Times New Roman"/>
                <w:color w:val="auto"/>
                <w:sz w:val="21"/>
                <w:highlight w:val="none"/>
              </w:rPr>
              <w:t>新沟河（西支）—新沟河（东支）</w:t>
            </w:r>
          </w:p>
        </w:tc>
        <w:tc>
          <w:tcPr>
            <w:tcW w:w="638" w:type="pct"/>
          </w:tcPr>
          <w:p>
            <w:pPr>
              <w:spacing w:beforeLines="0" w:afterLines="0"/>
              <w:ind w:firstLine="420"/>
              <w:rPr>
                <w:rFonts w:cs="Times New Roman"/>
                <w:color w:val="auto"/>
                <w:sz w:val="21"/>
                <w:highlight w:val="none"/>
              </w:rPr>
            </w:pPr>
            <w:r>
              <w:rPr>
                <w:rFonts w:hint="eastAsia" w:cs="Times New Roman"/>
                <w:color w:val="auto"/>
                <w:sz w:val="21"/>
                <w:highlight w:val="none"/>
              </w:rPr>
              <w:t>3</w:t>
            </w:r>
          </w:p>
        </w:tc>
        <w:tc>
          <w:tcPr>
            <w:tcW w:w="638" w:type="pct"/>
          </w:tcPr>
          <w:p>
            <w:pPr>
              <w:spacing w:beforeLines="0" w:afterLines="0"/>
              <w:ind w:firstLine="420"/>
              <w:rPr>
                <w:rFonts w:cs="Times New Roman"/>
                <w:color w:val="auto"/>
                <w:sz w:val="21"/>
                <w:highlight w:val="none"/>
              </w:rPr>
            </w:pPr>
            <w:r>
              <w:rPr>
                <w:rFonts w:hint="eastAsia" w:cs="Times New Roman"/>
                <w:color w:val="auto"/>
                <w:sz w:val="21"/>
                <w:highlight w:val="none"/>
              </w:rPr>
              <w:t>1:2</w:t>
            </w:r>
          </w:p>
        </w:tc>
        <w:tc>
          <w:tcPr>
            <w:tcW w:w="638" w:type="pct"/>
          </w:tcPr>
          <w:p>
            <w:pPr>
              <w:spacing w:beforeLines="0" w:afterLines="0"/>
              <w:ind w:firstLine="420"/>
              <w:rPr>
                <w:rFonts w:cs="Times New Roman"/>
                <w:color w:val="auto"/>
                <w:sz w:val="21"/>
                <w:highlight w:val="none"/>
              </w:rPr>
            </w:pPr>
            <w:r>
              <w:rPr>
                <w:rFonts w:hint="eastAsia" w:cs="Times New Roman"/>
                <w:color w:val="auto"/>
                <w:sz w:val="21"/>
                <w:highlight w:val="none"/>
              </w:rPr>
              <w:t>3</w:t>
            </w:r>
          </w:p>
        </w:tc>
        <w:tc>
          <w:tcPr>
            <w:tcW w:w="717" w:type="pct"/>
          </w:tcPr>
          <w:p>
            <w:pPr>
              <w:spacing w:beforeLines="0" w:afterLines="0"/>
              <w:ind w:firstLine="420"/>
              <w:rPr>
                <w:rFonts w:cs="Times New Roman"/>
                <w:color w:val="auto"/>
                <w:sz w:val="21"/>
                <w:highlight w:val="none"/>
              </w:rPr>
            </w:pPr>
            <w:r>
              <w:rPr>
                <w:rFonts w:hint="eastAsia" w:cs="Times New Roman"/>
                <w:color w:val="auto"/>
                <w:sz w:val="21"/>
                <w:highlight w:val="none"/>
              </w:rPr>
              <w:t>0.56</w:t>
            </w:r>
          </w:p>
        </w:tc>
        <w:tc>
          <w:tcPr>
            <w:tcW w:w="555" w:type="pct"/>
          </w:tcPr>
          <w:p>
            <w:pPr>
              <w:spacing w:beforeLines="0" w:afterLines="0"/>
              <w:ind w:firstLine="0" w:firstLineChars="0"/>
              <w:rPr>
                <w:rFonts w:cs="Times New Roman"/>
                <w:color w:val="auto"/>
                <w:sz w:val="21"/>
                <w:highlight w:val="none"/>
              </w:rPr>
            </w:pPr>
            <w:r>
              <w:rPr>
                <w:rFonts w:hint="eastAsia" w:cs="Times New Roman"/>
                <w:color w:val="auto"/>
                <w:sz w:val="21"/>
                <w:highlight w:val="none"/>
              </w:rPr>
              <w:t>0.0008</w:t>
            </w:r>
          </w:p>
        </w:tc>
      </w:tr>
    </w:tbl>
    <w:p>
      <w:pPr>
        <w:ind w:firstLine="482"/>
        <w:rPr>
          <w:b/>
          <w:color w:val="auto"/>
          <w:highlight w:val="none"/>
        </w:rPr>
      </w:pPr>
      <w:r>
        <w:rPr>
          <w:rFonts w:hint="eastAsia"/>
          <w:b/>
          <w:color w:val="auto"/>
          <w:highlight w:val="none"/>
        </w:rPr>
        <w:t>表5.</w:t>
      </w:r>
      <w:r>
        <w:rPr>
          <w:b/>
          <w:color w:val="auto"/>
          <w:highlight w:val="none"/>
        </w:rPr>
        <w:t>8</w:t>
      </w:r>
      <w:r>
        <w:rPr>
          <w:rFonts w:hint="eastAsia"/>
          <w:b/>
          <w:color w:val="auto"/>
          <w:highlight w:val="none"/>
        </w:rPr>
        <w:t>-</w:t>
      </w:r>
      <w:r>
        <w:rPr>
          <w:b/>
          <w:color w:val="auto"/>
          <w:highlight w:val="none"/>
        </w:rPr>
        <w:t>2</w:t>
      </w:r>
      <w:r>
        <w:rPr>
          <w:rFonts w:hint="eastAsia"/>
          <w:b/>
          <w:color w:val="auto"/>
          <w:highlight w:val="none"/>
        </w:rPr>
        <w:t xml:space="preserve"> </w:t>
      </w:r>
      <w:r>
        <w:rPr>
          <w:b/>
          <w:color w:val="auto"/>
          <w:highlight w:val="none"/>
        </w:rPr>
        <w:t xml:space="preserve">             </w:t>
      </w:r>
      <w:r>
        <w:rPr>
          <w:rFonts w:hint="eastAsia"/>
          <w:b/>
          <w:color w:val="auto"/>
          <w:highlight w:val="none"/>
        </w:rPr>
        <w:t>管道设计水力参数表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62"/>
        <w:gridCol w:w="1878"/>
        <w:gridCol w:w="1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94" w:type="pct"/>
          </w:tcPr>
          <w:p>
            <w:pPr>
              <w:spacing w:beforeLines="0" w:afterLines="0"/>
              <w:ind w:firstLine="0" w:firstLineChars="0"/>
              <w:jc w:val="center"/>
              <w:rPr>
                <w:rFonts w:cs="Times New Roman"/>
                <w:color w:val="auto"/>
                <w:sz w:val="21"/>
                <w:highlight w:val="none"/>
              </w:rPr>
            </w:pPr>
            <w:r>
              <w:rPr>
                <w:rFonts w:hint="eastAsia" w:cs="Times New Roman"/>
                <w:color w:val="auto"/>
                <w:sz w:val="21"/>
                <w:highlight w:val="none"/>
              </w:rPr>
              <w:t>管道名称</w:t>
            </w:r>
          </w:p>
        </w:tc>
        <w:tc>
          <w:tcPr>
            <w:tcW w:w="1102" w:type="pct"/>
          </w:tcPr>
          <w:p>
            <w:pPr>
              <w:spacing w:beforeLines="0" w:afterLines="0"/>
              <w:ind w:firstLine="0" w:firstLineChars="0"/>
              <w:jc w:val="left"/>
              <w:rPr>
                <w:rFonts w:cs="Times New Roman"/>
                <w:color w:val="auto"/>
                <w:sz w:val="21"/>
                <w:highlight w:val="none"/>
              </w:rPr>
            </w:pPr>
            <w:r>
              <w:rPr>
                <w:rFonts w:hint="eastAsia" w:cs="Times New Roman"/>
                <w:color w:val="auto"/>
                <w:sz w:val="21"/>
                <w:highlight w:val="none"/>
              </w:rPr>
              <w:t>管径（mm）</w:t>
            </w:r>
          </w:p>
        </w:tc>
        <w:tc>
          <w:tcPr>
            <w:tcW w:w="1104" w:type="pct"/>
          </w:tcPr>
          <w:p>
            <w:pPr>
              <w:spacing w:beforeLines="0" w:afterLines="0"/>
              <w:ind w:firstLine="0" w:firstLineChars="0"/>
              <w:jc w:val="left"/>
              <w:rPr>
                <w:rFonts w:cs="Times New Roman"/>
                <w:color w:val="auto"/>
                <w:sz w:val="21"/>
                <w:highlight w:val="none"/>
              </w:rPr>
            </w:pPr>
            <w:r>
              <w:rPr>
                <w:rFonts w:hint="eastAsia" w:cs="Times New Roman"/>
                <w:color w:val="auto"/>
                <w:sz w:val="21"/>
                <w:highlight w:val="none"/>
              </w:rPr>
              <w:t>流量（</w:t>
            </w:r>
            <w:r>
              <w:rPr>
                <w:rFonts w:hint="eastAsia" w:cs="Times New Roman"/>
                <w:color w:val="auto"/>
                <w:highlight w:val="none"/>
              </w:rPr>
              <w:t>m</w:t>
            </w:r>
            <w:r>
              <w:rPr>
                <w:rFonts w:hint="eastAsia" w:cs="Times New Roman"/>
                <w:color w:val="auto"/>
                <w:highlight w:val="none"/>
                <w:vertAlign w:val="superscript"/>
              </w:rPr>
              <w:t>3</w:t>
            </w:r>
            <w:r>
              <w:rPr>
                <w:rFonts w:hint="eastAsia" w:cs="Times New Roman"/>
                <w:color w:val="auto"/>
                <w:highlight w:val="none"/>
              </w:rPr>
              <w:t>/s</w:t>
            </w:r>
            <w:r>
              <w:rPr>
                <w:rFonts w:hint="eastAsia" w:cs="Times New Roman"/>
                <w:color w:val="auto"/>
                <w:sz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94" w:type="pct"/>
          </w:tcPr>
          <w:p>
            <w:pPr>
              <w:spacing w:beforeLines="0" w:afterLines="0"/>
              <w:ind w:firstLine="0" w:firstLineChars="0"/>
              <w:rPr>
                <w:rFonts w:cs="Times New Roman"/>
                <w:color w:val="auto"/>
                <w:sz w:val="21"/>
                <w:highlight w:val="none"/>
              </w:rPr>
            </w:pPr>
            <w:r>
              <w:rPr>
                <w:rFonts w:hint="eastAsia" w:cs="Times New Roman"/>
                <w:color w:val="auto"/>
                <w:sz w:val="21"/>
                <w:highlight w:val="none"/>
              </w:rPr>
              <w:t>圈里泵站—前进桥三通</w:t>
            </w:r>
          </w:p>
        </w:tc>
        <w:tc>
          <w:tcPr>
            <w:tcW w:w="1102" w:type="pct"/>
          </w:tcPr>
          <w:p>
            <w:pPr>
              <w:spacing w:beforeLines="0" w:afterLines="0"/>
              <w:ind w:firstLine="420"/>
              <w:rPr>
                <w:rFonts w:cs="Times New Roman"/>
                <w:color w:val="auto"/>
                <w:sz w:val="21"/>
                <w:highlight w:val="none"/>
              </w:rPr>
            </w:pPr>
            <w:r>
              <w:rPr>
                <w:rFonts w:cs="Times New Roman"/>
                <w:color w:val="auto"/>
                <w:sz w:val="21"/>
                <w:highlight w:val="none"/>
              </w:rPr>
              <w:t>700</w:t>
            </w:r>
          </w:p>
        </w:tc>
        <w:tc>
          <w:tcPr>
            <w:tcW w:w="1104" w:type="pct"/>
          </w:tcPr>
          <w:p>
            <w:pPr>
              <w:spacing w:beforeLines="0" w:afterLines="0"/>
              <w:ind w:firstLine="420"/>
              <w:rPr>
                <w:rFonts w:cs="Times New Roman"/>
                <w:color w:val="auto"/>
                <w:sz w:val="21"/>
                <w:highlight w:val="none"/>
              </w:rPr>
            </w:pPr>
            <w:r>
              <w:rPr>
                <w:rFonts w:hint="eastAsia" w:cs="Times New Roman"/>
                <w:color w:val="auto"/>
                <w:sz w:val="21"/>
                <w:highlight w:val="none"/>
              </w:rPr>
              <w:t>0.</w:t>
            </w:r>
            <w:r>
              <w:rPr>
                <w:rFonts w:cs="Times New Roman"/>
                <w:color w:val="auto"/>
                <w:sz w:val="21"/>
                <w:highlight w:val="none"/>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94" w:type="pct"/>
          </w:tcPr>
          <w:p>
            <w:pPr>
              <w:spacing w:beforeLines="0" w:afterLines="0"/>
              <w:ind w:firstLine="0" w:firstLineChars="0"/>
              <w:rPr>
                <w:rFonts w:cs="Times New Roman"/>
                <w:color w:val="auto"/>
                <w:sz w:val="21"/>
                <w:highlight w:val="none"/>
              </w:rPr>
            </w:pPr>
            <w:r>
              <w:rPr>
                <w:rFonts w:hint="eastAsia" w:cs="Times New Roman"/>
                <w:color w:val="auto"/>
                <w:sz w:val="21"/>
                <w:highlight w:val="none"/>
              </w:rPr>
              <w:t>前进桥三通—刘庄水库</w:t>
            </w:r>
          </w:p>
        </w:tc>
        <w:tc>
          <w:tcPr>
            <w:tcW w:w="1102" w:type="pct"/>
          </w:tcPr>
          <w:p>
            <w:pPr>
              <w:spacing w:beforeLines="0" w:afterLines="0"/>
              <w:ind w:firstLine="420"/>
              <w:rPr>
                <w:rFonts w:cs="Times New Roman"/>
                <w:color w:val="auto"/>
                <w:sz w:val="21"/>
                <w:highlight w:val="none"/>
              </w:rPr>
            </w:pPr>
            <w:r>
              <w:rPr>
                <w:rFonts w:cs="Times New Roman"/>
                <w:color w:val="auto"/>
                <w:sz w:val="21"/>
                <w:highlight w:val="none"/>
              </w:rPr>
              <w:t>400</w:t>
            </w:r>
          </w:p>
        </w:tc>
        <w:tc>
          <w:tcPr>
            <w:tcW w:w="1104" w:type="pct"/>
          </w:tcPr>
          <w:p>
            <w:pPr>
              <w:spacing w:beforeLines="0" w:afterLines="0"/>
              <w:ind w:firstLine="420"/>
              <w:rPr>
                <w:rFonts w:cs="Times New Roman"/>
                <w:color w:val="auto"/>
                <w:sz w:val="21"/>
                <w:highlight w:val="none"/>
              </w:rPr>
            </w:pPr>
            <w:r>
              <w:rPr>
                <w:rFonts w:cs="Times New Roman"/>
                <w:color w:val="auto"/>
                <w:sz w:val="21"/>
                <w:highlight w:val="none"/>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94" w:type="pct"/>
          </w:tcPr>
          <w:p>
            <w:pPr>
              <w:spacing w:beforeLines="0" w:afterLines="0"/>
              <w:ind w:firstLine="0" w:firstLineChars="0"/>
              <w:rPr>
                <w:rFonts w:cs="Times New Roman"/>
                <w:color w:val="auto"/>
                <w:sz w:val="21"/>
                <w:highlight w:val="none"/>
              </w:rPr>
            </w:pPr>
            <w:r>
              <w:rPr>
                <w:rFonts w:hint="eastAsia" w:cs="Times New Roman"/>
                <w:color w:val="auto"/>
                <w:sz w:val="21"/>
                <w:highlight w:val="none"/>
              </w:rPr>
              <w:t>前进桥三通—拉沟河</w:t>
            </w:r>
          </w:p>
        </w:tc>
        <w:tc>
          <w:tcPr>
            <w:tcW w:w="1102" w:type="pct"/>
          </w:tcPr>
          <w:p>
            <w:pPr>
              <w:spacing w:beforeLines="0" w:afterLines="0"/>
              <w:ind w:firstLine="420"/>
              <w:rPr>
                <w:rFonts w:cs="Times New Roman"/>
                <w:color w:val="auto"/>
                <w:sz w:val="21"/>
                <w:highlight w:val="none"/>
              </w:rPr>
            </w:pPr>
            <w:r>
              <w:rPr>
                <w:rFonts w:cs="Times New Roman"/>
                <w:color w:val="auto"/>
                <w:sz w:val="21"/>
                <w:highlight w:val="none"/>
              </w:rPr>
              <w:t>500</w:t>
            </w:r>
          </w:p>
        </w:tc>
        <w:tc>
          <w:tcPr>
            <w:tcW w:w="1104" w:type="pct"/>
          </w:tcPr>
          <w:p>
            <w:pPr>
              <w:spacing w:beforeLines="0" w:afterLines="0"/>
              <w:ind w:firstLine="420"/>
              <w:rPr>
                <w:rFonts w:cs="Times New Roman"/>
                <w:color w:val="auto"/>
                <w:sz w:val="21"/>
                <w:highlight w:val="none"/>
              </w:rPr>
            </w:pPr>
            <w:r>
              <w:rPr>
                <w:rFonts w:hint="eastAsia" w:cs="Times New Roman"/>
                <w:color w:val="auto"/>
                <w:sz w:val="21"/>
                <w:highlight w:val="none"/>
              </w:rPr>
              <w:t>0.</w:t>
            </w:r>
            <w:r>
              <w:rPr>
                <w:rFonts w:cs="Times New Roman"/>
                <w:color w:val="auto"/>
                <w:sz w:val="21"/>
                <w:highlight w:val="none"/>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94" w:type="pct"/>
          </w:tcPr>
          <w:p>
            <w:pPr>
              <w:spacing w:beforeLines="0" w:afterLines="0"/>
              <w:ind w:firstLine="0" w:firstLineChars="0"/>
              <w:rPr>
                <w:rFonts w:cs="Times New Roman"/>
                <w:color w:val="auto"/>
                <w:sz w:val="21"/>
                <w:highlight w:val="none"/>
              </w:rPr>
            </w:pPr>
            <w:r>
              <w:rPr>
                <w:rFonts w:hint="eastAsia" w:cs="Times New Roman"/>
                <w:color w:val="auto"/>
                <w:sz w:val="21"/>
                <w:highlight w:val="none"/>
              </w:rPr>
              <w:t>拉沟河—陶沟河</w:t>
            </w:r>
          </w:p>
        </w:tc>
        <w:tc>
          <w:tcPr>
            <w:tcW w:w="1102" w:type="pct"/>
          </w:tcPr>
          <w:p>
            <w:pPr>
              <w:spacing w:beforeLines="0" w:afterLines="0"/>
              <w:ind w:firstLine="420"/>
              <w:rPr>
                <w:rFonts w:cs="Times New Roman"/>
                <w:color w:val="auto"/>
                <w:sz w:val="21"/>
                <w:highlight w:val="none"/>
              </w:rPr>
            </w:pPr>
            <w:r>
              <w:rPr>
                <w:rFonts w:cs="Times New Roman"/>
                <w:color w:val="auto"/>
                <w:sz w:val="21"/>
                <w:highlight w:val="none"/>
              </w:rPr>
              <w:t>400</w:t>
            </w:r>
          </w:p>
        </w:tc>
        <w:tc>
          <w:tcPr>
            <w:tcW w:w="1104" w:type="pct"/>
          </w:tcPr>
          <w:p>
            <w:pPr>
              <w:spacing w:beforeLines="0" w:afterLines="0"/>
              <w:ind w:firstLine="420"/>
              <w:rPr>
                <w:rFonts w:cs="Times New Roman"/>
                <w:color w:val="auto"/>
                <w:sz w:val="21"/>
                <w:highlight w:val="none"/>
              </w:rPr>
            </w:pPr>
            <w:r>
              <w:rPr>
                <w:rFonts w:hint="eastAsia" w:cs="Times New Roman"/>
                <w:color w:val="auto"/>
                <w:sz w:val="21"/>
                <w:highlight w:val="none"/>
              </w:rPr>
              <w:t>0.14</w:t>
            </w:r>
          </w:p>
        </w:tc>
      </w:tr>
    </w:tbl>
    <w:p>
      <w:pPr>
        <w:widowControl/>
        <w:spacing w:line="240" w:lineRule="auto"/>
        <w:ind w:firstLine="0" w:firstLineChars="0"/>
        <w:jc w:val="left"/>
        <w:rPr>
          <w:color w:val="auto"/>
          <w:highlight w:val="none"/>
        </w:rPr>
      </w:pPr>
    </w:p>
    <w:p>
      <w:pPr>
        <w:pStyle w:val="5"/>
        <w:rPr>
          <w:rFonts w:cs="Times New Roman"/>
          <w:color w:val="auto"/>
          <w:highlight w:val="none"/>
        </w:rPr>
      </w:pPr>
      <w:r>
        <w:rPr>
          <w:rFonts w:cs="Times New Roman"/>
          <w:color w:val="auto"/>
          <w:highlight w:val="none"/>
        </w:rPr>
        <w:t>5.8.2.4水力计算</w:t>
      </w:r>
    </w:p>
    <w:p>
      <w:pPr>
        <w:ind w:firstLine="480"/>
        <w:rPr>
          <w:color w:val="auto"/>
          <w:highlight w:val="none"/>
        </w:rPr>
      </w:pPr>
      <w:r>
        <w:rPr>
          <w:rFonts w:hint="eastAsia"/>
          <w:color w:val="auto"/>
          <w:highlight w:val="none"/>
        </w:rPr>
        <w:t>1、渠道水面线推求方案</w:t>
      </w:r>
    </w:p>
    <w:p>
      <w:pPr>
        <w:ind w:firstLine="480"/>
        <w:rPr>
          <w:color w:val="auto"/>
          <w:highlight w:val="none"/>
        </w:rPr>
      </w:pPr>
      <w:r>
        <w:rPr>
          <w:rFonts w:hint="eastAsia"/>
          <w:color w:val="auto"/>
          <w:highlight w:val="none"/>
        </w:rPr>
        <w:t>治理段渠道断面采用梯形断面，两侧坡比1:2，断面设计要素结合现状断面形式、河底比降确定，部分河段适当拓宽。</w:t>
      </w:r>
    </w:p>
    <w:p>
      <w:pPr>
        <w:spacing w:before="31" w:after="31"/>
        <w:ind w:firstLine="480"/>
        <w:rPr>
          <w:color w:val="auto"/>
          <w:highlight w:val="none"/>
        </w:rPr>
      </w:pPr>
      <w:r>
        <w:rPr>
          <w:rFonts w:hint="eastAsia"/>
          <w:color w:val="auto"/>
          <w:highlight w:val="none"/>
        </w:rPr>
        <w:t>2、起始水位的确定</w:t>
      </w:r>
    </w:p>
    <w:p>
      <w:pPr>
        <w:spacing w:before="31" w:after="31"/>
        <w:ind w:firstLine="480"/>
        <w:rPr>
          <w:color w:val="auto"/>
          <w:highlight w:val="none"/>
        </w:rPr>
      </w:pPr>
      <w:r>
        <w:rPr>
          <w:rFonts w:hint="eastAsia"/>
          <w:color w:val="auto"/>
          <w:highlight w:val="none"/>
        </w:rPr>
        <w:t>本次治理段渠道设计水面线的推求从左庄沙河拟建前香屯橡胶坝上游推算。</w:t>
      </w:r>
    </w:p>
    <w:p>
      <w:pPr>
        <w:spacing w:before="31" w:after="31"/>
        <w:ind w:firstLine="480"/>
        <w:rPr>
          <w:color w:val="auto"/>
          <w:highlight w:val="none"/>
        </w:rPr>
      </w:pPr>
      <w:r>
        <w:rPr>
          <w:rFonts w:hint="eastAsia"/>
          <w:color w:val="auto"/>
          <w:highlight w:val="none"/>
        </w:rPr>
        <w:t>3、规划水面线的推算</w:t>
      </w:r>
    </w:p>
    <w:p>
      <w:pPr>
        <w:spacing w:before="31" w:after="31"/>
        <w:ind w:firstLine="480"/>
        <w:rPr>
          <w:color w:val="auto"/>
          <w:highlight w:val="none"/>
        </w:rPr>
      </w:pPr>
      <w:r>
        <w:rPr>
          <w:color w:val="auto"/>
          <w:highlight w:val="none"/>
        </w:rPr>
        <w:t>水面线推算采用水面线推算采用天然河道水面线计算原理，利用</w:t>
      </w:r>
      <w:r>
        <w:rPr>
          <w:rFonts w:hint="eastAsia"/>
          <w:color w:val="auto"/>
          <w:highlight w:val="none"/>
        </w:rPr>
        <w:t>相关</w:t>
      </w:r>
      <w:r>
        <w:rPr>
          <w:i/>
          <w:color w:val="auto"/>
          <w:highlight w:val="none"/>
        </w:rPr>
        <w:t>CAD</w:t>
      </w:r>
      <w:r>
        <w:rPr>
          <w:color w:val="auto"/>
          <w:highlight w:val="none"/>
        </w:rPr>
        <w:t>软件进行天然河道水面线计算。河道流态为恒定非均匀流。计算公式为：</w:t>
      </w:r>
    </w:p>
    <w:p>
      <w:pPr>
        <w:spacing w:before="31" w:after="31"/>
        <w:ind w:firstLine="480"/>
        <w:rPr>
          <w:color w:val="auto"/>
          <w:position w:val="-38"/>
          <w:highlight w:val="none"/>
        </w:rPr>
      </w:pPr>
      <w:r>
        <w:rPr>
          <w:color w:val="auto"/>
          <w:position w:val="-38"/>
          <w:highlight w:val="none"/>
        </w:rPr>
        <w:drawing>
          <wp:inline distT="0" distB="0" distL="0" distR="0">
            <wp:extent cx="3400425" cy="561975"/>
            <wp:effectExtent l="19050" t="0" r="9525" b="0"/>
            <wp:docPr id="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9"/>
                    <pic:cNvPicPr>
                      <a:picLocks noChangeAspect="1" noChangeArrowheads="1"/>
                    </pic:cNvPicPr>
                  </pic:nvPicPr>
                  <pic:blipFill>
                    <a:blip r:embed="rId96" cstate="print"/>
                    <a:srcRect/>
                    <a:stretch>
                      <a:fillRect/>
                    </a:stretch>
                  </pic:blipFill>
                  <pic:spPr>
                    <a:xfrm>
                      <a:off x="0" y="0"/>
                      <a:ext cx="3400425" cy="561975"/>
                    </a:xfrm>
                    <a:prstGeom prst="rect">
                      <a:avLst/>
                    </a:prstGeom>
                    <a:noFill/>
                    <a:ln w="9525">
                      <a:noFill/>
                      <a:miter lim="800000"/>
                      <a:headEnd/>
                      <a:tailEnd/>
                    </a:ln>
                  </pic:spPr>
                </pic:pic>
              </a:graphicData>
            </a:graphic>
          </wp:inline>
        </w:drawing>
      </w:r>
    </w:p>
    <w:p>
      <w:pPr>
        <w:spacing w:before="31" w:after="31"/>
        <w:ind w:firstLine="480"/>
        <w:rPr>
          <w:color w:val="auto"/>
          <w:highlight w:val="none"/>
        </w:rPr>
      </w:pPr>
      <w:r>
        <w:rPr>
          <w:color w:val="auto"/>
          <w:highlight w:val="none"/>
        </w:rPr>
        <w:t>式中：</w:t>
      </w:r>
    </w:p>
    <w:p>
      <w:pPr>
        <w:spacing w:before="31" w:after="31"/>
        <w:ind w:firstLine="480"/>
        <w:rPr>
          <w:color w:val="auto"/>
          <w:highlight w:val="none"/>
        </w:rPr>
      </w:pPr>
      <w:r>
        <w:rPr>
          <w:color w:val="auto"/>
          <w:highlight w:val="none"/>
        </w:rPr>
        <w:t>Z</w:t>
      </w:r>
      <w:r>
        <w:rPr>
          <w:color w:val="auto"/>
          <w:highlight w:val="none"/>
          <w:vertAlign w:val="subscript"/>
        </w:rPr>
        <w:t>1</w:t>
      </w:r>
      <w:r>
        <w:rPr>
          <w:color w:val="auto"/>
          <w:highlight w:val="none"/>
        </w:rPr>
        <w:t>、Z</w:t>
      </w:r>
      <w:r>
        <w:rPr>
          <w:color w:val="auto"/>
          <w:highlight w:val="none"/>
          <w:vertAlign w:val="subscript"/>
        </w:rPr>
        <w:t>2</w:t>
      </w:r>
      <w:r>
        <w:rPr>
          <w:color w:val="auto"/>
          <w:highlight w:val="none"/>
        </w:rPr>
        <w:t>—1、2断面水位，m</w:t>
      </w:r>
      <w:r>
        <w:rPr>
          <w:rFonts w:hint="eastAsia"/>
          <w:color w:val="auto"/>
          <w:highlight w:val="none"/>
        </w:rPr>
        <w:t>；</w:t>
      </w:r>
    </w:p>
    <w:p>
      <w:pPr>
        <w:spacing w:before="31" w:after="31"/>
        <w:ind w:firstLine="480"/>
        <w:rPr>
          <w:color w:val="auto"/>
          <w:highlight w:val="none"/>
        </w:rPr>
      </w:pPr>
      <w:r>
        <w:rPr>
          <w:color w:val="auto"/>
          <w:highlight w:val="none"/>
        </w:rPr>
        <w:t>Q—断面流量</w:t>
      </w:r>
      <w:r>
        <w:rPr>
          <w:rFonts w:hint="eastAsia"/>
          <w:color w:val="auto"/>
          <w:highlight w:val="none"/>
        </w:rPr>
        <w:t>，m³/s；</w:t>
      </w:r>
    </w:p>
    <w:p>
      <w:pPr>
        <w:spacing w:before="31" w:after="31"/>
        <w:ind w:firstLine="480"/>
        <w:rPr>
          <w:color w:val="auto"/>
          <w:highlight w:val="none"/>
        </w:rPr>
      </w:pPr>
      <w:r>
        <w:rPr>
          <w:color w:val="auto"/>
          <w:highlight w:val="none"/>
        </w:rPr>
        <w:t>ξ—局部水头损失系数</w:t>
      </w:r>
    </w:p>
    <w:p>
      <w:pPr>
        <w:spacing w:before="31" w:after="31"/>
        <w:ind w:firstLine="480"/>
        <w:rPr>
          <w:color w:val="auto"/>
          <w:highlight w:val="none"/>
        </w:rPr>
      </w:pPr>
      <w:r>
        <w:rPr>
          <w:color w:val="auto"/>
          <w:highlight w:val="none"/>
        </w:rPr>
        <w:t>α—动能校正系数</w:t>
      </w:r>
    </w:p>
    <w:p>
      <w:pPr>
        <w:spacing w:before="31" w:after="31"/>
        <w:ind w:firstLine="480"/>
        <w:rPr>
          <w:color w:val="auto"/>
          <w:highlight w:val="none"/>
        </w:rPr>
      </w:pPr>
      <w:r>
        <w:rPr>
          <w:color w:val="auto"/>
          <w:position w:val="-10"/>
          <w:highlight w:val="none"/>
        </w:rPr>
        <w:object>
          <v:shape id="_x0000_i1053" o:spt="75" type="#_x0000_t75" style="height:17pt;width:16pt;" o:ole="t" filled="f" o:preferrelative="t" stroked="f" coordsize="21600,21600">
            <v:path/>
            <v:fill on="f" focussize="0,0"/>
            <v:stroke on="f" joinstyle="miter"/>
            <v:imagedata r:id="rId98" o:title=""/>
            <o:lock v:ext="edit" aspectratio="t"/>
            <w10:wrap type="none"/>
            <w10:anchorlock/>
          </v:shape>
          <o:OLEObject Type="Embed" ProgID="Equation.3" ShapeID="_x0000_i1053" DrawAspect="Content" ObjectID="_1468075753" r:id="rId97">
            <o:LockedField>false</o:LockedField>
          </o:OLEObject>
        </w:object>
      </w:r>
      <w:r>
        <w:rPr>
          <w:rFonts w:hint="eastAsia"/>
          <w:color w:val="auto"/>
          <w:highlight w:val="none"/>
        </w:rPr>
        <w:t>、</w:t>
      </w:r>
      <w:r>
        <w:rPr>
          <w:color w:val="auto"/>
          <w:position w:val="-10"/>
          <w:highlight w:val="none"/>
        </w:rPr>
        <w:object>
          <v:shape id="_x0000_i1054" o:spt="75" type="#_x0000_t75" style="height:17pt;width:17pt;" o:ole="t" filled="f" o:preferrelative="t" stroked="f" coordsize="21600,21600">
            <v:path/>
            <v:fill on="f" focussize="0,0"/>
            <v:stroke on="f" joinstyle="miter"/>
            <v:imagedata r:id="rId100" o:title=""/>
            <o:lock v:ext="edit" aspectratio="t"/>
            <w10:wrap type="none"/>
            <w10:anchorlock/>
          </v:shape>
          <o:OLEObject Type="Embed" ProgID="Equation.3" ShapeID="_x0000_i1054" DrawAspect="Content" ObjectID="_1468075754" r:id="rId99">
            <o:LockedField>false</o:LockedField>
          </o:OLEObject>
        </w:object>
      </w:r>
      <w:r>
        <w:rPr>
          <w:rFonts w:hint="eastAsia"/>
          <w:color w:val="auto"/>
          <w:highlight w:val="none"/>
        </w:rPr>
        <w:t>、</w:t>
      </w:r>
      <w:r>
        <w:rPr>
          <w:color w:val="auto"/>
          <w:position w:val="-12"/>
          <w:highlight w:val="none"/>
        </w:rPr>
        <w:object>
          <v:shape id="_x0000_i1055" o:spt="75" type="#_x0000_t75" style="height:20pt;width:17pt;" o:ole="t" filled="f" o:preferrelative="t" stroked="f" coordsize="21600,21600">
            <v:path/>
            <v:fill on="f" focussize="0,0"/>
            <v:stroke on="f" joinstyle="miter"/>
            <v:imagedata r:id="rId102" o:title=""/>
            <o:lock v:ext="edit" aspectratio="t"/>
            <w10:wrap type="none"/>
            <w10:anchorlock/>
          </v:shape>
          <o:OLEObject Type="Embed" ProgID="Equation.3" ShapeID="_x0000_i1055" DrawAspect="Content" ObjectID="_1468075755" r:id="rId101">
            <o:LockedField>false</o:LockedField>
          </o:OLEObject>
        </w:object>
      </w:r>
      <w:r>
        <w:rPr>
          <w:color w:val="auto"/>
          <w:highlight w:val="none"/>
        </w:rPr>
        <w:t>—</w:t>
      </w:r>
      <w:r>
        <w:rPr>
          <w:rFonts w:hint="eastAsia"/>
          <w:color w:val="auto"/>
          <w:highlight w:val="none"/>
        </w:rPr>
        <w:t>主河槽、左滩地、右滩地各</w:t>
      </w:r>
      <w:r>
        <w:rPr>
          <w:color w:val="auto"/>
          <w:highlight w:val="none"/>
        </w:rPr>
        <w:t>流量模数</w:t>
      </w:r>
      <w:r>
        <w:rPr>
          <w:rFonts w:hint="eastAsia"/>
          <w:color w:val="auto"/>
          <w:highlight w:val="none"/>
        </w:rPr>
        <w:t>，m³/s；</w:t>
      </w:r>
    </w:p>
    <w:p>
      <w:pPr>
        <w:spacing w:before="31" w:after="31"/>
        <w:ind w:firstLine="480"/>
        <w:rPr>
          <w:color w:val="auto"/>
          <w:highlight w:val="none"/>
        </w:rPr>
      </w:pPr>
      <w:r>
        <w:rPr>
          <w:rFonts w:hint="eastAsia" w:ascii="宋体" w:hAnsi="宋体"/>
          <w:color w:val="auto"/>
          <w:highlight w:val="none"/>
        </w:rPr>
        <w:t>△</w:t>
      </w:r>
      <w:r>
        <w:rPr>
          <w:color w:val="auto"/>
          <w:highlight w:val="none"/>
        </w:rPr>
        <w:t>L—上下游断面间的水平距离</w:t>
      </w:r>
      <w:r>
        <w:rPr>
          <w:rFonts w:hint="eastAsia"/>
          <w:color w:val="auto"/>
          <w:highlight w:val="none"/>
        </w:rPr>
        <w:t>，m。</w:t>
      </w:r>
    </w:p>
    <w:p>
      <w:pPr>
        <w:tabs>
          <w:tab w:val="left" w:pos="742"/>
        </w:tabs>
        <w:ind w:firstLine="480"/>
        <w:jc w:val="left"/>
        <w:rPr>
          <w:color w:val="auto"/>
          <w:highlight w:val="none"/>
        </w:rPr>
      </w:pPr>
      <w:r>
        <w:rPr>
          <w:rFonts w:hint="eastAsia"/>
          <w:color w:val="auto"/>
          <w:highlight w:val="none"/>
        </w:rPr>
        <w:t>采用分段试算法，逐段试算水位，推算时从下游至上游逐步计算，渠道设计水面线推求成果见表5.</w:t>
      </w:r>
      <w:r>
        <w:rPr>
          <w:color w:val="auto"/>
          <w:highlight w:val="none"/>
        </w:rPr>
        <w:t>8</w:t>
      </w:r>
      <w:r>
        <w:rPr>
          <w:rFonts w:hint="eastAsia"/>
          <w:color w:val="auto"/>
          <w:highlight w:val="none"/>
        </w:rPr>
        <w:t>-</w:t>
      </w:r>
      <w:r>
        <w:rPr>
          <w:color w:val="auto"/>
          <w:highlight w:val="none"/>
        </w:rPr>
        <w:t>3</w:t>
      </w:r>
      <w:r>
        <w:rPr>
          <w:rFonts w:hint="eastAsia"/>
          <w:color w:val="auto"/>
          <w:highlight w:val="none"/>
        </w:rPr>
        <w:t>。</w:t>
      </w:r>
    </w:p>
    <w:p>
      <w:pPr>
        <w:tabs>
          <w:tab w:val="left" w:pos="742"/>
        </w:tabs>
        <w:ind w:firstLine="923" w:firstLineChars="383"/>
        <w:jc w:val="left"/>
        <w:rPr>
          <w:b/>
          <w:color w:val="auto"/>
          <w:highlight w:val="none"/>
        </w:rPr>
      </w:pPr>
      <w:r>
        <w:rPr>
          <w:rFonts w:hint="eastAsia"/>
          <w:b/>
          <w:color w:val="auto"/>
          <w:highlight w:val="none"/>
        </w:rPr>
        <w:t>表5.</w:t>
      </w:r>
      <w:r>
        <w:rPr>
          <w:b/>
          <w:color w:val="auto"/>
          <w:highlight w:val="none"/>
        </w:rPr>
        <w:t>8</w:t>
      </w:r>
      <w:r>
        <w:rPr>
          <w:rFonts w:hint="eastAsia"/>
          <w:b/>
          <w:color w:val="auto"/>
          <w:highlight w:val="none"/>
        </w:rPr>
        <w:t>-</w:t>
      </w:r>
      <w:r>
        <w:rPr>
          <w:b/>
          <w:color w:val="auto"/>
          <w:highlight w:val="none"/>
        </w:rPr>
        <w:t xml:space="preserve">3        </w:t>
      </w:r>
      <w:r>
        <w:rPr>
          <w:rFonts w:hint="eastAsia"/>
          <w:b/>
          <w:color w:val="auto"/>
          <w:highlight w:val="none"/>
        </w:rPr>
        <w:t>东部水系连通工程渠道水力计算成果表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20"/>
        <w:gridCol w:w="1203"/>
        <w:gridCol w:w="1202"/>
        <w:gridCol w:w="1495"/>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7" w:type="pct"/>
          </w:tcPr>
          <w:p>
            <w:pPr>
              <w:spacing w:beforeLines="0" w:afterLines="0"/>
              <w:ind w:firstLine="0" w:firstLineChars="0"/>
              <w:jc w:val="left"/>
              <w:rPr>
                <w:rFonts w:cs="Times New Roman"/>
                <w:color w:val="auto"/>
                <w:sz w:val="18"/>
                <w:szCs w:val="18"/>
                <w:highlight w:val="none"/>
              </w:rPr>
            </w:pPr>
            <w:r>
              <w:rPr>
                <w:rFonts w:hint="eastAsia" w:cs="Times New Roman"/>
                <w:color w:val="auto"/>
                <w:sz w:val="18"/>
                <w:szCs w:val="18"/>
                <w:highlight w:val="none"/>
              </w:rPr>
              <w:t>渠道名称</w:t>
            </w:r>
          </w:p>
        </w:tc>
        <w:tc>
          <w:tcPr>
            <w:tcW w:w="706" w:type="pct"/>
          </w:tcPr>
          <w:p>
            <w:pPr>
              <w:spacing w:beforeLines="0" w:afterLines="0"/>
              <w:ind w:firstLine="0" w:firstLineChars="0"/>
              <w:jc w:val="left"/>
              <w:rPr>
                <w:rFonts w:cs="Times New Roman"/>
                <w:color w:val="auto"/>
                <w:sz w:val="18"/>
                <w:szCs w:val="18"/>
                <w:highlight w:val="none"/>
              </w:rPr>
            </w:pPr>
            <w:r>
              <w:rPr>
                <w:rFonts w:hint="eastAsia" w:cs="Times New Roman"/>
                <w:color w:val="auto"/>
                <w:sz w:val="18"/>
                <w:szCs w:val="18"/>
                <w:highlight w:val="none"/>
              </w:rPr>
              <w:t>流量（m</w:t>
            </w:r>
            <w:r>
              <w:rPr>
                <w:rFonts w:hint="eastAsia" w:cs="Times New Roman"/>
                <w:color w:val="auto"/>
                <w:sz w:val="18"/>
                <w:szCs w:val="18"/>
                <w:highlight w:val="none"/>
                <w:vertAlign w:val="superscript"/>
              </w:rPr>
              <w:t>3</w:t>
            </w:r>
            <w:r>
              <w:rPr>
                <w:rFonts w:hint="eastAsia" w:cs="Times New Roman"/>
                <w:color w:val="auto"/>
                <w:sz w:val="18"/>
                <w:szCs w:val="18"/>
                <w:highlight w:val="none"/>
              </w:rPr>
              <w:t>/s）</w:t>
            </w:r>
          </w:p>
        </w:tc>
        <w:tc>
          <w:tcPr>
            <w:tcW w:w="705" w:type="pct"/>
          </w:tcPr>
          <w:p>
            <w:pPr>
              <w:spacing w:beforeLines="0" w:afterLines="0"/>
              <w:ind w:firstLine="0" w:firstLineChars="0"/>
              <w:jc w:val="left"/>
              <w:rPr>
                <w:rFonts w:cs="Times New Roman"/>
                <w:color w:val="auto"/>
                <w:sz w:val="18"/>
                <w:szCs w:val="18"/>
                <w:highlight w:val="none"/>
              </w:rPr>
            </w:pPr>
            <w:r>
              <w:rPr>
                <w:rFonts w:hint="eastAsia" w:cs="Times New Roman"/>
                <w:color w:val="auto"/>
                <w:sz w:val="18"/>
                <w:szCs w:val="18"/>
                <w:highlight w:val="none"/>
              </w:rPr>
              <w:t>沟深（m）</w:t>
            </w:r>
          </w:p>
        </w:tc>
        <w:tc>
          <w:tcPr>
            <w:tcW w:w="877" w:type="pct"/>
          </w:tcPr>
          <w:p>
            <w:pPr>
              <w:spacing w:beforeLines="0" w:afterLines="0"/>
              <w:ind w:firstLine="0" w:firstLineChars="0"/>
              <w:jc w:val="left"/>
              <w:rPr>
                <w:rFonts w:cs="Times New Roman"/>
                <w:color w:val="auto"/>
                <w:sz w:val="18"/>
                <w:szCs w:val="18"/>
                <w:highlight w:val="none"/>
              </w:rPr>
            </w:pPr>
            <w:r>
              <w:rPr>
                <w:rFonts w:hint="eastAsia" w:cs="Times New Roman"/>
                <w:color w:val="auto"/>
                <w:sz w:val="18"/>
                <w:szCs w:val="18"/>
                <w:highlight w:val="none"/>
              </w:rPr>
              <w:t>设计水深（m）</w:t>
            </w:r>
          </w:p>
        </w:tc>
        <w:tc>
          <w:tcPr>
            <w:tcW w:w="705" w:type="pct"/>
          </w:tcPr>
          <w:p>
            <w:pPr>
              <w:spacing w:beforeLines="0" w:afterLines="0"/>
              <w:ind w:firstLine="360"/>
              <w:jc w:val="left"/>
              <w:rPr>
                <w:rFonts w:cs="Times New Roman"/>
                <w:color w:val="auto"/>
                <w:sz w:val="18"/>
                <w:szCs w:val="18"/>
                <w:highlight w:val="none"/>
              </w:rPr>
            </w:pPr>
            <w:r>
              <w:rPr>
                <w:rFonts w:hint="eastAsia" w:cs="Times New Roman"/>
                <w:color w:val="auto"/>
                <w:sz w:val="18"/>
                <w:szCs w:val="18"/>
                <w:highlight w:val="none"/>
              </w:rPr>
              <w:t>比降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7" w:type="pct"/>
          </w:tcPr>
          <w:p>
            <w:pPr>
              <w:spacing w:beforeLines="0" w:afterLines="0"/>
              <w:ind w:firstLine="0" w:firstLineChars="0"/>
              <w:rPr>
                <w:rFonts w:cs="Times New Roman"/>
                <w:color w:val="auto"/>
                <w:sz w:val="18"/>
                <w:szCs w:val="18"/>
                <w:highlight w:val="none"/>
              </w:rPr>
            </w:pPr>
            <w:r>
              <w:rPr>
                <w:rFonts w:hint="eastAsia" w:cs="Times New Roman"/>
                <w:color w:val="auto"/>
                <w:sz w:val="18"/>
                <w:szCs w:val="18"/>
                <w:highlight w:val="none"/>
              </w:rPr>
              <w:t>左庄沙河—大刘庄河</w:t>
            </w:r>
          </w:p>
        </w:tc>
        <w:tc>
          <w:tcPr>
            <w:tcW w:w="706" w:type="pct"/>
          </w:tcPr>
          <w:p>
            <w:pPr>
              <w:spacing w:beforeLines="0" w:afterLines="0"/>
              <w:ind w:firstLine="0" w:firstLineChars="0"/>
              <w:jc w:val="left"/>
              <w:rPr>
                <w:rFonts w:cs="Times New Roman"/>
                <w:color w:val="auto"/>
                <w:sz w:val="18"/>
                <w:szCs w:val="18"/>
                <w:highlight w:val="none"/>
              </w:rPr>
            </w:pPr>
            <w:r>
              <w:rPr>
                <w:rFonts w:hint="eastAsia" w:cs="Times New Roman"/>
                <w:color w:val="auto"/>
                <w:sz w:val="18"/>
                <w:szCs w:val="18"/>
                <w:highlight w:val="none"/>
              </w:rPr>
              <w:t>0.84</w:t>
            </w:r>
          </w:p>
        </w:tc>
        <w:tc>
          <w:tcPr>
            <w:tcW w:w="705" w:type="pct"/>
          </w:tcPr>
          <w:p>
            <w:pPr>
              <w:spacing w:beforeLines="0" w:afterLines="0"/>
              <w:ind w:firstLine="360"/>
              <w:rPr>
                <w:rFonts w:cs="Times New Roman"/>
                <w:color w:val="auto"/>
                <w:sz w:val="18"/>
                <w:szCs w:val="18"/>
                <w:highlight w:val="none"/>
              </w:rPr>
            </w:pPr>
            <w:r>
              <w:rPr>
                <w:rFonts w:hint="eastAsia" w:cs="Times New Roman"/>
                <w:color w:val="auto"/>
                <w:sz w:val="18"/>
                <w:szCs w:val="18"/>
                <w:highlight w:val="none"/>
              </w:rPr>
              <w:t>2</w:t>
            </w:r>
          </w:p>
        </w:tc>
        <w:tc>
          <w:tcPr>
            <w:tcW w:w="877" w:type="pct"/>
          </w:tcPr>
          <w:p>
            <w:pPr>
              <w:spacing w:beforeLines="0" w:afterLines="0"/>
              <w:ind w:firstLine="360"/>
              <w:rPr>
                <w:rFonts w:cs="Times New Roman"/>
                <w:color w:val="auto"/>
                <w:sz w:val="18"/>
                <w:szCs w:val="18"/>
                <w:highlight w:val="none"/>
              </w:rPr>
            </w:pPr>
            <w:r>
              <w:rPr>
                <w:rFonts w:hint="eastAsia" w:cs="Times New Roman"/>
                <w:color w:val="auto"/>
                <w:sz w:val="18"/>
                <w:szCs w:val="18"/>
                <w:highlight w:val="none"/>
              </w:rPr>
              <w:t>0.</w:t>
            </w:r>
            <w:r>
              <w:rPr>
                <w:rFonts w:cs="Times New Roman"/>
                <w:color w:val="auto"/>
                <w:sz w:val="18"/>
                <w:szCs w:val="18"/>
                <w:highlight w:val="none"/>
              </w:rPr>
              <w:t>50</w:t>
            </w:r>
          </w:p>
        </w:tc>
        <w:tc>
          <w:tcPr>
            <w:tcW w:w="705" w:type="pct"/>
          </w:tcPr>
          <w:p>
            <w:pPr>
              <w:spacing w:beforeLines="0" w:afterLines="0"/>
              <w:ind w:firstLine="171" w:firstLineChars="95"/>
              <w:rPr>
                <w:rFonts w:cs="Times New Roman"/>
                <w:color w:val="auto"/>
                <w:sz w:val="18"/>
                <w:szCs w:val="18"/>
                <w:highlight w:val="none"/>
              </w:rPr>
            </w:pPr>
            <w:r>
              <w:rPr>
                <w:rFonts w:hint="eastAsia" w:cs="Times New Roman"/>
                <w:color w:val="auto"/>
                <w:sz w:val="18"/>
                <w:szCs w:val="18"/>
                <w:highlight w:val="none"/>
              </w:rPr>
              <w:t>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7" w:type="pct"/>
          </w:tcPr>
          <w:p>
            <w:pPr>
              <w:spacing w:beforeLines="0" w:afterLines="0"/>
              <w:ind w:firstLine="0" w:firstLineChars="0"/>
              <w:rPr>
                <w:rFonts w:cs="Times New Roman"/>
                <w:color w:val="auto"/>
                <w:sz w:val="18"/>
                <w:szCs w:val="18"/>
                <w:highlight w:val="none"/>
              </w:rPr>
            </w:pPr>
            <w:r>
              <w:rPr>
                <w:rFonts w:hint="eastAsia" w:cs="Times New Roman"/>
                <w:color w:val="auto"/>
                <w:sz w:val="18"/>
                <w:szCs w:val="18"/>
                <w:highlight w:val="none"/>
              </w:rPr>
              <w:t>大刘庄河—新沟河（西支）</w:t>
            </w:r>
          </w:p>
        </w:tc>
        <w:tc>
          <w:tcPr>
            <w:tcW w:w="706" w:type="pct"/>
          </w:tcPr>
          <w:p>
            <w:pPr>
              <w:spacing w:beforeLines="0" w:afterLines="0"/>
              <w:ind w:firstLine="0" w:firstLineChars="0"/>
              <w:jc w:val="left"/>
              <w:rPr>
                <w:rFonts w:cs="Times New Roman"/>
                <w:color w:val="auto"/>
                <w:sz w:val="18"/>
                <w:szCs w:val="18"/>
                <w:highlight w:val="none"/>
              </w:rPr>
            </w:pPr>
            <w:r>
              <w:rPr>
                <w:rFonts w:hint="eastAsia" w:cs="Times New Roman"/>
                <w:color w:val="auto"/>
                <w:sz w:val="18"/>
                <w:szCs w:val="18"/>
                <w:highlight w:val="none"/>
              </w:rPr>
              <w:t>0.</w:t>
            </w:r>
            <w:r>
              <w:rPr>
                <w:rFonts w:cs="Times New Roman"/>
                <w:color w:val="auto"/>
                <w:sz w:val="18"/>
                <w:szCs w:val="18"/>
                <w:highlight w:val="none"/>
              </w:rPr>
              <w:t>70</w:t>
            </w:r>
          </w:p>
        </w:tc>
        <w:tc>
          <w:tcPr>
            <w:tcW w:w="705" w:type="pct"/>
          </w:tcPr>
          <w:p>
            <w:pPr>
              <w:spacing w:beforeLines="0" w:afterLines="0"/>
              <w:ind w:firstLine="360"/>
              <w:rPr>
                <w:rFonts w:cs="Times New Roman"/>
                <w:color w:val="auto"/>
                <w:sz w:val="18"/>
                <w:szCs w:val="18"/>
                <w:highlight w:val="none"/>
              </w:rPr>
            </w:pPr>
            <w:r>
              <w:rPr>
                <w:rFonts w:hint="eastAsia" w:cs="Times New Roman"/>
                <w:color w:val="auto"/>
                <w:sz w:val="18"/>
                <w:szCs w:val="18"/>
                <w:highlight w:val="none"/>
              </w:rPr>
              <w:t>3</w:t>
            </w:r>
          </w:p>
        </w:tc>
        <w:tc>
          <w:tcPr>
            <w:tcW w:w="877" w:type="pct"/>
          </w:tcPr>
          <w:p>
            <w:pPr>
              <w:spacing w:beforeLines="0" w:afterLines="0"/>
              <w:ind w:firstLine="360"/>
              <w:rPr>
                <w:rFonts w:cs="Times New Roman"/>
                <w:color w:val="auto"/>
                <w:sz w:val="18"/>
                <w:szCs w:val="18"/>
                <w:highlight w:val="none"/>
              </w:rPr>
            </w:pPr>
            <w:r>
              <w:rPr>
                <w:rFonts w:hint="eastAsia" w:cs="Times New Roman"/>
                <w:color w:val="auto"/>
                <w:sz w:val="18"/>
                <w:szCs w:val="18"/>
                <w:highlight w:val="none"/>
              </w:rPr>
              <w:t>0.</w:t>
            </w:r>
            <w:r>
              <w:rPr>
                <w:rFonts w:cs="Times New Roman"/>
                <w:color w:val="auto"/>
                <w:sz w:val="18"/>
                <w:szCs w:val="18"/>
                <w:highlight w:val="none"/>
              </w:rPr>
              <w:t>27</w:t>
            </w:r>
          </w:p>
        </w:tc>
        <w:tc>
          <w:tcPr>
            <w:tcW w:w="705" w:type="pct"/>
          </w:tcPr>
          <w:p>
            <w:pPr>
              <w:spacing w:beforeLines="0" w:afterLines="0"/>
              <w:ind w:firstLine="171" w:firstLineChars="95"/>
              <w:rPr>
                <w:rFonts w:cs="Times New Roman"/>
                <w:color w:val="auto"/>
                <w:sz w:val="18"/>
                <w:szCs w:val="18"/>
                <w:highlight w:val="none"/>
              </w:rPr>
            </w:pPr>
            <w:r>
              <w:rPr>
                <w:rFonts w:hint="eastAsia" w:cs="Times New Roman"/>
                <w:color w:val="auto"/>
                <w:sz w:val="18"/>
                <w:szCs w:val="18"/>
                <w:highlight w:val="none"/>
              </w:rPr>
              <w:t>0.0</w:t>
            </w:r>
            <w:r>
              <w:rPr>
                <w:rFonts w:cs="Times New Roman"/>
                <w:color w:val="auto"/>
                <w:sz w:val="18"/>
                <w:szCs w:val="18"/>
                <w:highlight w:val="none"/>
              </w:rPr>
              <w:t>0</w:t>
            </w:r>
            <w:r>
              <w:rPr>
                <w:rFonts w:hint="eastAsia" w:cs="Times New Roman"/>
                <w:color w:val="auto"/>
                <w:sz w:val="18"/>
                <w:szCs w:val="18"/>
                <w:highlight w:val="none"/>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7" w:type="pct"/>
          </w:tcPr>
          <w:p>
            <w:pPr>
              <w:spacing w:beforeLines="0" w:afterLines="0"/>
              <w:ind w:firstLine="0" w:firstLineChars="0"/>
              <w:rPr>
                <w:rFonts w:cs="Times New Roman"/>
                <w:color w:val="auto"/>
                <w:sz w:val="18"/>
                <w:szCs w:val="18"/>
                <w:highlight w:val="none"/>
              </w:rPr>
            </w:pPr>
            <w:r>
              <w:rPr>
                <w:rFonts w:hint="eastAsia" w:cs="Times New Roman"/>
                <w:color w:val="auto"/>
                <w:sz w:val="18"/>
                <w:szCs w:val="18"/>
                <w:highlight w:val="none"/>
              </w:rPr>
              <w:t>新沟河（西支）—新沟河（东支）</w:t>
            </w:r>
          </w:p>
        </w:tc>
        <w:tc>
          <w:tcPr>
            <w:tcW w:w="706" w:type="pct"/>
          </w:tcPr>
          <w:p>
            <w:pPr>
              <w:spacing w:beforeLines="0" w:afterLines="0"/>
              <w:ind w:firstLine="0" w:firstLineChars="0"/>
              <w:jc w:val="left"/>
              <w:rPr>
                <w:rFonts w:cs="Times New Roman"/>
                <w:color w:val="auto"/>
                <w:sz w:val="18"/>
                <w:szCs w:val="18"/>
                <w:highlight w:val="none"/>
              </w:rPr>
            </w:pPr>
            <w:r>
              <w:rPr>
                <w:rFonts w:hint="eastAsia" w:cs="Times New Roman"/>
                <w:color w:val="auto"/>
                <w:sz w:val="18"/>
                <w:szCs w:val="18"/>
                <w:highlight w:val="none"/>
              </w:rPr>
              <w:t>0.56</w:t>
            </w:r>
          </w:p>
        </w:tc>
        <w:tc>
          <w:tcPr>
            <w:tcW w:w="705" w:type="pct"/>
          </w:tcPr>
          <w:p>
            <w:pPr>
              <w:spacing w:beforeLines="0" w:afterLines="0"/>
              <w:ind w:firstLine="360"/>
              <w:rPr>
                <w:rFonts w:cs="Times New Roman"/>
                <w:color w:val="auto"/>
                <w:sz w:val="18"/>
                <w:szCs w:val="18"/>
                <w:highlight w:val="none"/>
              </w:rPr>
            </w:pPr>
            <w:r>
              <w:rPr>
                <w:rFonts w:hint="eastAsia" w:cs="Times New Roman"/>
                <w:color w:val="auto"/>
                <w:sz w:val="18"/>
                <w:szCs w:val="18"/>
                <w:highlight w:val="none"/>
              </w:rPr>
              <w:t>3</w:t>
            </w:r>
          </w:p>
        </w:tc>
        <w:tc>
          <w:tcPr>
            <w:tcW w:w="877" w:type="pct"/>
          </w:tcPr>
          <w:p>
            <w:pPr>
              <w:spacing w:beforeLines="0" w:afterLines="0"/>
              <w:ind w:firstLine="360"/>
              <w:rPr>
                <w:rFonts w:cs="Times New Roman"/>
                <w:color w:val="auto"/>
                <w:sz w:val="18"/>
                <w:szCs w:val="18"/>
                <w:highlight w:val="none"/>
              </w:rPr>
            </w:pPr>
            <w:r>
              <w:rPr>
                <w:rFonts w:hint="eastAsia" w:cs="Times New Roman"/>
                <w:color w:val="auto"/>
                <w:sz w:val="18"/>
                <w:szCs w:val="18"/>
                <w:highlight w:val="none"/>
              </w:rPr>
              <w:t>0.</w:t>
            </w:r>
            <w:r>
              <w:rPr>
                <w:rFonts w:cs="Times New Roman"/>
                <w:color w:val="auto"/>
                <w:sz w:val="18"/>
                <w:szCs w:val="18"/>
                <w:highlight w:val="none"/>
              </w:rPr>
              <w:t>32</w:t>
            </w:r>
          </w:p>
        </w:tc>
        <w:tc>
          <w:tcPr>
            <w:tcW w:w="705" w:type="pct"/>
          </w:tcPr>
          <w:p>
            <w:pPr>
              <w:spacing w:beforeLines="0" w:afterLines="0"/>
              <w:ind w:firstLine="171" w:firstLineChars="95"/>
              <w:rPr>
                <w:rFonts w:cs="Times New Roman"/>
                <w:color w:val="auto"/>
                <w:sz w:val="18"/>
                <w:szCs w:val="18"/>
                <w:highlight w:val="none"/>
              </w:rPr>
            </w:pPr>
            <w:r>
              <w:rPr>
                <w:rFonts w:hint="eastAsia" w:cs="Times New Roman"/>
                <w:color w:val="auto"/>
                <w:sz w:val="18"/>
                <w:szCs w:val="18"/>
                <w:highlight w:val="none"/>
              </w:rPr>
              <w:t>0.0008</w:t>
            </w:r>
          </w:p>
        </w:tc>
      </w:tr>
    </w:tbl>
    <w:p>
      <w:pPr>
        <w:tabs>
          <w:tab w:val="left" w:pos="742"/>
        </w:tabs>
        <w:ind w:firstLine="923" w:firstLineChars="383"/>
        <w:jc w:val="left"/>
        <w:rPr>
          <w:b/>
          <w:color w:val="auto"/>
          <w:highlight w:val="none"/>
        </w:rPr>
      </w:pPr>
    </w:p>
    <w:p>
      <w:pPr>
        <w:tabs>
          <w:tab w:val="left" w:pos="742"/>
        </w:tabs>
        <w:ind w:firstLine="480"/>
        <w:jc w:val="left"/>
        <w:rPr>
          <w:rFonts w:cs="Times New Roman"/>
          <w:color w:val="auto"/>
          <w:highlight w:val="none"/>
        </w:rPr>
      </w:pPr>
      <w:r>
        <w:rPr>
          <w:rFonts w:cs="Times New Roman"/>
          <w:color w:val="auto"/>
          <w:highlight w:val="none"/>
        </w:rPr>
        <w:t>4、</w:t>
      </w:r>
      <w:r>
        <w:rPr>
          <w:rFonts w:hint="eastAsia" w:cs="Times New Roman"/>
          <w:color w:val="auto"/>
          <w:highlight w:val="none"/>
        </w:rPr>
        <w:t>管道</w:t>
      </w:r>
      <w:r>
        <w:rPr>
          <w:rFonts w:cs="Times New Roman"/>
          <w:color w:val="auto"/>
          <w:highlight w:val="none"/>
        </w:rPr>
        <w:t>总水头损失</w:t>
      </w:r>
    </w:p>
    <w:p>
      <w:pPr>
        <w:tabs>
          <w:tab w:val="left" w:pos="864"/>
        </w:tabs>
        <w:ind w:firstLine="480"/>
        <w:rPr>
          <w:rFonts w:cs="Times New Roman"/>
          <w:color w:val="auto"/>
          <w:highlight w:val="none"/>
        </w:rPr>
      </w:pPr>
      <w:r>
        <w:rPr>
          <w:rFonts w:cs="Times New Roman"/>
          <w:color w:val="auto"/>
          <w:highlight w:val="none"/>
        </w:rPr>
        <w:t>可按下式计算：</w:t>
      </w:r>
    </w:p>
    <w:p>
      <w:pPr>
        <w:ind w:firstLine="480"/>
        <w:rPr>
          <w:rFonts w:cs="Times New Roman"/>
          <w:i/>
          <w:color w:val="auto"/>
          <w:highlight w:val="none"/>
        </w:rPr>
      </w:pPr>
      <m:oMathPara>
        <m:oMathParaPr>
          <m:jc m:val="center"/>
        </m:oMathParaPr>
        <m:oMath>
          <m:sSub>
            <m:sSubPr>
              <m:ctrlPr>
                <w:rPr>
                  <w:rFonts w:ascii="Cambria Math" w:hAnsi="Cambria Math" w:eastAsia="等线" w:cs="Times New Roman"/>
                  <w:i/>
                  <w:color w:val="auto"/>
                  <w:highlight w:val="none"/>
                </w:rPr>
              </m:ctrlPr>
            </m:sSubPr>
            <m:e>
              <m:r>
                <m:rPr/>
                <w:rPr>
                  <w:rFonts w:ascii="Cambria Math" w:hAnsi="Cambria Math" w:eastAsia="等线" w:cs="Times New Roman"/>
                  <w:color w:val="auto"/>
                  <w:highlight w:val="none"/>
                </w:rPr>
                <m:t>ℎ</m:t>
              </m:r>
              <m:ctrlPr>
                <w:rPr>
                  <w:rFonts w:ascii="Cambria Math" w:hAnsi="Cambria Math" w:eastAsia="等线" w:cs="Times New Roman"/>
                  <w:i/>
                  <w:color w:val="auto"/>
                  <w:highlight w:val="none"/>
                </w:rPr>
              </m:ctrlPr>
            </m:e>
            <m:sub>
              <m:r>
                <m:rPr/>
                <w:rPr>
                  <w:rFonts w:ascii="Cambria Math" w:hAnsi="Cambria Math" w:eastAsia="等线" w:cs="Times New Roman"/>
                  <w:color w:val="auto"/>
                  <w:highlight w:val="none"/>
                </w:rPr>
                <m:t>z</m:t>
              </m:r>
              <m:ctrlPr>
                <w:rPr>
                  <w:rFonts w:ascii="Cambria Math" w:hAnsi="Cambria Math" w:eastAsia="等线" w:cs="Times New Roman"/>
                  <w:i/>
                  <w:color w:val="auto"/>
                  <w:highlight w:val="none"/>
                </w:rPr>
              </m:ctrlPr>
            </m:sub>
          </m:sSub>
          <m:r>
            <m:rPr/>
            <w:rPr>
              <w:rFonts w:ascii="Cambria Math" w:hAnsi="Cambria Math" w:eastAsia="等线" w:cs="Times New Roman"/>
              <w:color w:val="auto"/>
              <w:highlight w:val="none"/>
            </w:rPr>
            <m:t>=</m:t>
          </m:r>
          <m:sSub>
            <m:sSubPr>
              <m:ctrlPr>
                <w:rPr>
                  <w:rFonts w:ascii="Cambria Math" w:hAnsi="Cambria Math" w:eastAsia="等线" w:cs="Times New Roman"/>
                  <w:i/>
                  <w:color w:val="auto"/>
                  <w:highlight w:val="none"/>
                </w:rPr>
              </m:ctrlPr>
            </m:sSubPr>
            <m:e>
              <m:r>
                <m:rPr/>
                <w:rPr>
                  <w:rFonts w:ascii="Cambria Math" w:hAnsi="Cambria Math" w:eastAsia="等线" w:cs="Times New Roman"/>
                  <w:color w:val="auto"/>
                  <w:highlight w:val="none"/>
                </w:rPr>
                <m:t xml:space="preserve"> ℎ</m:t>
              </m:r>
              <m:ctrlPr>
                <w:rPr>
                  <w:rFonts w:ascii="Cambria Math" w:hAnsi="Cambria Math" w:eastAsia="等线" w:cs="Times New Roman"/>
                  <w:i/>
                  <w:color w:val="auto"/>
                  <w:highlight w:val="none"/>
                </w:rPr>
              </m:ctrlPr>
            </m:e>
            <m:sub>
              <m:r>
                <m:rPr/>
                <w:rPr>
                  <w:rFonts w:ascii="Cambria Math" w:hAnsi="Cambria Math" w:eastAsia="等线" w:cs="Times New Roman"/>
                  <w:color w:val="auto"/>
                  <w:highlight w:val="none"/>
                </w:rPr>
                <m:t>y</m:t>
              </m:r>
              <m:ctrlPr>
                <w:rPr>
                  <w:rFonts w:ascii="Cambria Math" w:hAnsi="Cambria Math" w:eastAsia="等线" w:cs="Times New Roman"/>
                  <w:i/>
                  <w:color w:val="auto"/>
                  <w:highlight w:val="none"/>
                </w:rPr>
              </m:ctrlPr>
            </m:sub>
          </m:sSub>
          <m:r>
            <m:rPr/>
            <w:rPr>
              <w:rFonts w:ascii="Cambria Math" w:hAnsi="Cambria Math" w:eastAsia="等线" w:cs="Times New Roman"/>
              <w:color w:val="auto"/>
              <w:highlight w:val="none"/>
            </w:rPr>
            <m:t>+</m:t>
          </m:r>
          <m:sSub>
            <m:sSubPr>
              <m:ctrlPr>
                <w:rPr>
                  <w:rFonts w:ascii="Cambria Math" w:hAnsi="Cambria Math" w:eastAsia="等线" w:cs="Times New Roman"/>
                  <w:i/>
                  <w:color w:val="auto"/>
                  <w:highlight w:val="none"/>
                </w:rPr>
              </m:ctrlPr>
            </m:sSubPr>
            <m:e>
              <m:r>
                <m:rPr/>
                <w:rPr>
                  <w:rFonts w:ascii="Cambria Math" w:hAnsi="Cambria Math" w:eastAsia="等线" w:cs="Times New Roman"/>
                  <w:color w:val="auto"/>
                  <w:highlight w:val="none"/>
                </w:rPr>
                <m:t>ℎ</m:t>
              </m:r>
              <m:ctrlPr>
                <w:rPr>
                  <w:rFonts w:ascii="Cambria Math" w:hAnsi="Cambria Math" w:eastAsia="等线" w:cs="Times New Roman"/>
                  <w:i/>
                  <w:color w:val="auto"/>
                  <w:highlight w:val="none"/>
                </w:rPr>
              </m:ctrlPr>
            </m:e>
            <m:sub>
              <m:r>
                <m:rPr/>
                <w:rPr>
                  <w:rFonts w:ascii="Cambria Math" w:hAnsi="Cambria Math" w:eastAsia="等线" w:cs="Times New Roman"/>
                  <w:color w:val="auto"/>
                  <w:highlight w:val="none"/>
                </w:rPr>
                <m:t>j</m:t>
              </m:r>
              <m:ctrlPr>
                <w:rPr>
                  <w:rFonts w:ascii="Cambria Math" w:hAnsi="Cambria Math" w:eastAsia="等线" w:cs="Times New Roman"/>
                  <w:i/>
                  <w:color w:val="auto"/>
                  <w:highlight w:val="none"/>
                </w:rPr>
              </m:ctrlPr>
            </m:sub>
          </m:sSub>
        </m:oMath>
      </m:oMathPara>
    </w:p>
    <w:p>
      <w:pPr>
        <w:ind w:firstLine="480"/>
        <w:rPr>
          <w:rFonts w:cs="Times New Roman"/>
          <w:color w:val="auto"/>
          <w:highlight w:val="none"/>
        </w:rPr>
      </w:pPr>
      <w:r>
        <w:rPr>
          <w:rFonts w:cs="Times New Roman"/>
          <w:color w:val="auto"/>
          <w:highlight w:val="none"/>
        </w:rPr>
        <w:t>式中：</w:t>
      </w:r>
      <m:oMath>
        <m:sSub>
          <m:sSubPr>
            <m:ctrlPr>
              <w:rPr>
                <w:rFonts w:ascii="Cambria Math" w:hAnsi="Cambria Math" w:eastAsia="等线" w:cs="Times New Roman"/>
                <w:i/>
                <w:color w:val="auto"/>
                <w:highlight w:val="none"/>
              </w:rPr>
            </m:ctrlPr>
          </m:sSubPr>
          <m:e>
            <m:r>
              <m:rPr/>
              <w:rPr>
                <w:rFonts w:ascii="Cambria Math" w:hAnsi="Cambria Math" w:eastAsia="等线" w:cs="Times New Roman"/>
                <w:color w:val="auto"/>
                <w:highlight w:val="none"/>
              </w:rPr>
              <m:t>ℎ</m:t>
            </m:r>
            <m:ctrlPr>
              <w:rPr>
                <w:rFonts w:ascii="Cambria Math" w:hAnsi="Cambria Math" w:eastAsia="等线" w:cs="Times New Roman"/>
                <w:i/>
                <w:color w:val="auto"/>
                <w:highlight w:val="none"/>
              </w:rPr>
            </m:ctrlPr>
          </m:e>
          <m:sub>
            <m:r>
              <m:rPr/>
              <w:rPr>
                <w:rFonts w:ascii="Cambria Math" w:hAnsi="Cambria Math" w:eastAsia="等线" w:cs="Times New Roman"/>
                <w:color w:val="auto"/>
                <w:highlight w:val="none"/>
              </w:rPr>
              <m:t>z</m:t>
            </m:r>
            <m:ctrlPr>
              <w:rPr>
                <w:rFonts w:ascii="Cambria Math" w:hAnsi="Cambria Math" w:eastAsia="等线" w:cs="Times New Roman"/>
                <w:i/>
                <w:color w:val="auto"/>
                <w:highlight w:val="none"/>
              </w:rPr>
            </m:ctrlPr>
          </m:sub>
        </m:sSub>
      </m:oMath>
      <w:r>
        <w:rPr>
          <w:rFonts w:cs="Times New Roman"/>
          <w:color w:val="auto"/>
          <w:highlight w:val="none"/>
        </w:rPr>
        <w:t>—总水头损失（m）</w:t>
      </w:r>
    </w:p>
    <w:p>
      <w:pPr>
        <w:ind w:firstLine="1132" w:firstLineChars="472"/>
        <w:rPr>
          <w:rFonts w:cs="Times New Roman"/>
          <w:color w:val="auto"/>
          <w:highlight w:val="none"/>
        </w:rPr>
      </w:pPr>
      <m:oMath>
        <m:sSub>
          <m:sSubPr>
            <m:ctrlPr>
              <w:rPr>
                <w:rFonts w:ascii="Cambria Math" w:hAnsi="Cambria Math" w:eastAsia="等线" w:cs="Times New Roman"/>
                <w:i/>
                <w:color w:val="auto"/>
                <w:highlight w:val="none"/>
              </w:rPr>
            </m:ctrlPr>
          </m:sSubPr>
          <m:e>
            <m:r>
              <m:rPr/>
              <w:rPr>
                <w:rFonts w:ascii="Cambria Math" w:hAnsi="Cambria Math" w:eastAsia="等线" w:cs="Times New Roman"/>
                <w:color w:val="auto"/>
                <w:highlight w:val="none"/>
              </w:rPr>
              <m:t xml:space="preserve"> ℎ</m:t>
            </m:r>
            <m:ctrlPr>
              <w:rPr>
                <w:rFonts w:ascii="Cambria Math" w:hAnsi="Cambria Math" w:eastAsia="等线" w:cs="Times New Roman"/>
                <w:i/>
                <w:color w:val="auto"/>
                <w:highlight w:val="none"/>
              </w:rPr>
            </m:ctrlPr>
          </m:e>
          <m:sub>
            <m:r>
              <m:rPr/>
              <w:rPr>
                <w:rFonts w:ascii="Cambria Math" w:hAnsi="Cambria Math" w:eastAsia="等线" w:cs="Times New Roman"/>
                <w:color w:val="auto"/>
                <w:highlight w:val="none"/>
              </w:rPr>
              <m:t>y</m:t>
            </m:r>
            <m:ctrlPr>
              <w:rPr>
                <w:rFonts w:ascii="Cambria Math" w:hAnsi="Cambria Math" w:eastAsia="等线" w:cs="Times New Roman"/>
                <w:i/>
                <w:color w:val="auto"/>
                <w:highlight w:val="none"/>
              </w:rPr>
            </m:ctrlPr>
          </m:sub>
        </m:sSub>
      </m:oMath>
      <w:r>
        <w:rPr>
          <w:rFonts w:cs="Times New Roman"/>
          <w:color w:val="auto"/>
          <w:highlight w:val="none"/>
        </w:rPr>
        <w:t>沿程水头损失（m）</w:t>
      </w:r>
    </w:p>
    <w:p>
      <w:pPr>
        <w:ind w:firstLine="1200" w:firstLineChars="500"/>
        <w:rPr>
          <w:rFonts w:cs="Times New Roman"/>
          <w:color w:val="auto"/>
          <w:highlight w:val="none"/>
        </w:rPr>
      </w:pPr>
      <m:oMath>
        <m:sSub>
          <m:sSubPr>
            <m:ctrlPr>
              <w:rPr>
                <w:rFonts w:ascii="Cambria Math" w:hAnsi="Cambria Math" w:eastAsia="等线" w:cs="Times New Roman"/>
                <w:i/>
                <w:color w:val="auto"/>
                <w:highlight w:val="none"/>
              </w:rPr>
            </m:ctrlPr>
          </m:sSubPr>
          <m:e>
            <m:r>
              <m:rPr/>
              <w:rPr>
                <w:rFonts w:ascii="Cambria Math" w:hAnsi="Cambria Math" w:eastAsia="等线" w:cs="Times New Roman"/>
                <w:color w:val="auto"/>
                <w:highlight w:val="none"/>
              </w:rPr>
              <m:t>ℎ</m:t>
            </m:r>
            <m:ctrlPr>
              <w:rPr>
                <w:rFonts w:ascii="Cambria Math" w:hAnsi="Cambria Math" w:eastAsia="等线" w:cs="Times New Roman"/>
                <w:i/>
                <w:color w:val="auto"/>
                <w:highlight w:val="none"/>
              </w:rPr>
            </m:ctrlPr>
          </m:e>
          <m:sub>
            <m:r>
              <m:rPr/>
              <w:rPr>
                <w:rFonts w:ascii="Cambria Math" w:hAnsi="Cambria Math" w:eastAsia="等线" w:cs="Times New Roman"/>
                <w:color w:val="auto"/>
                <w:highlight w:val="none"/>
              </w:rPr>
              <m:t>j</m:t>
            </m:r>
            <m:ctrlPr>
              <w:rPr>
                <w:rFonts w:ascii="Cambria Math" w:hAnsi="Cambria Math" w:eastAsia="等线" w:cs="Times New Roman"/>
                <w:i/>
                <w:color w:val="auto"/>
                <w:highlight w:val="none"/>
              </w:rPr>
            </m:ctrlPr>
          </m:sub>
        </m:sSub>
      </m:oMath>
      <w:r>
        <w:rPr>
          <w:rFonts w:cs="Times New Roman"/>
          <w:color w:val="auto"/>
          <w:highlight w:val="none"/>
        </w:rPr>
        <w:t>—局部水头损失（m）</w:t>
      </w:r>
    </w:p>
    <w:p>
      <w:pPr>
        <w:tabs>
          <w:tab w:val="left" w:pos="742"/>
        </w:tabs>
        <w:ind w:firstLine="480"/>
        <w:jc w:val="left"/>
        <w:rPr>
          <w:rFonts w:cs="Times New Roman"/>
          <w:color w:val="auto"/>
          <w:highlight w:val="none"/>
        </w:rPr>
      </w:pPr>
      <w:r>
        <w:rPr>
          <w:rFonts w:cs="Times New Roman"/>
          <w:color w:val="auto"/>
          <w:highlight w:val="none"/>
        </w:rPr>
        <w:t>5、沿程水头损失</w:t>
      </w:r>
    </w:p>
    <w:p>
      <w:pPr>
        <w:ind w:firstLine="480"/>
        <w:rPr>
          <w:rFonts w:cs="Times New Roman"/>
          <w:color w:val="auto"/>
          <w:highlight w:val="none"/>
        </w:rPr>
      </w:pPr>
      <w:r>
        <w:rPr>
          <w:rFonts w:cs="Times New Roman"/>
          <w:color w:val="auto"/>
          <w:highlight w:val="none"/>
        </w:rPr>
        <w:t>管道单位沿程损失，设计采用海曾-威廉公式计算：</w:t>
      </w:r>
    </w:p>
    <w:p>
      <w:pPr>
        <w:ind w:firstLine="480"/>
        <w:jc w:val="center"/>
        <w:rPr>
          <w:rFonts w:cs="Times New Roman"/>
          <w:color w:val="auto"/>
          <w:highlight w:val="none"/>
        </w:rPr>
      </w:pPr>
      <w:r>
        <w:rPr>
          <w:rFonts w:cs="Times New Roman"/>
          <w:color w:val="auto"/>
          <w:position w:val="-30"/>
          <w:highlight w:val="none"/>
        </w:rPr>
        <w:drawing>
          <wp:inline distT="0" distB="0" distL="0" distR="0">
            <wp:extent cx="1076325" cy="466725"/>
            <wp:effectExtent l="0" t="0" r="952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76325" cy="466725"/>
                    </a:xfrm>
                    <a:prstGeom prst="rect">
                      <a:avLst/>
                    </a:prstGeom>
                    <a:noFill/>
                    <a:ln>
                      <a:noFill/>
                    </a:ln>
                  </pic:spPr>
                </pic:pic>
              </a:graphicData>
            </a:graphic>
          </wp:inline>
        </w:drawing>
      </w:r>
    </w:p>
    <w:p>
      <w:pPr>
        <w:ind w:firstLine="480"/>
        <w:rPr>
          <w:rFonts w:cs="Times New Roman"/>
          <w:color w:val="auto"/>
          <w:highlight w:val="none"/>
        </w:rPr>
      </w:pPr>
      <w:r>
        <w:rPr>
          <w:rFonts w:cs="Times New Roman"/>
          <w:color w:val="auto"/>
          <w:highlight w:val="none"/>
        </w:rPr>
        <w:t>沿程水头损失：</w:t>
      </w:r>
      <m:oMath>
        <m:sSub>
          <m:sSubPr>
            <m:ctrlPr>
              <w:rPr>
                <w:rFonts w:ascii="Cambria Math" w:hAnsi="Cambria Math" w:eastAsia="等线" w:cs="Times New Roman"/>
                <w:i/>
                <w:color w:val="auto"/>
                <w:highlight w:val="none"/>
              </w:rPr>
            </m:ctrlPr>
          </m:sSubPr>
          <m:e>
            <m:r>
              <m:rPr/>
              <w:rPr>
                <w:rFonts w:ascii="Cambria Math" w:hAnsi="Cambria Math" w:eastAsia="等线" w:cs="Times New Roman"/>
                <w:color w:val="auto"/>
                <w:highlight w:val="none"/>
              </w:rPr>
              <m:t xml:space="preserve"> ℎ</m:t>
            </m:r>
            <m:ctrlPr>
              <w:rPr>
                <w:rFonts w:ascii="Cambria Math" w:hAnsi="Cambria Math" w:eastAsia="等线" w:cs="Times New Roman"/>
                <w:i/>
                <w:color w:val="auto"/>
                <w:highlight w:val="none"/>
              </w:rPr>
            </m:ctrlPr>
          </m:e>
          <m:sub>
            <m:r>
              <m:rPr/>
              <w:rPr>
                <w:rFonts w:ascii="Cambria Math" w:hAnsi="Cambria Math" w:eastAsia="等线" w:cs="Times New Roman"/>
                <w:color w:val="auto"/>
                <w:highlight w:val="none"/>
              </w:rPr>
              <m:t>y</m:t>
            </m:r>
            <m:ctrlPr>
              <w:rPr>
                <w:rFonts w:ascii="Cambria Math" w:hAnsi="Cambria Math" w:eastAsia="等线" w:cs="Times New Roman"/>
                <w:i/>
                <w:color w:val="auto"/>
                <w:highlight w:val="none"/>
              </w:rPr>
            </m:ctrlPr>
          </m:sub>
        </m:sSub>
        <m:r>
          <m:rPr/>
          <w:rPr>
            <w:rFonts w:ascii="Cambria Math" w:hAnsi="Cambria Math" w:eastAsia="等线" w:cs="Times New Roman"/>
            <w:color w:val="auto"/>
            <w:highlight w:val="none"/>
          </w:rPr>
          <m:t>=i×L</m:t>
        </m:r>
      </m:oMath>
    </w:p>
    <w:p>
      <w:pPr>
        <w:ind w:firstLine="480"/>
        <w:rPr>
          <w:rFonts w:cs="Times New Roman"/>
          <w:color w:val="auto"/>
          <w:highlight w:val="none"/>
        </w:rPr>
      </w:pPr>
      <w:r>
        <w:rPr>
          <w:rFonts w:cs="Times New Roman"/>
          <w:color w:val="auto"/>
          <w:highlight w:val="none"/>
        </w:rPr>
        <w:t>式中：</w:t>
      </w:r>
      <m:oMath>
        <m:r>
          <m:rPr/>
          <w:rPr>
            <w:rFonts w:ascii="Cambria Math" w:hAnsi="Cambria Math" w:eastAsia="等线" w:cs="Times New Roman"/>
            <w:color w:val="auto"/>
            <w:highlight w:val="none"/>
          </w:rPr>
          <m:t>i</m:t>
        </m:r>
      </m:oMath>
      <w:r>
        <w:rPr>
          <w:rFonts w:cs="Times New Roman"/>
          <w:color w:val="auto"/>
          <w:highlight w:val="none"/>
        </w:rPr>
        <w:t>—管道单位长度的水头损失（水力坡降）；</w:t>
      </w:r>
    </w:p>
    <w:p>
      <w:pPr>
        <w:ind w:firstLine="480"/>
        <w:rPr>
          <w:rFonts w:cs="Times New Roman"/>
          <w:color w:val="auto"/>
          <w:highlight w:val="none"/>
        </w:rPr>
      </w:pPr>
      <w:r>
        <w:rPr>
          <w:rFonts w:cs="Times New Roman"/>
          <w:color w:val="auto"/>
          <w:highlight w:val="none"/>
        </w:rPr>
        <w:t xml:space="preserve">     </w:t>
      </w:r>
      <w:r>
        <w:rPr>
          <w:rFonts w:cs="Times New Roman"/>
          <w:i/>
          <w:color w:val="auto"/>
          <w:highlight w:val="none"/>
        </w:rPr>
        <w:t xml:space="preserve"> </w:t>
      </w:r>
      <m:oMath>
        <m:r>
          <m:rPr/>
          <w:rPr>
            <w:rFonts w:ascii="Cambria Math" w:hAnsi="Cambria Math" w:eastAsia="等线" w:cs="Times New Roman"/>
            <w:color w:val="auto"/>
            <w:highlight w:val="none"/>
          </w:rPr>
          <m:t>d</m:t>
        </m:r>
      </m:oMath>
      <w:r>
        <w:rPr>
          <w:rFonts w:cs="Times New Roman"/>
          <w:color w:val="auto"/>
          <w:highlight w:val="none"/>
        </w:rPr>
        <w:t>—管道计算内径（m）；</w:t>
      </w:r>
    </w:p>
    <w:p>
      <w:pPr>
        <w:ind w:firstLine="1200" w:firstLineChars="500"/>
        <w:rPr>
          <w:rFonts w:cs="Times New Roman"/>
          <w:color w:val="auto"/>
          <w:highlight w:val="none"/>
        </w:rPr>
      </w:pPr>
      <m:oMath>
        <m:sSub>
          <m:sSubPr>
            <m:ctrlPr>
              <w:rPr>
                <w:rFonts w:ascii="Cambria Math" w:hAnsi="Cambria Math" w:eastAsia="等线" w:cs="Times New Roman"/>
                <w:i/>
                <w:color w:val="auto"/>
                <w:highlight w:val="none"/>
                <w:vertAlign w:val="subscript"/>
              </w:rPr>
            </m:ctrlPr>
          </m:sSubPr>
          <m:e>
            <m:r>
              <m:rPr/>
              <w:rPr>
                <w:rFonts w:ascii="Cambria Math" w:hAnsi="Cambria Math" w:eastAsia="等线" w:cs="Times New Roman"/>
                <w:color w:val="auto"/>
                <w:highlight w:val="none"/>
                <w:vertAlign w:val="subscript"/>
              </w:rPr>
              <m:t>C</m:t>
            </m:r>
            <m:ctrlPr>
              <w:rPr>
                <w:rFonts w:ascii="Cambria Math" w:hAnsi="Cambria Math" w:eastAsia="等线" w:cs="Times New Roman"/>
                <w:i/>
                <w:color w:val="auto"/>
                <w:highlight w:val="none"/>
                <w:vertAlign w:val="subscript"/>
              </w:rPr>
            </m:ctrlPr>
          </m:e>
          <m:sub>
            <m:r>
              <m:rPr/>
              <w:rPr>
                <w:rFonts w:ascii="Cambria Math" w:hAnsi="Cambria Math" w:eastAsia="等线" w:cs="Times New Roman"/>
                <w:color w:val="auto"/>
                <w:highlight w:val="none"/>
                <w:vertAlign w:val="subscript"/>
              </w:rPr>
              <m:t>ℎ</m:t>
            </m:r>
            <m:ctrlPr>
              <w:rPr>
                <w:rFonts w:ascii="Cambria Math" w:hAnsi="Cambria Math" w:eastAsia="等线" w:cs="Times New Roman"/>
                <w:i/>
                <w:color w:val="auto"/>
                <w:highlight w:val="none"/>
                <w:vertAlign w:val="subscript"/>
              </w:rPr>
            </m:ctrlPr>
          </m:sub>
        </m:sSub>
      </m:oMath>
      <w:r>
        <w:rPr>
          <w:rFonts w:cs="Times New Roman"/>
          <w:color w:val="auto"/>
          <w:highlight w:val="none"/>
        </w:rPr>
        <w:t>—海曾-威廉系数；</w:t>
      </w:r>
    </w:p>
    <w:p>
      <w:pPr>
        <w:ind w:firstLine="480"/>
        <w:rPr>
          <w:rFonts w:cs="Times New Roman"/>
          <w:color w:val="auto"/>
          <w:highlight w:val="none"/>
        </w:rPr>
      </w:pPr>
      <w:r>
        <w:rPr>
          <w:rFonts w:cs="Times New Roman"/>
          <w:color w:val="auto"/>
          <w:highlight w:val="none"/>
        </w:rPr>
        <w:t xml:space="preserve">      </w:t>
      </w:r>
      <m:oMath>
        <m:r>
          <m:rPr/>
          <w:rPr>
            <w:rFonts w:ascii="Cambria Math" w:hAnsi="Cambria Math" w:eastAsia="等线" w:cs="Times New Roman"/>
            <w:color w:val="auto"/>
            <w:highlight w:val="none"/>
          </w:rPr>
          <m:t>Q</m:t>
        </m:r>
      </m:oMath>
      <w:r>
        <w:rPr>
          <w:rFonts w:cs="Times New Roman"/>
          <w:color w:val="auto"/>
          <w:highlight w:val="none"/>
        </w:rPr>
        <w:t>—管道计算流量（m</w:t>
      </w:r>
      <w:r>
        <w:rPr>
          <w:rFonts w:cs="Times New Roman"/>
          <w:color w:val="auto"/>
          <w:highlight w:val="none"/>
          <w:vertAlign w:val="superscript"/>
        </w:rPr>
        <w:t>3</w:t>
      </w:r>
      <w:r>
        <w:rPr>
          <w:rFonts w:cs="Times New Roman"/>
          <w:color w:val="auto"/>
          <w:highlight w:val="none"/>
        </w:rPr>
        <w:t>/s）；</w:t>
      </w:r>
    </w:p>
    <w:p>
      <w:pPr>
        <w:ind w:firstLine="480"/>
        <w:rPr>
          <w:rFonts w:cs="Times New Roman"/>
          <w:color w:val="auto"/>
          <w:highlight w:val="none"/>
        </w:rPr>
      </w:pPr>
      <w:r>
        <w:rPr>
          <w:rFonts w:cs="Times New Roman"/>
          <w:color w:val="auto"/>
          <w:highlight w:val="none"/>
        </w:rPr>
        <w:t xml:space="preserve">      </w:t>
      </w:r>
      <m:oMath>
        <m:r>
          <m:rPr/>
          <w:rPr>
            <w:rFonts w:ascii="Cambria Math" w:hAnsi="Cambria Math" w:eastAsia="等线" w:cs="Times New Roman"/>
            <w:color w:val="auto"/>
            <w:highlight w:val="none"/>
          </w:rPr>
          <m:t>L</m:t>
        </m:r>
      </m:oMath>
      <w:r>
        <w:rPr>
          <w:rFonts w:cs="Times New Roman"/>
          <w:color w:val="auto"/>
          <w:highlight w:val="none"/>
        </w:rPr>
        <w:t>—管道长度（m）。</w:t>
      </w:r>
    </w:p>
    <w:p>
      <w:pPr>
        <w:tabs>
          <w:tab w:val="left" w:pos="742"/>
        </w:tabs>
        <w:ind w:firstLine="480"/>
        <w:jc w:val="left"/>
        <w:rPr>
          <w:rFonts w:cs="Times New Roman"/>
          <w:color w:val="auto"/>
          <w:highlight w:val="none"/>
        </w:rPr>
      </w:pPr>
      <w:r>
        <w:rPr>
          <w:rFonts w:cs="Times New Roman"/>
          <w:color w:val="auto"/>
          <w:highlight w:val="none"/>
        </w:rPr>
        <w:t>6、局部水头损失</w:t>
      </w:r>
    </w:p>
    <w:p>
      <w:pPr>
        <w:ind w:firstLine="480"/>
        <w:rPr>
          <w:rFonts w:cs="Times New Roman"/>
          <w:color w:val="auto"/>
          <w:highlight w:val="none"/>
        </w:rPr>
      </w:pPr>
      <w:r>
        <w:rPr>
          <w:rFonts w:cs="Times New Roman"/>
          <w:color w:val="auto"/>
          <w:highlight w:val="none"/>
        </w:rPr>
        <w:t xml:space="preserve">可采用下式计算： </w:t>
      </w:r>
    </w:p>
    <w:p>
      <w:pPr>
        <w:ind w:firstLine="1800" w:firstLineChars="750"/>
        <w:rPr>
          <w:rFonts w:cs="Times New Roman"/>
          <w:color w:val="auto"/>
          <w:highlight w:val="none"/>
        </w:rPr>
      </w:pPr>
      <m:oMathPara>
        <m:oMathParaPr>
          <m:jc m:val="center"/>
        </m:oMathParaPr>
        <m:oMath>
          <m:sSub>
            <m:sSubPr>
              <m:ctrlPr>
                <w:rPr>
                  <w:rFonts w:ascii="Cambria Math" w:hAnsi="Cambria Math" w:eastAsia="等线" w:cs="Times New Roman"/>
                  <w:color w:val="auto"/>
                  <w:highlight w:val="none"/>
                </w:rPr>
              </m:ctrlPr>
            </m:sSubPr>
            <m:e>
              <m:r>
                <m:rPr/>
                <w:rPr>
                  <w:rFonts w:ascii="Cambria Math" w:hAnsi="Cambria Math" w:eastAsia="等线" w:cs="Times New Roman"/>
                  <w:color w:val="auto"/>
                  <w:highlight w:val="none"/>
                </w:rPr>
                <m:t>ℎ</m:t>
              </m:r>
              <m:ctrlPr>
                <w:rPr>
                  <w:rFonts w:ascii="Cambria Math" w:hAnsi="Cambria Math" w:eastAsia="等线" w:cs="Times New Roman"/>
                  <w:color w:val="auto"/>
                  <w:highlight w:val="none"/>
                </w:rPr>
              </m:ctrlPr>
            </m:e>
            <m:sub>
              <m:r>
                <m:rPr/>
                <w:rPr>
                  <w:rFonts w:ascii="Cambria Math" w:hAnsi="Cambria Math" w:eastAsia="等线" w:cs="Times New Roman"/>
                  <w:color w:val="auto"/>
                  <w:highlight w:val="none"/>
                </w:rPr>
                <m:t>j</m:t>
              </m:r>
              <m:ctrlPr>
                <w:rPr>
                  <w:rFonts w:ascii="Cambria Math" w:hAnsi="Cambria Math" w:eastAsia="等线" w:cs="Times New Roman"/>
                  <w:color w:val="auto"/>
                  <w:highlight w:val="none"/>
                </w:rPr>
              </m:ctrlPr>
            </m:sub>
          </m:sSub>
          <m:r>
            <m:rPr/>
            <w:rPr>
              <w:rFonts w:ascii="Cambria Math" w:hAnsi="Cambria Math" w:eastAsia="等线" w:cs="Times New Roman"/>
              <w:color w:val="auto"/>
              <w:highlight w:val="none"/>
            </w:rPr>
            <m:t>=</m:t>
          </m:r>
          <m:nary>
            <m:naryPr>
              <m:chr m:val="∑"/>
              <m:limLoc m:val="undOvr"/>
              <m:subHide m:val="1"/>
              <m:supHide m:val="1"/>
              <m:ctrlPr>
                <w:rPr>
                  <w:rFonts w:ascii="Cambria Math" w:hAnsi="Cambria Math" w:eastAsia="等线" w:cs="Times New Roman"/>
                  <w:color w:val="auto"/>
                  <w:highlight w:val="none"/>
                </w:rPr>
              </m:ctrlPr>
            </m:naryPr>
            <m:sub>
              <m:ctrlPr>
                <w:rPr>
                  <w:rFonts w:ascii="Cambria Math" w:hAnsi="Cambria Math" w:eastAsia="等线" w:cs="Times New Roman"/>
                  <w:color w:val="auto"/>
                  <w:highlight w:val="none"/>
                </w:rPr>
              </m:ctrlPr>
            </m:sub>
            <m:sup>
              <m:ctrlPr>
                <w:rPr>
                  <w:rFonts w:ascii="Cambria Math" w:hAnsi="Cambria Math" w:eastAsia="等线" w:cs="Times New Roman"/>
                  <w:color w:val="auto"/>
                  <w:highlight w:val="none"/>
                </w:rPr>
              </m:ctrlPr>
            </m:sup>
            <m:e>
              <m:r>
                <m:rPr>
                  <m:sty m:val="p"/>
                </m:rPr>
                <w:rPr>
                  <w:rFonts w:ascii="Cambria Math" w:hAnsi="Cambria Math" w:eastAsia="等线" w:cs="Times New Roman"/>
                  <w:color w:val="auto"/>
                  <w:highlight w:val="none"/>
                </w:rPr>
                <m:t>ζ</m:t>
              </m:r>
              <m:f>
                <m:fPr>
                  <m:ctrlPr>
                    <w:rPr>
                      <w:rFonts w:ascii="Cambria Math" w:hAnsi="Cambria Math" w:eastAsia="等线" w:cs="Times New Roman"/>
                      <w:i/>
                      <w:color w:val="auto"/>
                      <w:highlight w:val="none"/>
                    </w:rPr>
                  </m:ctrlPr>
                </m:fPr>
                <m:num>
                  <m:sSup>
                    <m:sSupPr>
                      <m:ctrlPr>
                        <w:rPr>
                          <w:rFonts w:ascii="Cambria Math" w:hAnsi="Cambria Math" w:eastAsia="等线" w:cs="Times New Roman"/>
                          <w:i/>
                          <w:color w:val="auto"/>
                          <w:highlight w:val="none"/>
                        </w:rPr>
                      </m:ctrlPr>
                    </m:sSupPr>
                    <m:e>
                      <m:r>
                        <m:rPr/>
                        <w:rPr>
                          <w:rFonts w:ascii="Cambria Math" w:hAnsi="Cambria Math" w:eastAsia="等线" w:cs="Times New Roman"/>
                          <w:color w:val="auto"/>
                          <w:highlight w:val="none"/>
                        </w:rPr>
                        <m:t>v</m:t>
                      </m:r>
                      <m:ctrlPr>
                        <w:rPr>
                          <w:rFonts w:ascii="Cambria Math" w:hAnsi="Cambria Math" w:eastAsia="等线" w:cs="Times New Roman"/>
                          <w:i/>
                          <w:color w:val="auto"/>
                          <w:highlight w:val="none"/>
                        </w:rPr>
                      </m:ctrlPr>
                    </m:e>
                    <m:sup>
                      <m:r>
                        <m:rPr/>
                        <w:rPr>
                          <w:rFonts w:ascii="Cambria Math" w:hAnsi="Cambria Math" w:eastAsia="等线" w:cs="Times New Roman"/>
                          <w:color w:val="auto"/>
                          <w:highlight w:val="none"/>
                        </w:rPr>
                        <m:t>2</m:t>
                      </m:r>
                      <m:ctrlPr>
                        <w:rPr>
                          <w:rFonts w:ascii="Cambria Math" w:hAnsi="Cambria Math" w:eastAsia="等线" w:cs="Times New Roman"/>
                          <w:i/>
                          <w:color w:val="auto"/>
                          <w:highlight w:val="none"/>
                        </w:rPr>
                      </m:ctrlPr>
                    </m:sup>
                  </m:sSup>
                  <m:ctrlPr>
                    <w:rPr>
                      <w:rFonts w:ascii="Cambria Math" w:hAnsi="Cambria Math" w:eastAsia="等线" w:cs="Times New Roman"/>
                      <w:i/>
                      <w:color w:val="auto"/>
                      <w:highlight w:val="none"/>
                    </w:rPr>
                  </m:ctrlPr>
                </m:num>
                <m:den>
                  <m:r>
                    <m:rPr/>
                    <w:rPr>
                      <w:rFonts w:ascii="Cambria Math" w:hAnsi="Cambria Math" w:eastAsia="等线" w:cs="Times New Roman"/>
                      <w:color w:val="auto"/>
                      <w:highlight w:val="none"/>
                    </w:rPr>
                    <m:t>2</m:t>
                  </m:r>
                  <m:r>
                    <m:rPr>
                      <m:sty m:val="p"/>
                    </m:rPr>
                    <w:rPr>
                      <w:rFonts w:ascii="Cambria Math" w:hAnsi="Cambria Math" w:eastAsia="等线" w:cs="Times New Roman"/>
                      <w:color w:val="auto"/>
                      <w:highlight w:val="none"/>
                    </w:rPr>
                    <m:t>g</m:t>
                  </m:r>
                  <m:ctrlPr>
                    <w:rPr>
                      <w:rFonts w:ascii="Cambria Math" w:hAnsi="Cambria Math" w:eastAsia="等线" w:cs="Times New Roman"/>
                      <w:i/>
                      <w:color w:val="auto"/>
                      <w:highlight w:val="none"/>
                    </w:rPr>
                  </m:ctrlPr>
                </m:den>
              </m:f>
              <m:ctrlPr>
                <w:rPr>
                  <w:rFonts w:ascii="Cambria Math" w:hAnsi="Cambria Math" w:eastAsia="等线" w:cs="Times New Roman"/>
                  <w:color w:val="auto"/>
                  <w:highlight w:val="none"/>
                </w:rPr>
              </m:ctrlPr>
            </m:e>
          </m:nary>
        </m:oMath>
      </m:oMathPara>
    </w:p>
    <w:p>
      <w:pPr>
        <w:ind w:firstLine="480"/>
        <w:rPr>
          <w:rFonts w:cs="Times New Roman"/>
          <w:color w:val="auto"/>
          <w:highlight w:val="none"/>
        </w:rPr>
      </w:pPr>
      <w:r>
        <w:rPr>
          <w:rFonts w:cs="Times New Roman"/>
          <w:color w:val="auto"/>
          <w:highlight w:val="none"/>
        </w:rPr>
        <w:t>式中：</w:t>
      </w:r>
      <m:oMath>
        <m:sSub>
          <m:sSubPr>
            <m:ctrlPr>
              <w:rPr>
                <w:rFonts w:ascii="Cambria Math" w:hAnsi="Cambria Math" w:eastAsia="等线" w:cs="Times New Roman"/>
                <w:i/>
                <w:color w:val="auto"/>
                <w:highlight w:val="none"/>
              </w:rPr>
            </m:ctrlPr>
          </m:sSubPr>
          <m:e>
            <m:r>
              <m:rPr/>
              <w:rPr>
                <w:rFonts w:ascii="Cambria Math" w:hAnsi="Cambria Math" w:eastAsia="等线" w:cs="Times New Roman"/>
                <w:color w:val="auto"/>
                <w:highlight w:val="none"/>
              </w:rPr>
              <m:t>ℎ</m:t>
            </m:r>
            <m:ctrlPr>
              <w:rPr>
                <w:rFonts w:ascii="Cambria Math" w:hAnsi="Cambria Math" w:eastAsia="等线" w:cs="Times New Roman"/>
                <w:i/>
                <w:color w:val="auto"/>
                <w:highlight w:val="none"/>
              </w:rPr>
            </m:ctrlPr>
          </m:e>
          <m:sub>
            <m:r>
              <m:rPr/>
              <w:rPr>
                <w:rFonts w:ascii="Cambria Math" w:hAnsi="Cambria Math" w:eastAsia="等线" w:cs="Times New Roman"/>
                <w:color w:val="auto"/>
                <w:highlight w:val="none"/>
              </w:rPr>
              <m:t>j</m:t>
            </m:r>
            <m:ctrlPr>
              <w:rPr>
                <w:rFonts w:ascii="Cambria Math" w:hAnsi="Cambria Math" w:eastAsia="等线" w:cs="Times New Roman"/>
                <w:i/>
                <w:color w:val="auto"/>
                <w:highlight w:val="none"/>
              </w:rPr>
            </m:ctrlPr>
          </m:sub>
        </m:sSub>
      </m:oMath>
      <w:r>
        <w:rPr>
          <w:rFonts w:cs="Times New Roman"/>
          <w:color w:val="auto"/>
          <w:highlight w:val="none"/>
        </w:rPr>
        <w:t>—局部水头损失；</w:t>
      </w:r>
    </w:p>
    <w:p>
      <w:pPr>
        <w:ind w:firstLine="480"/>
        <w:rPr>
          <w:rFonts w:cs="Times New Roman"/>
          <w:color w:val="auto"/>
          <w:highlight w:val="none"/>
        </w:rPr>
      </w:pPr>
      <w:r>
        <w:rPr>
          <w:rFonts w:cs="Times New Roman"/>
          <w:color w:val="auto"/>
          <w:highlight w:val="none"/>
        </w:rPr>
        <w:t xml:space="preserve">     </w:t>
      </w:r>
      <w:r>
        <w:rPr>
          <w:rFonts w:cs="Times New Roman"/>
          <w:i/>
          <w:color w:val="auto"/>
          <w:highlight w:val="none"/>
        </w:rPr>
        <w:t xml:space="preserve"> </w:t>
      </w:r>
      <m:oMath>
        <m:r>
          <m:rPr/>
          <w:rPr>
            <w:rFonts w:ascii="Cambria Math" w:hAnsi="Cambria Math" w:eastAsia="等线" w:cs="Times New Roman"/>
            <w:color w:val="auto"/>
            <w:highlight w:val="none"/>
          </w:rPr>
          <m:t>v</m:t>
        </m:r>
      </m:oMath>
      <w:r>
        <w:rPr>
          <w:rFonts w:cs="Times New Roman"/>
          <w:color w:val="auto"/>
          <w:highlight w:val="none"/>
        </w:rPr>
        <w:t>—平均流速（m/s）；</w:t>
      </w:r>
    </w:p>
    <w:p>
      <w:pPr>
        <w:ind w:firstLine="480"/>
        <w:rPr>
          <w:rFonts w:cs="Times New Roman"/>
          <w:color w:val="auto"/>
          <w:highlight w:val="none"/>
        </w:rPr>
      </w:pPr>
      <w:r>
        <w:rPr>
          <w:rFonts w:cs="Times New Roman"/>
          <w:color w:val="auto"/>
          <w:highlight w:val="none"/>
        </w:rPr>
        <w:t xml:space="preserve">      ζ—局部水头损失系数。</w:t>
      </w:r>
    </w:p>
    <w:p>
      <w:pPr>
        <w:tabs>
          <w:tab w:val="left" w:pos="742"/>
        </w:tabs>
        <w:ind w:firstLine="480"/>
        <w:jc w:val="left"/>
        <w:rPr>
          <w:rFonts w:cs="Times New Roman"/>
          <w:color w:val="auto"/>
          <w:highlight w:val="none"/>
        </w:rPr>
      </w:pPr>
      <w:r>
        <w:rPr>
          <w:rFonts w:cs="Times New Roman"/>
          <w:color w:val="auto"/>
          <w:highlight w:val="none"/>
        </w:rPr>
        <w:t>本工程，局部水头损失取沿程水头损失的10%。</w:t>
      </w:r>
    </w:p>
    <w:p>
      <w:pPr>
        <w:tabs>
          <w:tab w:val="left" w:pos="742"/>
        </w:tabs>
        <w:ind w:firstLine="480"/>
        <w:jc w:val="left"/>
        <w:rPr>
          <w:color w:val="auto"/>
          <w:highlight w:val="none"/>
        </w:rPr>
      </w:pPr>
      <w:r>
        <w:rPr>
          <w:rFonts w:hint="eastAsia"/>
          <w:color w:val="auto"/>
          <w:highlight w:val="none"/>
        </w:rPr>
        <w:t>管道道设计参数成果见表5.</w:t>
      </w:r>
      <w:r>
        <w:rPr>
          <w:color w:val="auto"/>
          <w:highlight w:val="none"/>
        </w:rPr>
        <w:t>8</w:t>
      </w:r>
      <w:r>
        <w:rPr>
          <w:rFonts w:hint="eastAsia"/>
          <w:color w:val="auto"/>
          <w:highlight w:val="none"/>
        </w:rPr>
        <w:t>-</w:t>
      </w:r>
      <w:r>
        <w:rPr>
          <w:color w:val="auto"/>
          <w:highlight w:val="none"/>
        </w:rPr>
        <w:t>4</w:t>
      </w:r>
      <w:r>
        <w:rPr>
          <w:rFonts w:hint="eastAsia"/>
          <w:color w:val="auto"/>
          <w:highlight w:val="none"/>
        </w:rPr>
        <w:t>。</w:t>
      </w:r>
    </w:p>
    <w:p>
      <w:pPr>
        <w:tabs>
          <w:tab w:val="left" w:pos="742"/>
        </w:tabs>
        <w:ind w:firstLine="482"/>
        <w:jc w:val="left"/>
        <w:rPr>
          <w:b/>
          <w:color w:val="auto"/>
          <w:highlight w:val="none"/>
        </w:rPr>
      </w:pPr>
      <w:r>
        <w:rPr>
          <w:rFonts w:hint="eastAsia"/>
          <w:b/>
          <w:color w:val="auto"/>
          <w:highlight w:val="none"/>
        </w:rPr>
        <w:t>表5.</w:t>
      </w:r>
      <w:r>
        <w:rPr>
          <w:b/>
          <w:color w:val="auto"/>
          <w:highlight w:val="none"/>
        </w:rPr>
        <w:t>8</w:t>
      </w:r>
      <w:r>
        <w:rPr>
          <w:rFonts w:hint="eastAsia"/>
          <w:b/>
          <w:color w:val="auto"/>
          <w:highlight w:val="none"/>
        </w:rPr>
        <w:t>-</w:t>
      </w:r>
      <w:r>
        <w:rPr>
          <w:b/>
          <w:color w:val="auto"/>
          <w:highlight w:val="none"/>
        </w:rPr>
        <w:t xml:space="preserve">4               </w:t>
      </w:r>
      <w:r>
        <w:rPr>
          <w:rFonts w:hint="eastAsia"/>
          <w:b/>
          <w:color w:val="auto"/>
          <w:highlight w:val="none"/>
        </w:rPr>
        <w:t>管道道设计参数成果见表</w:t>
      </w:r>
    </w:p>
    <w:tbl>
      <w:tblPr>
        <w:tblStyle w:val="33"/>
        <w:tblW w:w="8747" w:type="dxa"/>
        <w:tblInd w:w="113" w:type="dxa"/>
        <w:tblLayout w:type="autofit"/>
        <w:tblCellMar>
          <w:top w:w="0" w:type="dxa"/>
          <w:left w:w="108" w:type="dxa"/>
          <w:bottom w:w="0" w:type="dxa"/>
          <w:right w:w="108" w:type="dxa"/>
        </w:tblCellMar>
      </w:tblPr>
      <w:tblGrid>
        <w:gridCol w:w="2972"/>
        <w:gridCol w:w="1276"/>
        <w:gridCol w:w="1276"/>
        <w:gridCol w:w="1275"/>
        <w:gridCol w:w="993"/>
        <w:gridCol w:w="955"/>
      </w:tblGrid>
      <w:tr>
        <w:tblPrEx>
          <w:tblCellMar>
            <w:top w:w="0" w:type="dxa"/>
            <w:left w:w="108" w:type="dxa"/>
            <w:bottom w:w="0" w:type="dxa"/>
            <w:right w:w="108" w:type="dxa"/>
          </w:tblCellMar>
        </w:tblPrEx>
        <w:trPr>
          <w:trHeight w:val="397" w:hRule="atLeast"/>
        </w:trPr>
        <w:tc>
          <w:tcPr>
            <w:tcW w:w="297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eastAsiaTheme="minorEastAsia"/>
                <w:color w:val="auto"/>
                <w:kern w:val="0"/>
                <w:sz w:val="18"/>
                <w:szCs w:val="18"/>
                <w:highlight w:val="none"/>
              </w:rPr>
            </w:pPr>
            <w:r>
              <w:rPr>
                <w:rFonts w:cs="Times New Roman" w:eastAsiaTheme="minorEastAsia"/>
                <w:color w:val="auto"/>
                <w:kern w:val="0"/>
                <w:sz w:val="18"/>
                <w:szCs w:val="18"/>
                <w:highlight w:val="none"/>
              </w:rPr>
              <w:t>建设内容</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eastAsiaTheme="minorEastAsia"/>
                <w:color w:val="auto"/>
                <w:kern w:val="0"/>
                <w:sz w:val="18"/>
                <w:szCs w:val="18"/>
                <w:highlight w:val="none"/>
              </w:rPr>
            </w:pPr>
            <w:r>
              <w:rPr>
                <w:rFonts w:cs="Times New Roman" w:eastAsiaTheme="minorEastAsia"/>
                <w:color w:val="auto"/>
                <w:kern w:val="0"/>
                <w:sz w:val="18"/>
                <w:szCs w:val="18"/>
                <w:highlight w:val="none"/>
              </w:rPr>
              <w:t>起点高程（m）</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eastAsiaTheme="minorEastAsia"/>
                <w:color w:val="auto"/>
                <w:kern w:val="0"/>
                <w:sz w:val="18"/>
                <w:szCs w:val="18"/>
                <w:highlight w:val="none"/>
              </w:rPr>
            </w:pPr>
            <w:r>
              <w:rPr>
                <w:rFonts w:cs="Times New Roman" w:eastAsiaTheme="minorEastAsia"/>
                <w:color w:val="auto"/>
                <w:kern w:val="0"/>
                <w:sz w:val="18"/>
                <w:szCs w:val="18"/>
                <w:highlight w:val="none"/>
              </w:rPr>
              <w:t>终点高程（m）</w:t>
            </w:r>
          </w:p>
        </w:tc>
        <w:tc>
          <w:tcPr>
            <w:tcW w:w="1275"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cs="Times New Roman" w:eastAsiaTheme="minorEastAsia"/>
                <w:color w:val="auto"/>
                <w:kern w:val="0"/>
                <w:sz w:val="18"/>
                <w:szCs w:val="18"/>
                <w:highlight w:val="none"/>
              </w:rPr>
            </w:pPr>
            <w:r>
              <w:rPr>
                <w:rFonts w:cs="Times New Roman" w:eastAsiaTheme="minorEastAsia"/>
                <w:color w:val="auto"/>
                <w:kern w:val="0"/>
                <w:sz w:val="18"/>
                <w:szCs w:val="18"/>
                <w:highlight w:val="none"/>
              </w:rPr>
              <w:t>水头损失（m）</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cs="Times New Roman" w:eastAsiaTheme="minorEastAsia"/>
                <w:color w:val="auto"/>
                <w:kern w:val="0"/>
                <w:sz w:val="18"/>
                <w:szCs w:val="18"/>
                <w:highlight w:val="none"/>
              </w:rPr>
            </w:pPr>
            <w:r>
              <w:rPr>
                <w:rFonts w:cs="Times New Roman" w:eastAsiaTheme="minorEastAsia"/>
                <w:color w:val="auto"/>
                <w:kern w:val="0"/>
                <w:sz w:val="18"/>
                <w:szCs w:val="18"/>
                <w:highlight w:val="none"/>
              </w:rPr>
              <w:t>水头（m）</w:t>
            </w:r>
          </w:p>
        </w:tc>
        <w:tc>
          <w:tcPr>
            <w:tcW w:w="955"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cs="Times New Roman" w:eastAsiaTheme="minorEastAsia"/>
                <w:color w:val="auto"/>
                <w:kern w:val="0"/>
                <w:sz w:val="18"/>
                <w:szCs w:val="18"/>
                <w:highlight w:val="none"/>
              </w:rPr>
            </w:pPr>
            <w:r>
              <w:rPr>
                <w:rFonts w:cs="Times New Roman" w:eastAsiaTheme="minorEastAsia"/>
                <w:color w:val="auto"/>
                <w:kern w:val="0"/>
                <w:sz w:val="18"/>
                <w:szCs w:val="18"/>
                <w:highlight w:val="none"/>
              </w:rPr>
              <w:t>管长（m）</w:t>
            </w:r>
          </w:p>
        </w:tc>
      </w:tr>
      <w:tr>
        <w:tblPrEx>
          <w:tblCellMar>
            <w:top w:w="0" w:type="dxa"/>
            <w:left w:w="108" w:type="dxa"/>
            <w:bottom w:w="0" w:type="dxa"/>
            <w:right w:w="108" w:type="dxa"/>
          </w:tblCellMar>
        </w:tblPrEx>
        <w:trPr>
          <w:trHeight w:val="397"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eastAsiaTheme="minorEastAsia"/>
                <w:color w:val="auto"/>
                <w:kern w:val="0"/>
                <w:sz w:val="18"/>
                <w:szCs w:val="18"/>
                <w:highlight w:val="none"/>
              </w:rPr>
            </w:pPr>
            <w:r>
              <w:rPr>
                <w:rFonts w:cs="Times New Roman" w:eastAsiaTheme="minorEastAsia"/>
                <w:color w:val="auto"/>
                <w:kern w:val="0"/>
                <w:sz w:val="18"/>
                <w:szCs w:val="18"/>
                <w:highlight w:val="none"/>
              </w:rPr>
              <w:t>圈里泵站—前进桥三通</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eastAsiaTheme="minorEastAsia"/>
                <w:color w:val="auto"/>
                <w:kern w:val="0"/>
                <w:sz w:val="18"/>
                <w:szCs w:val="18"/>
                <w:highlight w:val="none"/>
              </w:rPr>
            </w:pPr>
            <w:r>
              <w:rPr>
                <w:rFonts w:cs="Times New Roman" w:eastAsiaTheme="minorEastAsia"/>
                <w:color w:val="auto"/>
                <w:kern w:val="0"/>
                <w:sz w:val="18"/>
                <w:szCs w:val="18"/>
                <w:highlight w:val="none"/>
              </w:rPr>
              <w:t>31.50</w:t>
            </w:r>
          </w:p>
        </w:tc>
        <w:tc>
          <w:tcPr>
            <w:tcW w:w="1276" w:type="dxa"/>
            <w:tcBorders>
              <w:top w:val="single" w:color="auto" w:sz="4" w:space="0"/>
              <w:left w:val="single" w:color="auto" w:sz="4" w:space="0"/>
              <w:bottom w:val="single" w:color="auto" w:sz="4" w:space="0"/>
              <w:right w:val="single" w:color="auto" w:sz="4" w:space="0"/>
            </w:tcBorders>
          </w:tcPr>
          <w:p>
            <w:pPr>
              <w:widowControl/>
              <w:spacing w:line="240" w:lineRule="auto"/>
              <w:ind w:firstLine="0" w:firstLineChars="0"/>
              <w:jc w:val="center"/>
              <w:rPr>
                <w:rFonts w:cs="Times New Roman" w:eastAsiaTheme="minorEastAsia"/>
                <w:color w:val="auto"/>
                <w:kern w:val="0"/>
                <w:sz w:val="18"/>
                <w:szCs w:val="18"/>
                <w:highlight w:val="none"/>
              </w:rPr>
            </w:pPr>
            <w:r>
              <w:rPr>
                <w:rFonts w:cs="Times New Roman" w:eastAsiaTheme="minorEastAsia"/>
                <w:color w:val="auto"/>
                <w:kern w:val="0"/>
                <w:sz w:val="18"/>
                <w:szCs w:val="18"/>
                <w:highlight w:val="none"/>
              </w:rPr>
              <w:t>37.30</w:t>
            </w:r>
          </w:p>
        </w:tc>
        <w:tc>
          <w:tcPr>
            <w:tcW w:w="1275"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cs="Times New Roman" w:eastAsiaTheme="minorEastAsia"/>
                <w:color w:val="auto"/>
                <w:kern w:val="0"/>
                <w:sz w:val="18"/>
                <w:szCs w:val="18"/>
                <w:highlight w:val="none"/>
              </w:rPr>
            </w:pPr>
            <w:r>
              <w:rPr>
                <w:rFonts w:cs="Times New Roman" w:eastAsiaTheme="minorEastAsia"/>
                <w:color w:val="auto"/>
                <w:kern w:val="0"/>
                <w:sz w:val="18"/>
                <w:szCs w:val="18"/>
                <w:highlight w:val="none"/>
              </w:rPr>
              <w:t>1.40</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cs="Times New Roman" w:eastAsiaTheme="minorEastAsia"/>
                <w:color w:val="auto"/>
                <w:kern w:val="0"/>
                <w:sz w:val="18"/>
                <w:szCs w:val="18"/>
                <w:highlight w:val="none"/>
              </w:rPr>
            </w:pPr>
            <w:r>
              <w:rPr>
                <w:rFonts w:cs="Times New Roman" w:eastAsiaTheme="minorEastAsia"/>
                <w:color w:val="auto"/>
                <w:kern w:val="0"/>
                <w:sz w:val="18"/>
                <w:szCs w:val="18"/>
                <w:highlight w:val="none"/>
              </w:rPr>
              <w:t>70.00</w:t>
            </w:r>
          </w:p>
        </w:tc>
        <w:tc>
          <w:tcPr>
            <w:tcW w:w="955"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cs="Times New Roman" w:eastAsiaTheme="minorEastAsia"/>
                <w:color w:val="auto"/>
                <w:kern w:val="0"/>
                <w:sz w:val="18"/>
                <w:szCs w:val="18"/>
                <w:highlight w:val="none"/>
              </w:rPr>
            </w:pPr>
            <w:r>
              <w:rPr>
                <w:rFonts w:cs="Times New Roman" w:eastAsiaTheme="minorEastAsia"/>
                <w:color w:val="auto"/>
                <w:kern w:val="0"/>
                <w:sz w:val="18"/>
                <w:szCs w:val="18"/>
                <w:highlight w:val="none"/>
              </w:rPr>
              <w:t>600</w:t>
            </w:r>
          </w:p>
        </w:tc>
      </w:tr>
      <w:tr>
        <w:tblPrEx>
          <w:tblCellMar>
            <w:top w:w="0" w:type="dxa"/>
            <w:left w:w="108" w:type="dxa"/>
            <w:bottom w:w="0" w:type="dxa"/>
            <w:right w:w="108" w:type="dxa"/>
          </w:tblCellMar>
        </w:tblPrEx>
        <w:trPr>
          <w:trHeight w:val="397"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eastAsiaTheme="minorEastAsia"/>
                <w:color w:val="auto"/>
                <w:kern w:val="0"/>
                <w:sz w:val="18"/>
                <w:szCs w:val="18"/>
                <w:highlight w:val="none"/>
              </w:rPr>
            </w:pPr>
            <w:r>
              <w:rPr>
                <w:rFonts w:cs="Times New Roman" w:eastAsiaTheme="minorEastAsia"/>
                <w:color w:val="auto"/>
                <w:kern w:val="0"/>
                <w:sz w:val="18"/>
                <w:szCs w:val="18"/>
                <w:highlight w:val="none"/>
              </w:rPr>
              <w:t>前进桥三通-刘庄水库</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eastAsiaTheme="minorEastAsia"/>
                <w:color w:val="auto"/>
                <w:kern w:val="0"/>
                <w:sz w:val="18"/>
                <w:szCs w:val="18"/>
                <w:highlight w:val="none"/>
              </w:rPr>
            </w:pPr>
            <w:r>
              <w:rPr>
                <w:rFonts w:cs="Times New Roman" w:eastAsiaTheme="minorEastAsia"/>
                <w:color w:val="auto"/>
                <w:kern w:val="0"/>
                <w:sz w:val="18"/>
                <w:szCs w:val="18"/>
                <w:highlight w:val="none"/>
              </w:rPr>
              <w:t>37.30</w:t>
            </w:r>
          </w:p>
        </w:tc>
        <w:tc>
          <w:tcPr>
            <w:tcW w:w="1276" w:type="dxa"/>
            <w:tcBorders>
              <w:top w:val="single" w:color="auto" w:sz="4" w:space="0"/>
              <w:left w:val="single" w:color="auto" w:sz="4" w:space="0"/>
              <w:bottom w:val="single" w:color="auto" w:sz="4" w:space="0"/>
              <w:right w:val="single" w:color="auto" w:sz="4" w:space="0"/>
            </w:tcBorders>
          </w:tcPr>
          <w:p>
            <w:pPr>
              <w:widowControl/>
              <w:spacing w:line="240" w:lineRule="auto"/>
              <w:ind w:firstLine="0" w:firstLineChars="0"/>
              <w:jc w:val="center"/>
              <w:rPr>
                <w:rFonts w:cs="Times New Roman" w:eastAsiaTheme="minorEastAsia"/>
                <w:color w:val="auto"/>
                <w:kern w:val="0"/>
                <w:sz w:val="18"/>
                <w:szCs w:val="18"/>
                <w:highlight w:val="none"/>
              </w:rPr>
            </w:pPr>
            <w:r>
              <w:rPr>
                <w:rFonts w:cs="Times New Roman" w:eastAsiaTheme="minorEastAsia"/>
                <w:color w:val="auto"/>
                <w:kern w:val="0"/>
                <w:sz w:val="18"/>
                <w:szCs w:val="18"/>
                <w:highlight w:val="none"/>
              </w:rPr>
              <w:t>50.30</w:t>
            </w:r>
          </w:p>
        </w:tc>
        <w:tc>
          <w:tcPr>
            <w:tcW w:w="1275"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cs="Times New Roman" w:eastAsiaTheme="minorEastAsia"/>
                <w:color w:val="auto"/>
                <w:kern w:val="0"/>
                <w:sz w:val="18"/>
                <w:szCs w:val="18"/>
                <w:highlight w:val="none"/>
              </w:rPr>
            </w:pPr>
            <w:r>
              <w:rPr>
                <w:rFonts w:cs="Times New Roman" w:eastAsiaTheme="minorEastAsia"/>
                <w:color w:val="auto"/>
                <w:kern w:val="0"/>
                <w:sz w:val="18"/>
                <w:szCs w:val="18"/>
                <w:highlight w:val="none"/>
              </w:rPr>
              <w:t>59.61</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cs="Times New Roman" w:eastAsiaTheme="minorEastAsia"/>
                <w:color w:val="auto"/>
                <w:kern w:val="0"/>
                <w:sz w:val="18"/>
                <w:szCs w:val="18"/>
                <w:highlight w:val="none"/>
              </w:rPr>
            </w:pPr>
            <w:r>
              <w:rPr>
                <w:rFonts w:cs="Times New Roman" w:eastAsiaTheme="minorEastAsia"/>
                <w:color w:val="auto"/>
                <w:kern w:val="0"/>
                <w:sz w:val="18"/>
                <w:szCs w:val="18"/>
                <w:highlight w:val="none"/>
              </w:rPr>
              <w:t>62.80</w:t>
            </w:r>
          </w:p>
        </w:tc>
        <w:tc>
          <w:tcPr>
            <w:tcW w:w="955"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cs="Times New Roman" w:eastAsiaTheme="minorEastAsia"/>
                <w:color w:val="auto"/>
                <w:kern w:val="0"/>
                <w:sz w:val="18"/>
                <w:szCs w:val="18"/>
                <w:highlight w:val="none"/>
              </w:rPr>
            </w:pPr>
            <w:r>
              <w:rPr>
                <w:rFonts w:cs="Times New Roman" w:eastAsiaTheme="minorEastAsia"/>
                <w:color w:val="auto"/>
                <w:kern w:val="0"/>
                <w:sz w:val="18"/>
                <w:szCs w:val="18"/>
                <w:highlight w:val="none"/>
              </w:rPr>
              <w:t>6000</w:t>
            </w:r>
          </w:p>
        </w:tc>
      </w:tr>
      <w:tr>
        <w:tblPrEx>
          <w:tblCellMar>
            <w:top w:w="0" w:type="dxa"/>
            <w:left w:w="108" w:type="dxa"/>
            <w:bottom w:w="0" w:type="dxa"/>
            <w:right w:w="108" w:type="dxa"/>
          </w:tblCellMar>
        </w:tblPrEx>
        <w:trPr>
          <w:trHeight w:val="397"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eastAsiaTheme="minorEastAsia"/>
                <w:color w:val="auto"/>
                <w:kern w:val="0"/>
                <w:sz w:val="18"/>
                <w:szCs w:val="18"/>
                <w:highlight w:val="none"/>
              </w:rPr>
            </w:pPr>
            <w:r>
              <w:rPr>
                <w:rFonts w:cs="Times New Roman" w:eastAsiaTheme="minorEastAsia"/>
                <w:color w:val="auto"/>
                <w:kern w:val="0"/>
                <w:sz w:val="18"/>
                <w:szCs w:val="18"/>
                <w:highlight w:val="none"/>
              </w:rPr>
              <w:t>前进桥三通-拉沟河分水口</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eastAsiaTheme="minorEastAsia"/>
                <w:color w:val="auto"/>
                <w:kern w:val="0"/>
                <w:sz w:val="18"/>
                <w:szCs w:val="18"/>
                <w:highlight w:val="none"/>
              </w:rPr>
            </w:pPr>
            <w:r>
              <w:rPr>
                <w:rFonts w:cs="Times New Roman" w:eastAsiaTheme="minorEastAsia"/>
                <w:color w:val="auto"/>
                <w:kern w:val="0"/>
                <w:sz w:val="18"/>
                <w:szCs w:val="18"/>
                <w:highlight w:val="none"/>
              </w:rPr>
              <w:t>37.30</w:t>
            </w:r>
          </w:p>
        </w:tc>
        <w:tc>
          <w:tcPr>
            <w:tcW w:w="1276" w:type="dxa"/>
            <w:tcBorders>
              <w:top w:val="single" w:color="auto" w:sz="4" w:space="0"/>
              <w:left w:val="single" w:color="auto" w:sz="4" w:space="0"/>
              <w:bottom w:val="single" w:color="auto" w:sz="4" w:space="0"/>
              <w:right w:val="single" w:color="auto" w:sz="4" w:space="0"/>
            </w:tcBorders>
          </w:tcPr>
          <w:p>
            <w:pPr>
              <w:widowControl/>
              <w:spacing w:line="240" w:lineRule="auto"/>
              <w:ind w:firstLine="0" w:firstLineChars="0"/>
              <w:jc w:val="center"/>
              <w:rPr>
                <w:rFonts w:cs="Times New Roman" w:eastAsiaTheme="minorEastAsia"/>
                <w:color w:val="auto"/>
                <w:kern w:val="0"/>
                <w:sz w:val="18"/>
                <w:szCs w:val="18"/>
                <w:highlight w:val="none"/>
              </w:rPr>
            </w:pPr>
            <w:r>
              <w:rPr>
                <w:rFonts w:cs="Times New Roman" w:eastAsiaTheme="minorEastAsia"/>
                <w:color w:val="auto"/>
                <w:kern w:val="0"/>
                <w:sz w:val="18"/>
                <w:szCs w:val="18"/>
                <w:highlight w:val="none"/>
              </w:rPr>
              <w:t>34.60</w:t>
            </w:r>
          </w:p>
        </w:tc>
        <w:tc>
          <w:tcPr>
            <w:tcW w:w="1275"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cs="Times New Roman" w:eastAsiaTheme="minorEastAsia"/>
                <w:color w:val="auto"/>
                <w:kern w:val="0"/>
                <w:sz w:val="18"/>
                <w:szCs w:val="18"/>
                <w:highlight w:val="none"/>
              </w:rPr>
            </w:pPr>
            <w:r>
              <w:rPr>
                <w:rFonts w:cs="Times New Roman" w:eastAsiaTheme="minorEastAsia"/>
                <w:color w:val="auto"/>
                <w:kern w:val="0"/>
                <w:sz w:val="18"/>
                <w:szCs w:val="18"/>
                <w:highlight w:val="none"/>
              </w:rPr>
              <w:t>18.64</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cs="Times New Roman" w:eastAsiaTheme="minorEastAsia"/>
                <w:color w:val="auto"/>
                <w:kern w:val="0"/>
                <w:sz w:val="18"/>
                <w:szCs w:val="18"/>
                <w:highlight w:val="none"/>
              </w:rPr>
            </w:pPr>
            <w:r>
              <w:rPr>
                <w:rFonts w:cs="Times New Roman" w:eastAsiaTheme="minorEastAsia"/>
                <w:color w:val="auto"/>
                <w:kern w:val="0"/>
                <w:sz w:val="18"/>
                <w:szCs w:val="18"/>
                <w:highlight w:val="none"/>
              </w:rPr>
              <w:t>19.64</w:t>
            </w:r>
          </w:p>
        </w:tc>
        <w:tc>
          <w:tcPr>
            <w:tcW w:w="955"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cs="Times New Roman" w:eastAsiaTheme="minorEastAsia"/>
                <w:color w:val="auto"/>
                <w:kern w:val="0"/>
                <w:sz w:val="18"/>
                <w:szCs w:val="18"/>
                <w:highlight w:val="none"/>
              </w:rPr>
            </w:pPr>
            <w:r>
              <w:rPr>
                <w:rFonts w:cs="Times New Roman" w:eastAsiaTheme="minorEastAsia"/>
                <w:color w:val="auto"/>
                <w:kern w:val="0"/>
                <w:sz w:val="18"/>
                <w:szCs w:val="18"/>
                <w:highlight w:val="none"/>
              </w:rPr>
              <w:t>3100</w:t>
            </w:r>
          </w:p>
        </w:tc>
      </w:tr>
      <w:tr>
        <w:tblPrEx>
          <w:tblCellMar>
            <w:top w:w="0" w:type="dxa"/>
            <w:left w:w="108" w:type="dxa"/>
            <w:bottom w:w="0" w:type="dxa"/>
            <w:right w:w="108" w:type="dxa"/>
          </w:tblCellMar>
        </w:tblPrEx>
        <w:trPr>
          <w:trHeight w:val="397"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eastAsiaTheme="minorEastAsia"/>
                <w:color w:val="auto"/>
                <w:kern w:val="0"/>
                <w:sz w:val="18"/>
                <w:szCs w:val="18"/>
                <w:highlight w:val="none"/>
              </w:rPr>
            </w:pPr>
            <w:r>
              <w:rPr>
                <w:rFonts w:cs="Times New Roman" w:eastAsiaTheme="minorEastAsia"/>
                <w:color w:val="auto"/>
                <w:kern w:val="0"/>
                <w:sz w:val="18"/>
                <w:szCs w:val="18"/>
                <w:highlight w:val="none"/>
              </w:rPr>
              <w:t>拉沟河分水口—陶沟河分水口</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eastAsiaTheme="minorEastAsia"/>
                <w:color w:val="auto"/>
                <w:kern w:val="0"/>
                <w:sz w:val="18"/>
                <w:szCs w:val="18"/>
                <w:highlight w:val="none"/>
              </w:rPr>
            </w:pPr>
            <w:r>
              <w:rPr>
                <w:rFonts w:cs="Times New Roman" w:eastAsiaTheme="minorEastAsia"/>
                <w:color w:val="auto"/>
                <w:kern w:val="0"/>
                <w:sz w:val="18"/>
                <w:szCs w:val="18"/>
                <w:highlight w:val="none"/>
              </w:rPr>
              <w:t>34.60</w:t>
            </w:r>
          </w:p>
        </w:tc>
        <w:tc>
          <w:tcPr>
            <w:tcW w:w="1276" w:type="dxa"/>
            <w:tcBorders>
              <w:top w:val="single" w:color="auto" w:sz="4" w:space="0"/>
              <w:left w:val="single" w:color="auto" w:sz="4" w:space="0"/>
              <w:bottom w:val="single" w:color="auto" w:sz="4" w:space="0"/>
              <w:right w:val="single" w:color="auto" w:sz="4" w:space="0"/>
            </w:tcBorders>
          </w:tcPr>
          <w:p>
            <w:pPr>
              <w:widowControl/>
              <w:spacing w:line="240" w:lineRule="auto"/>
              <w:ind w:firstLine="0" w:firstLineChars="0"/>
              <w:jc w:val="center"/>
              <w:rPr>
                <w:rFonts w:cs="Times New Roman" w:eastAsiaTheme="minorEastAsia"/>
                <w:color w:val="auto"/>
                <w:kern w:val="0"/>
                <w:sz w:val="18"/>
                <w:szCs w:val="18"/>
                <w:highlight w:val="none"/>
              </w:rPr>
            </w:pPr>
            <w:r>
              <w:rPr>
                <w:rFonts w:cs="Times New Roman" w:eastAsiaTheme="minorEastAsia"/>
                <w:color w:val="auto"/>
                <w:kern w:val="0"/>
                <w:sz w:val="18"/>
                <w:szCs w:val="18"/>
                <w:highlight w:val="none"/>
              </w:rPr>
              <w:t>33.80</w:t>
            </w:r>
          </w:p>
        </w:tc>
        <w:tc>
          <w:tcPr>
            <w:tcW w:w="1275"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cs="Times New Roman" w:eastAsiaTheme="minorEastAsia"/>
                <w:color w:val="auto"/>
                <w:kern w:val="0"/>
                <w:sz w:val="18"/>
                <w:szCs w:val="18"/>
                <w:highlight w:val="none"/>
              </w:rPr>
            </w:pPr>
            <w:r>
              <w:rPr>
                <w:rFonts w:cs="Times New Roman" w:eastAsiaTheme="minorEastAsia"/>
                <w:color w:val="auto"/>
                <w:kern w:val="0"/>
                <w:sz w:val="18"/>
                <w:szCs w:val="18"/>
                <w:highlight w:val="none"/>
              </w:rPr>
              <w:t>22.85</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cs="Times New Roman" w:eastAsiaTheme="minorEastAsia"/>
                <w:color w:val="auto"/>
                <w:kern w:val="0"/>
                <w:sz w:val="18"/>
                <w:szCs w:val="18"/>
                <w:highlight w:val="none"/>
              </w:rPr>
            </w:pPr>
            <w:r>
              <w:rPr>
                <w:rFonts w:cs="Times New Roman" w:eastAsiaTheme="minorEastAsia"/>
                <w:color w:val="auto"/>
                <w:kern w:val="0"/>
                <w:sz w:val="18"/>
                <w:szCs w:val="18"/>
                <w:highlight w:val="none"/>
              </w:rPr>
              <w:t>59.86</w:t>
            </w:r>
          </w:p>
        </w:tc>
        <w:tc>
          <w:tcPr>
            <w:tcW w:w="955"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cs="Times New Roman" w:eastAsiaTheme="minorEastAsia"/>
                <w:color w:val="auto"/>
                <w:kern w:val="0"/>
                <w:sz w:val="18"/>
                <w:szCs w:val="18"/>
                <w:highlight w:val="none"/>
              </w:rPr>
            </w:pPr>
            <w:r>
              <w:rPr>
                <w:rFonts w:cs="Times New Roman" w:eastAsiaTheme="minorEastAsia"/>
                <w:color w:val="auto"/>
                <w:kern w:val="0"/>
                <w:sz w:val="18"/>
                <w:szCs w:val="18"/>
                <w:highlight w:val="none"/>
              </w:rPr>
              <w:t>2300</w:t>
            </w:r>
          </w:p>
        </w:tc>
      </w:tr>
    </w:tbl>
    <w:p>
      <w:pPr>
        <w:widowControl/>
        <w:spacing w:line="240" w:lineRule="auto"/>
        <w:ind w:firstLine="0" w:firstLineChars="0"/>
        <w:jc w:val="left"/>
        <w:rPr>
          <w:color w:val="auto"/>
          <w:highlight w:val="none"/>
        </w:rPr>
      </w:pPr>
    </w:p>
    <w:p>
      <w:pPr>
        <w:pStyle w:val="5"/>
        <w:rPr>
          <w:rFonts w:cs="Times New Roman"/>
          <w:color w:val="auto"/>
          <w:highlight w:val="none"/>
        </w:rPr>
      </w:pPr>
      <w:r>
        <w:rPr>
          <w:rFonts w:cs="Times New Roman"/>
          <w:color w:val="auto"/>
          <w:highlight w:val="none"/>
        </w:rPr>
        <w:t>5.8.2.5提水泵站</w:t>
      </w:r>
    </w:p>
    <w:p>
      <w:pPr>
        <w:ind w:firstLine="480"/>
        <w:rPr>
          <w:rFonts w:cs="Times New Roman"/>
          <w:color w:val="auto"/>
          <w:highlight w:val="none"/>
        </w:rPr>
      </w:pPr>
      <w:r>
        <w:rPr>
          <w:rFonts w:cs="Times New Roman"/>
          <w:color w:val="auto"/>
          <w:highlight w:val="none"/>
        </w:rPr>
        <w:t>提水泵站在</w:t>
      </w:r>
      <w:r>
        <w:rPr>
          <w:rFonts w:hint="eastAsia" w:cs="Times New Roman"/>
          <w:color w:val="auto"/>
          <w:highlight w:val="none"/>
        </w:rPr>
        <w:t>圈里村西南部</w:t>
      </w:r>
      <w:r>
        <w:rPr>
          <w:rFonts w:cs="Times New Roman"/>
          <w:color w:val="auto"/>
          <w:highlight w:val="none"/>
        </w:rPr>
        <w:t>，新建提水泵站流量0.42m³/s，选用5台离心泵，4用1备。沿水流方向依次包括进水池、泵室主副厂房等泵站主体工程和机组设备、输配电系统等。</w:t>
      </w:r>
    </w:p>
    <w:p>
      <w:pPr>
        <w:ind w:firstLine="480"/>
        <w:rPr>
          <w:rFonts w:cs="Times New Roman"/>
          <w:color w:val="auto"/>
          <w:highlight w:val="none"/>
        </w:rPr>
      </w:pPr>
      <w:r>
        <w:rPr>
          <w:rFonts w:hint="eastAsia" w:cs="Times New Roman"/>
          <w:color w:val="auto"/>
          <w:highlight w:val="none"/>
        </w:rPr>
        <w:t>一、</w:t>
      </w:r>
      <w:r>
        <w:rPr>
          <w:rFonts w:cs="Times New Roman"/>
          <w:color w:val="auto"/>
          <w:highlight w:val="none"/>
        </w:rPr>
        <w:t>提水泵站结构设计</w:t>
      </w:r>
    </w:p>
    <w:p>
      <w:pPr>
        <w:ind w:firstLine="480"/>
        <w:rPr>
          <w:rFonts w:cs="Times New Roman"/>
          <w:color w:val="auto"/>
          <w:highlight w:val="none"/>
        </w:rPr>
      </w:pPr>
      <w:r>
        <w:rPr>
          <w:rFonts w:cs="Times New Roman"/>
          <w:color w:val="auto"/>
          <w:highlight w:val="none"/>
        </w:rPr>
        <w:t>进水池采用C30钢筋砼结构，平面布置为矩形，底高程为31.00m，顺水流向长度15m，宽度21.4m。泵房采用干室式，地面高程36.95m，地面以下为C30钢筋砼箱型结构，地面以上为钢筋砼框架厂房结构。主厂房顺水流向长度8.7m，垂直水流向宽度30.8m。</w:t>
      </w:r>
      <w:r>
        <w:rPr>
          <w:rFonts w:cs="Times New Roman"/>
          <w:color w:val="auto"/>
          <w:kern w:val="0"/>
          <w:highlight w:val="none"/>
        </w:rPr>
        <w:t>选用离</w:t>
      </w:r>
      <w:r>
        <w:rPr>
          <w:rFonts w:cs="Times New Roman"/>
          <w:color w:val="auto"/>
          <w:highlight w:val="none"/>
        </w:rPr>
        <w:t>心泵</w:t>
      </w:r>
      <w:r>
        <w:rPr>
          <w:rFonts w:cs="Times New Roman"/>
          <w:color w:val="auto"/>
          <w:kern w:val="0"/>
          <w:highlight w:val="none"/>
        </w:rPr>
        <w:t>，共5台，其中备用1台，设计扬程70m，单机流量0.11m</w:t>
      </w:r>
      <w:r>
        <w:rPr>
          <w:rFonts w:cs="Times New Roman"/>
          <w:color w:val="auto"/>
          <w:kern w:val="0"/>
          <w:highlight w:val="none"/>
          <w:vertAlign w:val="superscript"/>
        </w:rPr>
        <w:t>3</w:t>
      </w:r>
      <w:r>
        <w:rPr>
          <w:rFonts w:cs="Times New Roman"/>
          <w:color w:val="auto"/>
          <w:kern w:val="0"/>
          <w:highlight w:val="none"/>
        </w:rPr>
        <w:t>/s，水泵配套功率110kW，总装机容量440kW。机组呈一字型排列，机组间距4.20m。</w:t>
      </w:r>
      <w:r>
        <w:rPr>
          <w:rFonts w:cs="Times New Roman"/>
          <w:color w:val="auto"/>
          <w:highlight w:val="none"/>
        </w:rPr>
        <w:t>泵房建筑面积268m</w:t>
      </w:r>
      <w:r>
        <w:rPr>
          <w:rFonts w:cs="Times New Roman"/>
          <w:color w:val="auto"/>
          <w:highlight w:val="none"/>
          <w:vertAlign w:val="superscript"/>
        </w:rPr>
        <w:t>2</w:t>
      </w:r>
      <w:r>
        <w:rPr>
          <w:rFonts w:cs="Times New Roman"/>
          <w:color w:val="auto"/>
          <w:highlight w:val="none"/>
        </w:rPr>
        <w:t>。副厂房布置在泵房右侧，包括35KV高压配电室、10KV高压配电室、0.4KV低压配电室、中控室、保护室、通信室等。副厂房建筑面积242m</w:t>
      </w:r>
      <w:r>
        <w:rPr>
          <w:rFonts w:cs="Times New Roman"/>
          <w:color w:val="auto"/>
          <w:highlight w:val="none"/>
          <w:vertAlign w:val="superscript"/>
        </w:rPr>
        <w:t>2</w:t>
      </w:r>
      <w:r>
        <w:rPr>
          <w:rFonts w:cs="Times New Roman"/>
          <w:color w:val="auto"/>
          <w:highlight w:val="none"/>
        </w:rPr>
        <w:t>。</w:t>
      </w:r>
    </w:p>
    <w:p>
      <w:pPr>
        <w:ind w:firstLine="482"/>
        <w:rPr>
          <w:rFonts w:cs="Times New Roman"/>
          <w:b/>
          <w:color w:val="auto"/>
          <w:highlight w:val="none"/>
        </w:rPr>
      </w:pPr>
      <w:r>
        <w:rPr>
          <w:rFonts w:cs="Times New Roman"/>
          <w:b/>
          <w:color w:val="auto"/>
          <w:highlight w:val="none"/>
        </w:rPr>
        <w:t>稳定分析:</w:t>
      </w:r>
    </w:p>
    <w:p>
      <w:pPr>
        <w:ind w:firstLine="480"/>
        <w:rPr>
          <w:rFonts w:cs="Times New Roman"/>
          <w:color w:val="auto"/>
          <w:kern w:val="0"/>
          <w:highlight w:val="none"/>
        </w:rPr>
      </w:pPr>
      <w:r>
        <w:rPr>
          <w:rFonts w:cs="Times New Roman"/>
          <w:color w:val="auto"/>
          <w:kern w:val="0"/>
          <w:highlight w:val="none"/>
        </w:rPr>
        <w:t>(1)计算工况及荷载</w:t>
      </w:r>
    </w:p>
    <w:p>
      <w:pPr>
        <w:ind w:firstLine="480"/>
        <w:rPr>
          <w:rFonts w:cs="Times New Roman"/>
          <w:color w:val="auto"/>
          <w:kern w:val="0"/>
          <w:highlight w:val="none"/>
        </w:rPr>
      </w:pPr>
      <w:r>
        <w:rPr>
          <w:rFonts w:cs="Times New Roman"/>
          <w:color w:val="auto"/>
          <w:kern w:val="0"/>
          <w:highlight w:val="none"/>
        </w:rPr>
        <w:t>根据泵站主厂房的实际运用条件，并考虑可能同时作用的各种荷载组合，确定计算情况如下：</w:t>
      </w:r>
    </w:p>
    <w:p>
      <w:pPr>
        <w:ind w:firstLine="480"/>
        <w:rPr>
          <w:rFonts w:cs="Times New Roman"/>
          <w:color w:val="auto"/>
          <w:kern w:val="0"/>
          <w:highlight w:val="none"/>
        </w:rPr>
      </w:pPr>
      <w:r>
        <w:rPr>
          <w:rFonts w:cs="Times New Roman"/>
          <w:color w:val="auto"/>
          <w:kern w:val="0"/>
          <w:highlight w:val="none"/>
        </w:rPr>
        <w:t>1）完建情况：工程已建成，泵房外填土刚回填完毕，地下水位与底板顶平齐。</w:t>
      </w:r>
    </w:p>
    <w:p>
      <w:pPr>
        <w:ind w:firstLine="480"/>
        <w:rPr>
          <w:rFonts w:cs="Times New Roman"/>
          <w:color w:val="auto"/>
          <w:kern w:val="0"/>
          <w:highlight w:val="none"/>
        </w:rPr>
      </w:pPr>
      <w:r>
        <w:rPr>
          <w:rFonts w:cs="Times New Roman"/>
          <w:color w:val="auto"/>
          <w:kern w:val="0"/>
          <w:highlight w:val="none"/>
        </w:rPr>
        <w:t>荷载：结构自重+上部房子荷载+水泵及设备荷载+土重+土压力荷载等。</w:t>
      </w:r>
    </w:p>
    <w:p>
      <w:pPr>
        <w:ind w:firstLine="480"/>
        <w:rPr>
          <w:rFonts w:cs="Times New Roman"/>
          <w:color w:val="auto"/>
          <w:kern w:val="0"/>
          <w:highlight w:val="none"/>
        </w:rPr>
      </w:pPr>
      <w:r>
        <w:rPr>
          <w:rFonts w:cs="Times New Roman"/>
          <w:color w:val="auto"/>
          <w:kern w:val="0"/>
          <w:highlight w:val="none"/>
        </w:rPr>
        <w:t>2）正常运用情况：地下水位为地面以下1.5m。</w:t>
      </w:r>
    </w:p>
    <w:p>
      <w:pPr>
        <w:ind w:firstLine="480"/>
        <w:rPr>
          <w:rFonts w:cs="Times New Roman"/>
          <w:color w:val="auto"/>
          <w:kern w:val="0"/>
          <w:highlight w:val="none"/>
        </w:rPr>
      </w:pPr>
      <w:r>
        <w:rPr>
          <w:rFonts w:cs="Times New Roman"/>
          <w:color w:val="auto"/>
          <w:kern w:val="0"/>
          <w:highlight w:val="none"/>
        </w:rPr>
        <w:t>荷载：结构自重+上部房子荷载+水泵及设备荷载+土重+土压力荷载+浮托力+水压力等。</w:t>
      </w:r>
    </w:p>
    <w:p>
      <w:pPr>
        <w:ind w:firstLine="480"/>
        <w:rPr>
          <w:rFonts w:cs="Times New Roman"/>
          <w:color w:val="auto"/>
          <w:kern w:val="0"/>
          <w:highlight w:val="none"/>
        </w:rPr>
      </w:pPr>
      <w:r>
        <w:rPr>
          <w:rFonts w:cs="Times New Roman"/>
          <w:color w:val="auto"/>
          <w:kern w:val="0"/>
          <w:highlight w:val="none"/>
        </w:rPr>
        <w:t>3）地震情况：正常运用情况＋7度地震。</w:t>
      </w:r>
    </w:p>
    <w:p>
      <w:pPr>
        <w:ind w:firstLine="480"/>
        <w:rPr>
          <w:rFonts w:cs="Times New Roman"/>
          <w:color w:val="auto"/>
          <w:kern w:val="0"/>
          <w:highlight w:val="none"/>
        </w:rPr>
      </w:pPr>
      <w:r>
        <w:rPr>
          <w:rFonts w:cs="Times New Roman"/>
          <w:color w:val="auto"/>
          <w:kern w:val="0"/>
          <w:highlight w:val="none"/>
        </w:rPr>
        <w:t>荷载：结构自重+上部房子荷载+水泵及设备荷载+土重+动土压力+浮托力+水压力+动水压力+地震惯性力等。</w:t>
      </w:r>
    </w:p>
    <w:p>
      <w:pPr>
        <w:ind w:firstLine="480"/>
        <w:rPr>
          <w:rFonts w:cs="Times New Roman"/>
          <w:color w:val="auto"/>
          <w:kern w:val="0"/>
          <w:highlight w:val="none"/>
        </w:rPr>
      </w:pPr>
      <w:r>
        <w:rPr>
          <w:rFonts w:cs="Times New Roman"/>
          <w:color w:val="auto"/>
          <w:kern w:val="0"/>
          <w:highlight w:val="none"/>
        </w:rPr>
        <w:t>(2)计算公式</w:t>
      </w:r>
    </w:p>
    <w:p>
      <w:pPr>
        <w:ind w:firstLine="480"/>
        <w:rPr>
          <w:rFonts w:cs="Times New Roman"/>
          <w:color w:val="auto"/>
          <w:kern w:val="0"/>
          <w:highlight w:val="none"/>
        </w:rPr>
      </w:pPr>
      <w:r>
        <w:rPr>
          <w:rFonts w:cs="Times New Roman"/>
          <w:bCs/>
          <w:color w:val="auto"/>
          <w:highlight w:val="none"/>
        </w:rPr>
        <w:t>1）</w:t>
      </w:r>
      <w:r>
        <w:rPr>
          <w:rFonts w:cs="Times New Roman"/>
          <w:color w:val="auto"/>
          <w:highlight w:val="none"/>
        </w:rPr>
        <w:t>主厂房基底应力计算公式：</w:t>
      </w:r>
    </w:p>
    <w:p>
      <w:pPr>
        <w:ind w:firstLine="480"/>
        <w:jc w:val="center"/>
        <w:rPr>
          <w:rFonts w:cs="Times New Roman"/>
          <w:color w:val="auto"/>
          <w:highlight w:val="none"/>
        </w:rPr>
      </w:pPr>
      <w:r>
        <w:rPr>
          <w:rFonts w:cs="Times New Roman"/>
          <w:color w:val="auto"/>
          <w:highlight w:val="none"/>
        </w:rPr>
        <w:drawing>
          <wp:inline distT="0" distB="0" distL="0" distR="0">
            <wp:extent cx="1093470" cy="387350"/>
            <wp:effectExtent l="19050" t="0" r="0"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noChangeArrowheads="1"/>
                    </pic:cNvPicPr>
                  </pic:nvPicPr>
                  <pic:blipFill>
                    <a:blip r:embed="rId18" cstate="print"/>
                    <a:srcRect/>
                    <a:stretch>
                      <a:fillRect/>
                    </a:stretch>
                  </pic:blipFill>
                  <pic:spPr>
                    <a:xfrm>
                      <a:off x="0" y="0"/>
                      <a:ext cx="1093470" cy="387350"/>
                    </a:xfrm>
                    <a:prstGeom prst="rect">
                      <a:avLst/>
                    </a:prstGeom>
                    <a:noFill/>
                    <a:ln w="9525">
                      <a:noFill/>
                      <a:miter lim="800000"/>
                      <a:headEnd/>
                      <a:tailEnd/>
                    </a:ln>
                  </pic:spPr>
                </pic:pic>
              </a:graphicData>
            </a:graphic>
          </wp:inline>
        </w:drawing>
      </w:r>
    </w:p>
    <w:p>
      <w:pPr>
        <w:ind w:firstLine="480"/>
        <w:rPr>
          <w:rFonts w:cs="Times New Roman"/>
          <w:color w:val="auto"/>
          <w:highlight w:val="none"/>
        </w:rPr>
      </w:pPr>
      <w:r>
        <w:rPr>
          <w:rFonts w:cs="Times New Roman"/>
          <w:color w:val="auto"/>
          <w:highlight w:val="none"/>
        </w:rPr>
        <w:t>式中：</w:t>
      </w:r>
      <w:r>
        <w:rPr>
          <w:rFonts w:cs="Times New Roman"/>
          <w:color w:val="auto"/>
          <w:highlight w:val="none"/>
        </w:rPr>
        <w:drawing>
          <wp:inline distT="0" distB="0" distL="0" distR="0">
            <wp:extent cx="298450" cy="258445"/>
            <wp:effectExtent l="0" t="0" r="635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98450" cy="258445"/>
                    </a:xfrm>
                    <a:prstGeom prst="rect">
                      <a:avLst/>
                    </a:prstGeom>
                    <a:noFill/>
                    <a:ln>
                      <a:noFill/>
                    </a:ln>
                  </pic:spPr>
                </pic:pic>
              </a:graphicData>
            </a:graphic>
          </wp:inline>
        </w:drawing>
      </w:r>
      <w:r>
        <w:rPr>
          <w:rFonts w:cs="Times New Roman"/>
          <w:color w:val="auto"/>
          <w:highlight w:val="none"/>
        </w:rPr>
        <w:t>——主厂房基底应力的最大值与最小值（kPa）；</w:t>
      </w:r>
    </w:p>
    <w:p>
      <w:pPr>
        <w:ind w:firstLine="1132" w:firstLineChars="472"/>
        <w:rPr>
          <w:rFonts w:cs="Times New Roman"/>
          <w:color w:val="auto"/>
          <w:highlight w:val="none"/>
        </w:rPr>
      </w:pPr>
      <w:r>
        <w:rPr>
          <w:rFonts w:cs="Times New Roman"/>
          <w:color w:val="auto"/>
          <w:highlight w:val="none"/>
        </w:rPr>
        <w:drawing>
          <wp:inline distT="0" distB="0" distL="0" distR="0">
            <wp:extent cx="258445" cy="158750"/>
            <wp:effectExtent l="0" t="0" r="825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8445" cy="158750"/>
                    </a:xfrm>
                    <a:prstGeom prst="rect">
                      <a:avLst/>
                    </a:prstGeom>
                    <a:noFill/>
                    <a:ln>
                      <a:noFill/>
                    </a:ln>
                  </pic:spPr>
                </pic:pic>
              </a:graphicData>
            </a:graphic>
          </wp:inline>
        </w:drawing>
      </w:r>
      <w:r>
        <w:rPr>
          <w:rFonts w:cs="Times New Roman"/>
          <w:color w:val="auto"/>
          <w:highlight w:val="none"/>
        </w:rPr>
        <w:t>——作用在主厂房上的全部竖向荷载（KN）；</w:t>
      </w:r>
    </w:p>
    <w:p>
      <w:pPr>
        <w:ind w:firstLine="1132" w:firstLineChars="472"/>
        <w:rPr>
          <w:rFonts w:cs="Times New Roman"/>
          <w:color w:val="auto"/>
          <w:highlight w:val="none"/>
        </w:rPr>
      </w:pPr>
      <w:r>
        <w:rPr>
          <w:rFonts w:cs="Times New Roman"/>
          <w:color w:val="auto"/>
          <w:highlight w:val="none"/>
        </w:rPr>
        <w:drawing>
          <wp:inline distT="0" distB="0" distL="0" distR="0">
            <wp:extent cx="298450" cy="149225"/>
            <wp:effectExtent l="0" t="0" r="635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98450" cy="149225"/>
                    </a:xfrm>
                    <a:prstGeom prst="rect">
                      <a:avLst/>
                    </a:prstGeom>
                    <a:noFill/>
                    <a:ln>
                      <a:noFill/>
                    </a:ln>
                  </pic:spPr>
                </pic:pic>
              </a:graphicData>
            </a:graphic>
          </wp:inline>
        </w:drawing>
      </w:r>
      <w:r>
        <w:rPr>
          <w:rFonts w:cs="Times New Roman"/>
          <w:color w:val="auto"/>
          <w:highlight w:val="none"/>
        </w:rPr>
        <w:t>——作用在主厂房上的全部竖向和水平荷载对于基础底面垂直水流向的形心轴的力矩（KN·m）；</w:t>
      </w:r>
    </w:p>
    <w:p>
      <w:pPr>
        <w:ind w:firstLine="1132" w:firstLineChars="472"/>
        <w:rPr>
          <w:rFonts w:cs="Times New Roman"/>
          <w:color w:val="auto"/>
          <w:highlight w:val="none"/>
        </w:rPr>
      </w:pPr>
      <w:r>
        <w:rPr>
          <w:rFonts w:cs="Times New Roman"/>
          <w:color w:val="auto"/>
          <w:highlight w:val="none"/>
        </w:rPr>
        <w:t>A——主厂房基底面的面积（m</w:t>
      </w:r>
      <w:r>
        <w:rPr>
          <w:rFonts w:cs="Times New Roman"/>
          <w:color w:val="auto"/>
          <w:highlight w:val="none"/>
          <w:vertAlign w:val="superscript"/>
        </w:rPr>
        <w:t>2</w:t>
      </w:r>
      <w:r>
        <w:rPr>
          <w:rFonts w:cs="Times New Roman"/>
          <w:color w:val="auto"/>
          <w:highlight w:val="none"/>
        </w:rPr>
        <w:t>）；</w:t>
      </w:r>
    </w:p>
    <w:p>
      <w:pPr>
        <w:ind w:firstLine="1132" w:firstLineChars="472"/>
        <w:rPr>
          <w:rFonts w:cs="Times New Roman"/>
          <w:color w:val="auto"/>
          <w:highlight w:val="none"/>
        </w:rPr>
      </w:pPr>
      <w:r>
        <w:rPr>
          <w:rFonts w:cs="Times New Roman"/>
          <w:color w:val="auto"/>
          <w:highlight w:val="none"/>
        </w:rPr>
        <w:t>W——主厂房基底面对于该底面垂直水流向的形心轴的截面矩（m</w:t>
      </w:r>
      <w:r>
        <w:rPr>
          <w:rFonts w:cs="Times New Roman"/>
          <w:color w:val="auto"/>
          <w:highlight w:val="none"/>
          <w:vertAlign w:val="superscript"/>
        </w:rPr>
        <w:t>3</w:t>
      </w:r>
      <w:r>
        <w:rPr>
          <w:rFonts w:cs="Times New Roman"/>
          <w:color w:val="auto"/>
          <w:highlight w:val="none"/>
        </w:rPr>
        <w:t>）；</w:t>
      </w:r>
    </w:p>
    <w:p>
      <w:pPr>
        <w:ind w:firstLine="480"/>
        <w:rPr>
          <w:rFonts w:cs="Times New Roman"/>
          <w:bCs/>
          <w:color w:val="auto"/>
          <w:highlight w:val="none"/>
        </w:rPr>
      </w:pPr>
      <w:r>
        <w:rPr>
          <w:rFonts w:cs="Times New Roman"/>
          <w:bCs/>
          <w:color w:val="auto"/>
          <w:highlight w:val="none"/>
        </w:rPr>
        <w:t>2）抗浮稳定分析</w:t>
      </w:r>
    </w:p>
    <w:p>
      <w:pPr>
        <w:ind w:firstLine="480"/>
        <w:rPr>
          <w:rFonts w:cs="Times New Roman"/>
          <w:color w:val="auto"/>
          <w:highlight w:val="none"/>
        </w:rPr>
      </w:pPr>
      <w:r>
        <w:rPr>
          <w:rFonts w:cs="Times New Roman"/>
          <w:color w:val="auto"/>
          <w:highlight w:val="none"/>
        </w:rPr>
        <w:t>取正常运用情况（地下水位取地面以下1.5m）进行抗浮稳定计算。</w:t>
      </w:r>
    </w:p>
    <w:p>
      <w:pPr>
        <w:ind w:firstLine="480"/>
        <w:rPr>
          <w:rFonts w:cs="Times New Roman"/>
          <w:color w:val="auto"/>
          <w:highlight w:val="none"/>
        </w:rPr>
      </w:pPr>
      <w:r>
        <w:rPr>
          <w:rFonts w:cs="Times New Roman"/>
          <w:color w:val="auto"/>
          <w:highlight w:val="none"/>
        </w:rPr>
        <w:t>计算公式：</w:t>
      </w:r>
      <w:r>
        <w:rPr>
          <w:rFonts w:cs="Times New Roman"/>
          <w:color w:val="auto"/>
          <w:position w:val="-32"/>
          <w:sz w:val="28"/>
          <w:highlight w:val="none"/>
        </w:rPr>
        <w:drawing>
          <wp:inline distT="0" distB="0" distL="0" distR="0">
            <wp:extent cx="675640" cy="487045"/>
            <wp:effectExtent l="0" t="0" r="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675640" cy="487045"/>
                    </a:xfrm>
                    <a:prstGeom prst="rect">
                      <a:avLst/>
                    </a:prstGeom>
                    <a:noFill/>
                    <a:ln>
                      <a:noFill/>
                    </a:ln>
                  </pic:spPr>
                </pic:pic>
              </a:graphicData>
            </a:graphic>
          </wp:inline>
        </w:drawing>
      </w:r>
    </w:p>
    <w:p>
      <w:pPr>
        <w:ind w:firstLine="480"/>
        <w:rPr>
          <w:rFonts w:cs="Times New Roman"/>
          <w:color w:val="auto"/>
          <w:highlight w:val="none"/>
        </w:rPr>
      </w:pPr>
      <w:r>
        <w:rPr>
          <w:rFonts w:cs="Times New Roman"/>
          <w:color w:val="auto"/>
          <w:highlight w:val="none"/>
        </w:rPr>
        <w:t>式中：K</w:t>
      </w:r>
      <w:r>
        <w:rPr>
          <w:rFonts w:cs="Times New Roman"/>
          <w:color w:val="auto"/>
          <w:highlight w:val="none"/>
          <w:vertAlign w:val="subscript"/>
        </w:rPr>
        <w:t>f</w:t>
      </w:r>
      <w:r>
        <w:rPr>
          <w:rFonts w:cs="Times New Roman"/>
          <w:color w:val="auto"/>
          <w:highlight w:val="none"/>
        </w:rPr>
        <w:t>—抗浮稳定安全系数；</w:t>
      </w:r>
    </w:p>
    <w:p>
      <w:pPr>
        <w:ind w:firstLine="1132" w:firstLineChars="472"/>
        <w:rPr>
          <w:rFonts w:cs="Times New Roman"/>
          <w:color w:val="auto"/>
          <w:highlight w:val="none"/>
        </w:rPr>
      </w:pPr>
      <w:r>
        <w:rPr>
          <w:rFonts w:cs="Times New Roman"/>
          <w:color w:val="auto"/>
          <w:highlight w:val="none"/>
        </w:rPr>
        <w:t>ΣV—作用于泵房基础底面以上的全部重力；</w:t>
      </w:r>
    </w:p>
    <w:p>
      <w:pPr>
        <w:ind w:firstLine="1132" w:firstLineChars="472"/>
        <w:rPr>
          <w:rFonts w:cs="Times New Roman"/>
          <w:color w:val="auto"/>
          <w:highlight w:val="none"/>
        </w:rPr>
      </w:pPr>
      <w:r>
        <w:rPr>
          <w:rFonts w:cs="Times New Roman"/>
          <w:color w:val="auto"/>
          <w:highlight w:val="none"/>
        </w:rPr>
        <w:t>ΣU—作用于泵房基础底面上的扬压力。</w:t>
      </w:r>
    </w:p>
    <w:p>
      <w:pPr>
        <w:ind w:firstLine="480"/>
        <w:rPr>
          <w:rFonts w:cs="Times New Roman"/>
          <w:color w:val="auto"/>
          <w:kern w:val="0"/>
          <w:highlight w:val="none"/>
        </w:rPr>
      </w:pPr>
      <w:r>
        <w:rPr>
          <w:rFonts w:cs="Times New Roman"/>
          <w:color w:val="auto"/>
          <w:kern w:val="0"/>
          <w:highlight w:val="none"/>
        </w:rPr>
        <w:t>(3)计算成果</w:t>
      </w:r>
    </w:p>
    <w:p>
      <w:pPr>
        <w:ind w:firstLine="480"/>
        <w:jc w:val="left"/>
        <w:rPr>
          <w:rFonts w:cs="Times New Roman"/>
          <w:color w:val="auto"/>
          <w:kern w:val="0"/>
          <w:highlight w:val="none"/>
        </w:rPr>
      </w:pPr>
      <w:r>
        <w:rPr>
          <w:rFonts w:cs="Times New Roman"/>
          <w:color w:val="auto"/>
          <w:kern w:val="0"/>
          <w:highlight w:val="none"/>
        </w:rPr>
        <w:t>主厂房稳定计算成果，详见下表5.3-1。</w:t>
      </w:r>
    </w:p>
    <w:p>
      <w:pPr>
        <w:ind w:firstLine="482"/>
        <w:jc w:val="left"/>
        <w:rPr>
          <w:rFonts w:cs="Times New Roman"/>
          <w:b/>
          <w:color w:val="auto"/>
          <w:highlight w:val="none"/>
        </w:rPr>
      </w:pPr>
      <w:r>
        <w:rPr>
          <w:rFonts w:cs="Times New Roman"/>
          <w:b/>
          <w:color w:val="auto"/>
          <w:highlight w:val="none"/>
        </w:rPr>
        <w:t>表5.3-1            泵站主厂房稳定计算成果表</w:t>
      </w:r>
    </w:p>
    <w:tbl>
      <w:tblPr>
        <w:tblStyle w:val="33"/>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651"/>
        <w:gridCol w:w="1377"/>
        <w:gridCol w:w="994"/>
        <w:gridCol w:w="994"/>
        <w:gridCol w:w="1902"/>
        <w:gridCol w:w="803"/>
        <w:gridCol w:w="80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blHeader/>
        </w:trPr>
        <w:tc>
          <w:tcPr>
            <w:tcW w:w="1777" w:type="pct"/>
            <w:gridSpan w:val="2"/>
            <w:vMerge w:val="restart"/>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计算内容</w:t>
            </w:r>
          </w:p>
        </w:tc>
        <w:tc>
          <w:tcPr>
            <w:tcW w:w="1166" w:type="pct"/>
            <w:gridSpan w:val="2"/>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基本组合</w:t>
            </w:r>
          </w:p>
        </w:tc>
        <w:tc>
          <w:tcPr>
            <w:tcW w:w="1116" w:type="pct"/>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特殊组合</w:t>
            </w:r>
          </w:p>
        </w:tc>
        <w:tc>
          <w:tcPr>
            <w:tcW w:w="942" w:type="pct"/>
            <w:gridSpan w:val="2"/>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抗浮计算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blHeader/>
        </w:trPr>
        <w:tc>
          <w:tcPr>
            <w:tcW w:w="1777" w:type="pct"/>
            <w:gridSpan w:val="2"/>
            <w:vMerge w:val="continue"/>
            <w:vAlign w:val="center"/>
          </w:tcPr>
          <w:p>
            <w:pPr>
              <w:pStyle w:val="160"/>
              <w:spacing w:before="97"/>
              <w:jc w:val="center"/>
              <w:rPr>
                <w:rFonts w:ascii="Times New Roman" w:hAnsi="Times New Roman" w:cs="Times New Roman"/>
                <w:color w:val="auto"/>
                <w:sz w:val="18"/>
                <w:szCs w:val="18"/>
                <w:highlight w:val="none"/>
              </w:rPr>
            </w:pPr>
          </w:p>
        </w:tc>
        <w:tc>
          <w:tcPr>
            <w:tcW w:w="583" w:type="pct"/>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施工完建</w:t>
            </w:r>
          </w:p>
        </w:tc>
        <w:tc>
          <w:tcPr>
            <w:tcW w:w="583" w:type="pct"/>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正常运行</w:t>
            </w:r>
          </w:p>
        </w:tc>
        <w:tc>
          <w:tcPr>
            <w:tcW w:w="1116" w:type="pct"/>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正常运行＋7度地震</w:t>
            </w:r>
          </w:p>
        </w:tc>
        <w:tc>
          <w:tcPr>
            <w:tcW w:w="471" w:type="pct"/>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计算值</w:t>
            </w:r>
          </w:p>
        </w:tc>
        <w:tc>
          <w:tcPr>
            <w:tcW w:w="471" w:type="pct"/>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允许值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9" w:type="pct"/>
            <w:vMerge w:val="restart"/>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基底应力（kpa）</w:t>
            </w:r>
          </w:p>
        </w:tc>
        <w:tc>
          <w:tcPr>
            <w:tcW w:w="807" w:type="pct"/>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最大值</w:t>
            </w:r>
          </w:p>
        </w:tc>
        <w:tc>
          <w:tcPr>
            <w:tcW w:w="583" w:type="pct"/>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100.02</w:t>
            </w:r>
          </w:p>
        </w:tc>
        <w:tc>
          <w:tcPr>
            <w:tcW w:w="583" w:type="pct"/>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53.30</w:t>
            </w:r>
          </w:p>
        </w:tc>
        <w:tc>
          <w:tcPr>
            <w:tcW w:w="1116" w:type="pct"/>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58.09</w:t>
            </w:r>
          </w:p>
        </w:tc>
        <w:tc>
          <w:tcPr>
            <w:tcW w:w="471" w:type="pct"/>
            <w:vMerge w:val="restart"/>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1.95</w:t>
            </w:r>
          </w:p>
        </w:tc>
        <w:tc>
          <w:tcPr>
            <w:tcW w:w="471" w:type="pct"/>
            <w:vMerge w:val="restart"/>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9" w:type="pct"/>
            <w:vMerge w:val="continue"/>
            <w:vAlign w:val="center"/>
          </w:tcPr>
          <w:p>
            <w:pPr>
              <w:pStyle w:val="160"/>
              <w:spacing w:before="97"/>
              <w:jc w:val="center"/>
              <w:rPr>
                <w:rFonts w:ascii="Times New Roman" w:hAnsi="Times New Roman" w:cs="Times New Roman"/>
                <w:color w:val="auto"/>
                <w:sz w:val="18"/>
                <w:szCs w:val="18"/>
                <w:highlight w:val="none"/>
              </w:rPr>
            </w:pPr>
          </w:p>
        </w:tc>
        <w:tc>
          <w:tcPr>
            <w:tcW w:w="807" w:type="pct"/>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最小值</w:t>
            </w:r>
          </w:p>
        </w:tc>
        <w:tc>
          <w:tcPr>
            <w:tcW w:w="583" w:type="pct"/>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93.12</w:t>
            </w:r>
          </w:p>
        </w:tc>
        <w:tc>
          <w:tcPr>
            <w:tcW w:w="583" w:type="pct"/>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42.30</w:t>
            </w:r>
          </w:p>
        </w:tc>
        <w:tc>
          <w:tcPr>
            <w:tcW w:w="1116" w:type="pct"/>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37.62</w:t>
            </w:r>
          </w:p>
        </w:tc>
        <w:tc>
          <w:tcPr>
            <w:tcW w:w="471" w:type="pct"/>
            <w:vMerge w:val="continue"/>
            <w:vAlign w:val="center"/>
          </w:tcPr>
          <w:p>
            <w:pPr>
              <w:pStyle w:val="160"/>
              <w:spacing w:before="97"/>
              <w:jc w:val="center"/>
              <w:rPr>
                <w:rFonts w:ascii="Times New Roman" w:hAnsi="Times New Roman" w:cs="Times New Roman"/>
                <w:color w:val="auto"/>
                <w:sz w:val="18"/>
                <w:szCs w:val="18"/>
                <w:highlight w:val="none"/>
              </w:rPr>
            </w:pPr>
          </w:p>
        </w:tc>
        <w:tc>
          <w:tcPr>
            <w:tcW w:w="471" w:type="pct"/>
            <w:vMerge w:val="continue"/>
            <w:vAlign w:val="center"/>
          </w:tcPr>
          <w:p>
            <w:pPr>
              <w:pStyle w:val="160"/>
              <w:spacing w:before="97"/>
              <w:jc w:val="center"/>
              <w:rPr>
                <w:rFonts w:ascii="Times New Roman" w:hAnsi="Times New Roman" w:cs="Times New Roman"/>
                <w:color w:val="auto"/>
                <w:sz w:val="18"/>
                <w:szCs w:val="18"/>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9" w:type="pct"/>
            <w:vMerge w:val="continue"/>
            <w:vAlign w:val="center"/>
          </w:tcPr>
          <w:p>
            <w:pPr>
              <w:pStyle w:val="160"/>
              <w:spacing w:before="97"/>
              <w:jc w:val="center"/>
              <w:rPr>
                <w:rFonts w:ascii="Times New Roman" w:hAnsi="Times New Roman" w:cs="Times New Roman"/>
                <w:color w:val="auto"/>
                <w:sz w:val="18"/>
                <w:szCs w:val="18"/>
                <w:highlight w:val="none"/>
              </w:rPr>
            </w:pPr>
          </w:p>
        </w:tc>
        <w:tc>
          <w:tcPr>
            <w:tcW w:w="807" w:type="pct"/>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平均基底应力</w:t>
            </w:r>
          </w:p>
        </w:tc>
        <w:tc>
          <w:tcPr>
            <w:tcW w:w="583" w:type="pct"/>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96.17</w:t>
            </w:r>
          </w:p>
        </w:tc>
        <w:tc>
          <w:tcPr>
            <w:tcW w:w="583" w:type="pct"/>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47.06</w:t>
            </w:r>
          </w:p>
        </w:tc>
        <w:tc>
          <w:tcPr>
            <w:tcW w:w="1116" w:type="pct"/>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48.06</w:t>
            </w:r>
          </w:p>
        </w:tc>
        <w:tc>
          <w:tcPr>
            <w:tcW w:w="471" w:type="pct"/>
            <w:vMerge w:val="continue"/>
            <w:vAlign w:val="center"/>
          </w:tcPr>
          <w:p>
            <w:pPr>
              <w:pStyle w:val="160"/>
              <w:spacing w:before="97"/>
              <w:jc w:val="center"/>
              <w:rPr>
                <w:rFonts w:ascii="Times New Roman" w:hAnsi="Times New Roman" w:cs="Times New Roman"/>
                <w:color w:val="auto"/>
                <w:sz w:val="18"/>
                <w:szCs w:val="18"/>
                <w:highlight w:val="none"/>
              </w:rPr>
            </w:pPr>
          </w:p>
        </w:tc>
        <w:tc>
          <w:tcPr>
            <w:tcW w:w="471" w:type="pct"/>
            <w:vMerge w:val="continue"/>
            <w:vAlign w:val="center"/>
          </w:tcPr>
          <w:p>
            <w:pPr>
              <w:pStyle w:val="160"/>
              <w:spacing w:before="97"/>
              <w:jc w:val="center"/>
              <w:rPr>
                <w:rFonts w:ascii="Times New Roman" w:hAnsi="Times New Roman" w:cs="Times New Roman"/>
                <w:color w:val="auto"/>
                <w:sz w:val="18"/>
                <w:szCs w:val="18"/>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9" w:type="pct"/>
            <w:vMerge w:val="continue"/>
            <w:vAlign w:val="center"/>
          </w:tcPr>
          <w:p>
            <w:pPr>
              <w:pStyle w:val="160"/>
              <w:spacing w:before="97"/>
              <w:jc w:val="center"/>
              <w:rPr>
                <w:rFonts w:ascii="Times New Roman" w:hAnsi="Times New Roman" w:cs="Times New Roman"/>
                <w:color w:val="auto"/>
                <w:sz w:val="18"/>
                <w:szCs w:val="18"/>
                <w:highlight w:val="none"/>
              </w:rPr>
            </w:pPr>
          </w:p>
        </w:tc>
        <w:tc>
          <w:tcPr>
            <w:tcW w:w="807" w:type="pct"/>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地基承载力</w:t>
            </w:r>
          </w:p>
        </w:tc>
        <w:tc>
          <w:tcPr>
            <w:tcW w:w="583" w:type="pct"/>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270</w:t>
            </w:r>
          </w:p>
        </w:tc>
        <w:tc>
          <w:tcPr>
            <w:tcW w:w="583" w:type="pct"/>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270</w:t>
            </w:r>
          </w:p>
        </w:tc>
        <w:tc>
          <w:tcPr>
            <w:tcW w:w="1116" w:type="pct"/>
            <w:vAlign w:val="center"/>
          </w:tcPr>
          <w:p>
            <w:pPr>
              <w:pStyle w:val="160"/>
              <w:spacing w:before="97"/>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270</w:t>
            </w:r>
          </w:p>
        </w:tc>
        <w:tc>
          <w:tcPr>
            <w:tcW w:w="471" w:type="pct"/>
            <w:vMerge w:val="continue"/>
            <w:vAlign w:val="center"/>
          </w:tcPr>
          <w:p>
            <w:pPr>
              <w:pStyle w:val="160"/>
              <w:spacing w:before="97"/>
              <w:jc w:val="center"/>
              <w:rPr>
                <w:rFonts w:ascii="Times New Roman" w:hAnsi="Times New Roman" w:cs="Times New Roman"/>
                <w:color w:val="auto"/>
                <w:sz w:val="18"/>
                <w:szCs w:val="18"/>
                <w:highlight w:val="none"/>
              </w:rPr>
            </w:pPr>
          </w:p>
        </w:tc>
        <w:tc>
          <w:tcPr>
            <w:tcW w:w="471" w:type="pct"/>
            <w:vMerge w:val="continue"/>
            <w:vAlign w:val="center"/>
          </w:tcPr>
          <w:p>
            <w:pPr>
              <w:pStyle w:val="160"/>
              <w:spacing w:before="97"/>
              <w:jc w:val="center"/>
              <w:rPr>
                <w:rFonts w:ascii="Times New Roman" w:hAnsi="Times New Roman" w:cs="Times New Roman"/>
                <w:color w:val="auto"/>
                <w:sz w:val="18"/>
                <w:szCs w:val="18"/>
                <w:highlight w:val="none"/>
              </w:rPr>
            </w:pPr>
          </w:p>
        </w:tc>
      </w:tr>
    </w:tbl>
    <w:p>
      <w:pPr>
        <w:adjustRightInd w:val="0"/>
        <w:snapToGrid w:val="0"/>
        <w:spacing w:before="156" w:beforeLines="50"/>
        <w:ind w:firstLine="480"/>
        <w:rPr>
          <w:rFonts w:cs="Times New Roman"/>
          <w:color w:val="auto"/>
          <w:kern w:val="0"/>
          <w:highlight w:val="none"/>
        </w:rPr>
      </w:pPr>
      <w:r>
        <w:rPr>
          <w:rFonts w:cs="Times New Roman"/>
          <w:color w:val="auto"/>
          <w:kern w:val="0"/>
          <w:highlight w:val="none"/>
        </w:rPr>
        <w:t>(4)成果分析</w:t>
      </w:r>
    </w:p>
    <w:p>
      <w:pPr>
        <w:adjustRightInd w:val="0"/>
        <w:snapToGrid w:val="0"/>
        <w:ind w:firstLine="480"/>
        <w:rPr>
          <w:rFonts w:cs="Times New Roman"/>
          <w:color w:val="auto"/>
          <w:kern w:val="0"/>
          <w:highlight w:val="none"/>
        </w:rPr>
      </w:pPr>
      <w:r>
        <w:rPr>
          <w:rFonts w:cs="Times New Roman"/>
          <w:color w:val="auto"/>
          <w:kern w:val="0"/>
          <w:highlight w:val="none"/>
        </w:rPr>
        <w:t>出库泵站底板位于强风化细砂岩中，该层承载力较高，工程地质条件较好。根据计算结果，主厂房整体稳定满足规范要求，基底应力满足要求，抗浮稳定满足规范要求。</w:t>
      </w:r>
    </w:p>
    <w:p>
      <w:pPr>
        <w:adjustRightInd w:val="0"/>
        <w:snapToGrid w:val="0"/>
        <w:ind w:firstLine="480"/>
        <w:rPr>
          <w:rFonts w:cs="Times New Roman"/>
          <w:color w:val="auto"/>
          <w:kern w:val="0"/>
          <w:highlight w:val="none"/>
        </w:rPr>
      </w:pPr>
      <w:r>
        <w:rPr>
          <w:rFonts w:hint="eastAsia" w:cs="Times New Roman"/>
          <w:color w:val="auto"/>
          <w:kern w:val="0"/>
          <w:highlight w:val="none"/>
        </w:rPr>
        <w:t>二、</w:t>
      </w:r>
      <w:r>
        <w:rPr>
          <w:rFonts w:cs="Times New Roman"/>
          <w:color w:val="auto"/>
          <w:kern w:val="0"/>
          <w:highlight w:val="none"/>
        </w:rPr>
        <w:t>水力机械</w:t>
      </w:r>
    </w:p>
    <w:p>
      <w:pPr>
        <w:ind w:firstLine="480"/>
        <w:contextualSpacing/>
        <w:jc w:val="left"/>
        <w:rPr>
          <w:rFonts w:cs="Times New Roman"/>
          <w:color w:val="auto"/>
          <w:highlight w:val="none"/>
        </w:rPr>
      </w:pPr>
      <w:r>
        <w:rPr>
          <w:rFonts w:cs="Times New Roman"/>
          <w:color w:val="auto"/>
          <w:highlight w:val="none"/>
        </w:rPr>
        <w:t>1、设计参数</w:t>
      </w:r>
    </w:p>
    <w:p>
      <w:pPr>
        <w:ind w:firstLine="480"/>
        <w:contextualSpacing/>
        <w:jc w:val="left"/>
        <w:rPr>
          <w:rFonts w:cs="Times New Roman"/>
          <w:color w:val="auto"/>
          <w:highlight w:val="none"/>
        </w:rPr>
      </w:pPr>
      <w:r>
        <w:rPr>
          <w:rFonts w:cs="Times New Roman"/>
          <w:color w:val="auto"/>
          <w:highlight w:val="none"/>
        </w:rPr>
        <w:t>工程需设提水泵站向用户供水，设计参数如下：</w:t>
      </w:r>
    </w:p>
    <w:p>
      <w:pPr>
        <w:ind w:firstLine="480"/>
        <w:contextualSpacing/>
        <w:jc w:val="left"/>
        <w:rPr>
          <w:rFonts w:cs="Times New Roman"/>
          <w:color w:val="auto"/>
          <w:highlight w:val="none"/>
        </w:rPr>
      </w:pPr>
      <w:r>
        <w:rPr>
          <w:rFonts w:cs="Times New Roman"/>
          <w:color w:val="auto"/>
          <w:highlight w:val="none"/>
        </w:rPr>
        <w:t>进水池水位：最高水位：33.5m；最低水位：31.50m。</w:t>
      </w:r>
    </w:p>
    <w:p>
      <w:pPr>
        <w:ind w:firstLine="480"/>
        <w:contextualSpacing/>
        <w:jc w:val="left"/>
        <w:rPr>
          <w:rFonts w:cs="Times New Roman"/>
          <w:color w:val="auto"/>
          <w:highlight w:val="none"/>
        </w:rPr>
      </w:pPr>
      <w:r>
        <w:rPr>
          <w:rFonts w:cs="Times New Roman"/>
          <w:color w:val="auto"/>
          <w:highlight w:val="none"/>
        </w:rPr>
        <w:t>管道产生的水头损失约为61.76m。管道设计流量按0.42m³/s。</w:t>
      </w:r>
    </w:p>
    <w:p>
      <w:pPr>
        <w:ind w:firstLine="480"/>
        <w:contextualSpacing/>
        <w:jc w:val="left"/>
        <w:rPr>
          <w:rFonts w:cs="Times New Roman"/>
          <w:color w:val="auto"/>
          <w:highlight w:val="none"/>
        </w:rPr>
      </w:pPr>
      <w:r>
        <w:rPr>
          <w:rFonts w:cs="Times New Roman"/>
          <w:color w:val="auto"/>
          <w:highlight w:val="none"/>
        </w:rPr>
        <w:t>2、泵站扬程计算</w:t>
      </w:r>
    </w:p>
    <w:p>
      <w:pPr>
        <w:ind w:firstLine="480"/>
        <w:contextualSpacing/>
        <w:jc w:val="left"/>
        <w:rPr>
          <w:rFonts w:cs="Times New Roman"/>
          <w:color w:val="auto"/>
          <w:highlight w:val="none"/>
        </w:rPr>
      </w:pPr>
      <w:r>
        <w:rPr>
          <w:rFonts w:cs="Times New Roman"/>
          <w:color w:val="auto"/>
          <w:highlight w:val="none"/>
        </w:rPr>
        <w:t>泵站扬程为：70m。</w:t>
      </w:r>
    </w:p>
    <w:p>
      <w:pPr>
        <w:adjustRightInd w:val="0"/>
        <w:snapToGrid w:val="0"/>
        <w:ind w:firstLine="480"/>
        <w:rPr>
          <w:rFonts w:cs="Times New Roman"/>
          <w:color w:val="auto"/>
          <w:kern w:val="0"/>
          <w:highlight w:val="none"/>
        </w:rPr>
      </w:pPr>
      <w:r>
        <w:rPr>
          <w:rFonts w:hint="eastAsia" w:cs="Times New Roman"/>
          <w:color w:val="auto"/>
          <w:kern w:val="0"/>
          <w:highlight w:val="none"/>
        </w:rPr>
        <w:t>三、</w:t>
      </w:r>
      <w:r>
        <w:rPr>
          <w:rFonts w:cs="Times New Roman"/>
          <w:color w:val="auto"/>
          <w:kern w:val="0"/>
          <w:highlight w:val="none"/>
        </w:rPr>
        <w:t>水泵选型</w:t>
      </w:r>
    </w:p>
    <w:p>
      <w:pPr>
        <w:ind w:firstLine="480"/>
        <w:contextualSpacing/>
        <w:jc w:val="left"/>
        <w:rPr>
          <w:rFonts w:cs="Times New Roman"/>
          <w:color w:val="auto"/>
          <w:highlight w:val="none"/>
        </w:rPr>
      </w:pPr>
      <w:r>
        <w:rPr>
          <w:rFonts w:cs="Times New Roman"/>
          <w:color w:val="auto"/>
          <w:highlight w:val="none"/>
        </w:rPr>
        <w:t>按计算得的扬程及泵站流量选择水泵型号KQW200/435-110/4。</w:t>
      </w:r>
    </w:p>
    <w:p>
      <w:pPr>
        <w:adjustRightInd w:val="0"/>
        <w:snapToGrid w:val="0"/>
        <w:ind w:firstLine="480"/>
        <w:rPr>
          <w:rFonts w:cs="Times New Roman"/>
          <w:color w:val="auto"/>
          <w:kern w:val="0"/>
          <w:highlight w:val="none"/>
        </w:rPr>
      </w:pPr>
      <w:r>
        <w:rPr>
          <w:rFonts w:hint="eastAsia" w:cs="Times New Roman"/>
          <w:color w:val="auto"/>
          <w:kern w:val="0"/>
          <w:highlight w:val="none"/>
        </w:rPr>
        <w:t>四、</w:t>
      </w:r>
      <w:r>
        <w:rPr>
          <w:rFonts w:cs="Times New Roman"/>
          <w:color w:val="auto"/>
          <w:kern w:val="0"/>
          <w:highlight w:val="none"/>
        </w:rPr>
        <w:t>设备布置</w:t>
      </w:r>
    </w:p>
    <w:p>
      <w:pPr>
        <w:ind w:firstLine="480"/>
        <w:contextualSpacing/>
        <w:jc w:val="left"/>
        <w:rPr>
          <w:rFonts w:cs="Times New Roman"/>
          <w:color w:val="auto"/>
          <w:highlight w:val="none"/>
        </w:rPr>
      </w:pPr>
      <w:r>
        <w:rPr>
          <w:rFonts w:cs="Times New Roman"/>
          <w:color w:val="auto"/>
          <w:highlight w:val="none"/>
        </w:rPr>
        <w:t>泵站共安装5台机组，泵站采用单列排列，机组间距4.2m。</w:t>
      </w:r>
    </w:p>
    <w:p>
      <w:pPr>
        <w:ind w:firstLine="480"/>
        <w:contextualSpacing/>
        <w:jc w:val="left"/>
        <w:rPr>
          <w:rFonts w:cs="Times New Roman"/>
          <w:color w:val="auto"/>
          <w:highlight w:val="none"/>
        </w:rPr>
      </w:pPr>
      <w:r>
        <w:rPr>
          <w:rFonts w:cs="Times New Roman"/>
          <w:color w:val="auto"/>
          <w:highlight w:val="none"/>
        </w:rPr>
        <w:t>水泵进水管上设电动碟阀，直径400mm，压力1.0Mpa，碟阀与水泵间设橡胶减震器。离心水泵需关阀起动，在每台水泵出口设泵站型自动保压液控碟阀和电动碟阀，直径400mm，压力1.0Mpa。液控碟阀为工作阀门，电动碟阀为检修阀门。液控碟阀能按预定程序实现泵阀联动，能够实现远距离控制，在60s内可以根据需要调整关闭时间。特别是在事故停泵时，阀门可自动按预先设定的程序分快、慢两阶段关闭，具有良好的消除水锤效能。</w:t>
      </w:r>
    </w:p>
    <w:p>
      <w:pPr>
        <w:ind w:firstLine="480"/>
        <w:contextualSpacing/>
        <w:jc w:val="left"/>
        <w:rPr>
          <w:rFonts w:cs="Times New Roman"/>
          <w:color w:val="auto"/>
          <w:highlight w:val="none"/>
        </w:rPr>
      </w:pPr>
      <w:r>
        <w:rPr>
          <w:rFonts w:cs="Times New Roman"/>
          <w:color w:val="auto"/>
          <w:highlight w:val="none"/>
        </w:rPr>
        <w:t>出水管上设传力式伸缩器。5台水泵出水管合并为1根总输水管，总输水管直径DN700mm。在总输水管上设多声道超声波流量计1台，用以测量供水量。</w:t>
      </w:r>
    </w:p>
    <w:p>
      <w:pPr>
        <w:ind w:firstLine="480"/>
        <w:contextualSpacing/>
        <w:jc w:val="left"/>
        <w:rPr>
          <w:rFonts w:cs="Times New Roman"/>
          <w:color w:val="auto"/>
          <w:highlight w:val="none"/>
        </w:rPr>
      </w:pPr>
      <w:r>
        <w:rPr>
          <w:rFonts w:cs="Times New Roman"/>
          <w:color w:val="auto"/>
          <w:highlight w:val="none"/>
        </w:rPr>
        <w:t>在确定水泵安装高程时，考虑到取水水位水位低于地面较多，水泵配备抽真空装置，这样可以充分利用水泵的吸上性能，提高水泵的安装高程，减少泵站开挖深度。确定水泵安装高程为36.0m（水泵传动轴中心）。水泵在低水位启动时，需要抽真空，真空泵型号为SZB-8，共3台，2用1备。</w:t>
      </w:r>
    </w:p>
    <w:p>
      <w:pPr>
        <w:adjustRightInd w:val="0"/>
        <w:snapToGrid w:val="0"/>
        <w:ind w:firstLine="480"/>
        <w:rPr>
          <w:rFonts w:cs="Times New Roman"/>
          <w:color w:val="auto"/>
          <w:kern w:val="0"/>
          <w:highlight w:val="none"/>
        </w:rPr>
      </w:pPr>
      <w:r>
        <w:rPr>
          <w:rFonts w:hint="eastAsia" w:cs="Times New Roman"/>
          <w:color w:val="auto"/>
          <w:kern w:val="0"/>
          <w:highlight w:val="none"/>
        </w:rPr>
        <w:t>五、</w:t>
      </w:r>
      <w:r>
        <w:rPr>
          <w:rFonts w:cs="Times New Roman"/>
          <w:color w:val="auto"/>
          <w:kern w:val="0"/>
          <w:highlight w:val="none"/>
        </w:rPr>
        <w:t>辅助系统</w:t>
      </w:r>
    </w:p>
    <w:p>
      <w:pPr>
        <w:ind w:firstLine="480"/>
        <w:contextualSpacing/>
        <w:jc w:val="left"/>
        <w:rPr>
          <w:rFonts w:cs="Times New Roman"/>
          <w:color w:val="auto"/>
          <w:highlight w:val="none"/>
        </w:rPr>
      </w:pPr>
      <w:r>
        <w:rPr>
          <w:rFonts w:cs="Times New Roman"/>
          <w:color w:val="auto"/>
          <w:highlight w:val="none"/>
        </w:rPr>
        <w:t>（1）排水系统</w:t>
      </w:r>
    </w:p>
    <w:p>
      <w:pPr>
        <w:ind w:firstLine="480"/>
        <w:contextualSpacing/>
        <w:jc w:val="left"/>
        <w:rPr>
          <w:rFonts w:cs="Times New Roman"/>
          <w:color w:val="auto"/>
          <w:highlight w:val="none"/>
        </w:rPr>
      </w:pPr>
      <w:r>
        <w:rPr>
          <w:rFonts w:cs="Times New Roman"/>
          <w:color w:val="auto"/>
          <w:highlight w:val="none"/>
        </w:rPr>
        <w:t>泵站主厂房内设集水井一个，尺寸1.5×1.0×1.5m(长×宽×高)，设排水泵2台，排水泵型号QX-10，流量8.5m</w:t>
      </w:r>
      <w:r>
        <w:rPr>
          <w:rFonts w:cs="Times New Roman"/>
          <w:color w:val="auto"/>
          <w:highlight w:val="none"/>
          <w:vertAlign w:val="superscript"/>
        </w:rPr>
        <w:t>3</w:t>
      </w:r>
      <w:r>
        <w:rPr>
          <w:rFonts w:cs="Times New Roman"/>
          <w:color w:val="auto"/>
          <w:highlight w:val="none"/>
        </w:rPr>
        <w:t>/h，扬程10m，排水泵排水至室外，设YW-67型液位信号器1个，控制排水泵自动开停。主厂房内集水以管件渗漏水为主，水量较小。</w:t>
      </w:r>
    </w:p>
    <w:p>
      <w:pPr>
        <w:ind w:firstLine="480"/>
        <w:contextualSpacing/>
        <w:jc w:val="left"/>
        <w:rPr>
          <w:rFonts w:cs="Times New Roman"/>
          <w:color w:val="auto"/>
          <w:highlight w:val="none"/>
        </w:rPr>
      </w:pPr>
      <w:r>
        <w:rPr>
          <w:rFonts w:cs="Times New Roman"/>
          <w:color w:val="auto"/>
          <w:highlight w:val="none"/>
        </w:rPr>
        <w:t>（2）起重设备</w:t>
      </w:r>
    </w:p>
    <w:p>
      <w:pPr>
        <w:ind w:firstLine="480"/>
        <w:contextualSpacing/>
        <w:jc w:val="left"/>
        <w:rPr>
          <w:rFonts w:cs="Times New Roman"/>
          <w:color w:val="auto"/>
          <w:highlight w:val="none"/>
        </w:rPr>
      </w:pPr>
      <w:r>
        <w:rPr>
          <w:rFonts w:cs="Times New Roman"/>
          <w:color w:val="auto"/>
          <w:highlight w:val="none"/>
        </w:rPr>
        <w:t>主厂房内设电动单梁起重机1台，起重量2t，跨度6.5m。</w:t>
      </w:r>
    </w:p>
    <w:p>
      <w:pPr>
        <w:ind w:firstLine="480"/>
        <w:contextualSpacing/>
        <w:jc w:val="left"/>
        <w:rPr>
          <w:rFonts w:cs="Times New Roman"/>
          <w:color w:val="auto"/>
          <w:highlight w:val="none"/>
        </w:rPr>
      </w:pPr>
      <w:r>
        <w:rPr>
          <w:rFonts w:cs="Times New Roman"/>
          <w:color w:val="auto"/>
          <w:highlight w:val="none"/>
        </w:rPr>
        <w:t>（3）测量系统</w:t>
      </w:r>
    </w:p>
    <w:p>
      <w:pPr>
        <w:ind w:firstLine="480"/>
        <w:contextualSpacing/>
        <w:jc w:val="left"/>
        <w:rPr>
          <w:rFonts w:cs="Times New Roman"/>
          <w:color w:val="auto"/>
          <w:highlight w:val="none"/>
        </w:rPr>
      </w:pPr>
      <w:r>
        <w:rPr>
          <w:rFonts w:cs="Times New Roman"/>
          <w:color w:val="auto"/>
          <w:highlight w:val="none"/>
        </w:rPr>
        <w:t>每台水泵出口装有压力传感器，可以测定水泵出口压力，并具备远传功能。</w:t>
      </w:r>
    </w:p>
    <w:p>
      <w:pPr>
        <w:ind w:firstLine="480"/>
        <w:contextualSpacing/>
        <w:jc w:val="left"/>
        <w:rPr>
          <w:rFonts w:cs="Times New Roman"/>
          <w:color w:val="auto"/>
          <w:highlight w:val="none"/>
        </w:rPr>
      </w:pPr>
      <w:r>
        <w:rPr>
          <w:rFonts w:cs="Times New Roman"/>
          <w:color w:val="auto"/>
          <w:highlight w:val="none"/>
        </w:rPr>
        <w:t>在总输水管上设多声道超声波流量计一台，用以测量供水量。口径为DN900mm。</w:t>
      </w:r>
    </w:p>
    <w:p>
      <w:pPr>
        <w:adjustRightInd w:val="0"/>
        <w:snapToGrid w:val="0"/>
        <w:ind w:firstLine="480"/>
        <w:rPr>
          <w:rFonts w:cs="Times New Roman"/>
          <w:color w:val="auto"/>
          <w:kern w:val="0"/>
          <w:highlight w:val="none"/>
        </w:rPr>
      </w:pPr>
      <w:r>
        <w:rPr>
          <w:rFonts w:hint="eastAsia" w:cs="Times New Roman"/>
          <w:color w:val="auto"/>
          <w:kern w:val="0"/>
          <w:highlight w:val="none"/>
        </w:rPr>
        <w:t>六、</w:t>
      </w:r>
      <w:r>
        <w:rPr>
          <w:rFonts w:cs="Times New Roman"/>
          <w:color w:val="auto"/>
          <w:kern w:val="0"/>
          <w:highlight w:val="none"/>
        </w:rPr>
        <w:t>主要机电设备表</w:t>
      </w:r>
    </w:p>
    <w:p>
      <w:pPr>
        <w:ind w:firstLine="3" w:firstLineChars="300"/>
        <w:rPr>
          <w:rFonts w:cs="Times New Roman"/>
          <w:b/>
          <w:snapToGrid w:val="0"/>
          <w:color w:val="auto"/>
          <w:w w:val="0"/>
          <w:highlight w:val="none"/>
        </w:rPr>
      </w:pPr>
      <w:r>
        <w:rPr>
          <w:rFonts w:cs="Times New Roman"/>
          <w:b/>
          <w:snapToGrid w:val="0"/>
          <w:color w:val="auto"/>
          <w:w w:val="0"/>
          <w:highlight w:val="none"/>
        </w:rPr>
        <w:t>表</w:t>
      </w:r>
      <w:r>
        <w:rPr>
          <w:rFonts w:cs="Times New Roman"/>
          <w:b/>
          <w:bCs/>
          <w:color w:val="auto"/>
          <w:highlight w:val="none"/>
        </w:rPr>
        <w:t>5.3</w:t>
      </w:r>
      <w:r>
        <w:rPr>
          <w:rFonts w:cs="Times New Roman"/>
          <w:b/>
          <w:snapToGrid w:val="0"/>
          <w:color w:val="auto"/>
          <w:w w:val="0"/>
          <w:highlight w:val="none"/>
        </w:rPr>
        <w:t xml:space="preserve"> -2                 主要机电设备表</w:t>
      </w:r>
    </w:p>
    <w:tbl>
      <w:tblPr>
        <w:tblStyle w:val="33"/>
        <w:tblW w:w="8392" w:type="dxa"/>
        <w:jc w:val="center"/>
        <w:tblLayout w:type="autofit"/>
        <w:tblCellMar>
          <w:top w:w="0" w:type="dxa"/>
          <w:left w:w="0" w:type="dxa"/>
          <w:bottom w:w="0" w:type="dxa"/>
          <w:right w:w="0" w:type="dxa"/>
        </w:tblCellMar>
      </w:tblPr>
      <w:tblGrid>
        <w:gridCol w:w="760"/>
        <w:gridCol w:w="2775"/>
        <w:gridCol w:w="2743"/>
        <w:gridCol w:w="1090"/>
        <w:gridCol w:w="1024"/>
      </w:tblGrid>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序号序号序号</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名     称</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型         号</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单位</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数量</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离心泵</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cs="Times New Roman"/>
                <w:color w:val="auto"/>
                <w:highlight w:val="none"/>
              </w:rPr>
              <w:t>KQW200/435-110/4</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台</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5</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 xml:space="preserve"> 2</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电动机</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台</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5</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 xml:space="preserve"> 3</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橡胶减震器</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DN300</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台</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5</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 xml:space="preserve"> 4</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橡胶减震器</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DN300</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台</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5</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5</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起重机</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台</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w:t>
            </w:r>
          </w:p>
        </w:tc>
      </w:tr>
      <w:tr>
        <w:tblPrEx>
          <w:tblCellMar>
            <w:top w:w="0" w:type="dxa"/>
            <w:left w:w="0" w:type="dxa"/>
            <w:bottom w:w="0" w:type="dxa"/>
            <w:right w:w="0" w:type="dxa"/>
          </w:tblCellMar>
        </w:tblPrEx>
        <w:trPr>
          <w:cantSplit/>
          <w:trHeight w:val="495"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6</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电动蝶阀</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DN400</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台</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10</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7</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液控蝶阀</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台</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5</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8</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传力伸缩器</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DN300</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台</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10</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9</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排水系统</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套</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10</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多声道超声波流量计</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DN700</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套</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11</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抽真空系统</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套</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3</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12</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钢管</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DN400</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米</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40</w:t>
            </w:r>
          </w:p>
        </w:tc>
      </w:tr>
      <w:tr>
        <w:tblPrEx>
          <w:tblCellMar>
            <w:top w:w="0" w:type="dxa"/>
            <w:left w:w="0" w:type="dxa"/>
            <w:bottom w:w="0" w:type="dxa"/>
            <w:right w:w="0" w:type="dxa"/>
          </w:tblCellMar>
        </w:tblPrEx>
        <w:trPr>
          <w:cantSplit/>
          <w:trHeight w:val="382" w:hRule="exact"/>
          <w:jc w:val="center"/>
        </w:trPr>
        <w:tc>
          <w:tcPr>
            <w:tcW w:w="760"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13</w:t>
            </w:r>
          </w:p>
        </w:tc>
        <w:tc>
          <w:tcPr>
            <w:tcW w:w="2775"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钢管</w:t>
            </w:r>
          </w:p>
        </w:tc>
        <w:tc>
          <w:tcPr>
            <w:tcW w:w="2743"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DN700</w:t>
            </w:r>
          </w:p>
        </w:tc>
        <w:tc>
          <w:tcPr>
            <w:tcW w:w="1090"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米</w:t>
            </w:r>
          </w:p>
        </w:tc>
        <w:tc>
          <w:tcPr>
            <w:tcW w:w="1024"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center"/>
          </w:tcPr>
          <w:p>
            <w:pPr>
              <w:pStyle w:val="160"/>
              <w:spacing w:before="97"/>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50</w:t>
            </w:r>
          </w:p>
        </w:tc>
      </w:tr>
    </w:tbl>
    <w:p>
      <w:pPr>
        <w:widowControl/>
        <w:spacing w:line="240" w:lineRule="auto"/>
        <w:ind w:firstLine="0" w:firstLineChars="0"/>
        <w:jc w:val="left"/>
        <w:rPr>
          <w:color w:val="auto"/>
          <w:highlight w:val="none"/>
        </w:rPr>
      </w:pPr>
    </w:p>
    <w:p>
      <w:pPr>
        <w:tabs>
          <w:tab w:val="left" w:pos="742"/>
        </w:tabs>
        <w:ind w:firstLine="480"/>
        <w:jc w:val="left"/>
        <w:rPr>
          <w:rFonts w:cs="Times New Roman"/>
          <w:color w:val="auto"/>
          <w:highlight w:val="none"/>
        </w:rPr>
      </w:pPr>
    </w:p>
    <w:p>
      <w:pPr>
        <w:pStyle w:val="5"/>
        <w:rPr>
          <w:rFonts w:cs="Times New Roman"/>
          <w:color w:val="auto"/>
          <w:highlight w:val="none"/>
        </w:rPr>
      </w:pPr>
      <w:r>
        <w:rPr>
          <w:rFonts w:cs="Times New Roman"/>
          <w:color w:val="auto"/>
          <w:highlight w:val="none"/>
        </w:rPr>
        <w:t>5.8.2.6管径的确定</w:t>
      </w:r>
    </w:p>
    <w:p>
      <w:pPr>
        <w:autoSpaceDE w:val="0"/>
        <w:autoSpaceDN w:val="0"/>
        <w:ind w:firstLine="480"/>
        <w:rPr>
          <w:rFonts w:cs="Times New Roman"/>
          <w:color w:val="auto"/>
          <w:highlight w:val="none"/>
        </w:rPr>
      </w:pPr>
      <w:r>
        <w:rPr>
          <w:rFonts w:cs="Times New Roman"/>
          <w:color w:val="auto"/>
          <w:highlight w:val="none"/>
        </w:rPr>
        <w:t>确定输水管径需先确定流速，为防止发生过大水锤现象，最大流速不超过2.5～3.0m/s；为避免管内淤积，最小流速应不小于0.6 m/s。</w:t>
      </w:r>
    </w:p>
    <w:p>
      <w:pPr>
        <w:ind w:firstLine="480"/>
        <w:rPr>
          <w:color w:val="auto"/>
          <w:highlight w:val="none"/>
        </w:rPr>
      </w:pPr>
      <w:r>
        <w:rPr>
          <w:color w:val="auto"/>
          <w:highlight w:val="none"/>
        </w:rPr>
        <w:t>根据管线布置情况，采用单根管道输水，通过经济技术方案比较，</w:t>
      </w:r>
      <w:r>
        <w:rPr>
          <w:rFonts w:hint="eastAsia"/>
          <w:color w:val="auto"/>
          <w:highlight w:val="none"/>
        </w:rPr>
        <w:t>圈里泵站</w:t>
      </w:r>
      <w:r>
        <w:rPr>
          <w:color w:val="auto"/>
          <w:highlight w:val="none"/>
        </w:rPr>
        <w:t>至</w:t>
      </w:r>
      <w:r>
        <w:rPr>
          <w:rFonts w:hint="eastAsia"/>
          <w:color w:val="auto"/>
          <w:highlight w:val="none"/>
        </w:rPr>
        <w:t>前进桥段</w:t>
      </w:r>
      <w:r>
        <w:rPr>
          <w:color w:val="auto"/>
          <w:highlight w:val="none"/>
        </w:rPr>
        <w:t>采用DN700球墨铸铁管道，管道总长度0.60m；</w:t>
      </w:r>
      <w:r>
        <w:rPr>
          <w:rFonts w:hint="eastAsia"/>
          <w:color w:val="auto"/>
          <w:highlight w:val="none"/>
        </w:rPr>
        <w:t>前进桥至刘庄水库段</w:t>
      </w:r>
      <w:r>
        <w:rPr>
          <w:color w:val="auto"/>
          <w:highlight w:val="none"/>
        </w:rPr>
        <w:t>采用DN400球墨铸铁管道，管道总长度6.00km；</w:t>
      </w:r>
      <w:r>
        <w:rPr>
          <w:rFonts w:hint="eastAsia"/>
          <w:color w:val="auto"/>
          <w:highlight w:val="none"/>
        </w:rPr>
        <w:t>前进桥至拉沟河</w:t>
      </w:r>
      <w:r>
        <w:rPr>
          <w:color w:val="auto"/>
          <w:highlight w:val="none"/>
        </w:rPr>
        <w:t>输水管线采用DN500球墨铸铁管道，管道总长度3.10km，</w:t>
      </w:r>
      <w:r>
        <w:rPr>
          <w:rFonts w:hint="eastAsia"/>
          <w:color w:val="auto"/>
          <w:highlight w:val="none"/>
        </w:rPr>
        <w:t>拉沟河至陶沟河</w:t>
      </w:r>
      <w:r>
        <w:rPr>
          <w:color w:val="auto"/>
          <w:highlight w:val="none"/>
        </w:rPr>
        <w:t>输水管道采用DN400球墨铸铁管道，管道总长度2.30km。</w:t>
      </w:r>
    </w:p>
    <w:p>
      <w:pPr>
        <w:pStyle w:val="5"/>
        <w:rPr>
          <w:rFonts w:cs="Times New Roman"/>
          <w:color w:val="auto"/>
          <w:highlight w:val="none"/>
        </w:rPr>
      </w:pPr>
      <w:r>
        <w:rPr>
          <w:rFonts w:cs="Times New Roman"/>
          <w:color w:val="auto"/>
          <w:highlight w:val="none"/>
        </w:rPr>
        <w:t>5.8.2.7管道附属设施及设备</w:t>
      </w:r>
    </w:p>
    <w:p>
      <w:pPr>
        <w:ind w:firstLine="480"/>
        <w:rPr>
          <w:rFonts w:cs="Times New Roman"/>
          <w:color w:val="auto"/>
          <w:highlight w:val="none"/>
        </w:rPr>
      </w:pPr>
      <w:r>
        <w:rPr>
          <w:rFonts w:cs="Times New Roman"/>
          <w:color w:val="auto"/>
          <w:highlight w:val="none"/>
        </w:rPr>
        <w:t>为便于输水管道工程的安全运行和维护管理，沿线设有多处阀门井、进排气阀井、排水井、分水井、流量计井、镇墩等附属设施。</w:t>
      </w:r>
    </w:p>
    <w:p>
      <w:pPr>
        <w:ind w:firstLine="480"/>
        <w:rPr>
          <w:color w:val="auto"/>
          <w:highlight w:val="none"/>
        </w:rPr>
      </w:pPr>
      <w:r>
        <w:rPr>
          <w:color w:val="auto"/>
          <w:highlight w:val="none"/>
        </w:rPr>
        <w:t>阀门井内设有阀门（电动立式蝶阀）、双法兰传力式松套补偿接头和进排气阀；进排气阀井内设有进排气阀和便于进排气阀检修的闸阀或蝶阀；排水井分干、湿井，干井内布设手动闸阀和双法兰传力式松套补偿接头。为便于检修，在每个排气井和阀门井内均设置进人孔，进人孔设计在排气阀下。分水井内设置分支阀门、双法兰传力式松套补偿接头和进排气阀，阀门采用偏心半球阀。</w:t>
      </w:r>
    </w:p>
    <w:p>
      <w:pPr>
        <w:ind w:firstLine="480"/>
        <w:rPr>
          <w:rFonts w:cs="Times New Roman"/>
          <w:color w:val="auto"/>
          <w:highlight w:val="none"/>
        </w:rPr>
      </w:pPr>
      <w:r>
        <w:rPr>
          <w:rFonts w:cs="Times New Roman"/>
          <w:color w:val="auto"/>
          <w:highlight w:val="none"/>
        </w:rPr>
        <w:t>1、阀门井及设备</w:t>
      </w:r>
    </w:p>
    <w:p>
      <w:pPr>
        <w:ind w:firstLine="480"/>
        <w:rPr>
          <w:rFonts w:cs="Times New Roman"/>
          <w:color w:val="auto"/>
          <w:highlight w:val="none"/>
        </w:rPr>
      </w:pPr>
      <w:r>
        <w:rPr>
          <w:rFonts w:cs="Times New Roman"/>
          <w:color w:val="auto"/>
          <w:highlight w:val="none"/>
        </w:rPr>
        <w:t>一般在管道的倒虹两侧、每隔3km左右处设阀门井。内置1套立式电动蝶阀。阀门采用法兰式连接形式，蝶阀采用金属硬密封结构，同时配套双法兰传力式松套补偿接头，设DN200闸阀连通。阀门井为混凝土结构，在阀门两侧各安装1套进排气阀。为便于检修，在井内均设置进人孔，进人孔设计在排气阀下。</w:t>
      </w:r>
    </w:p>
    <w:p>
      <w:pPr>
        <w:ind w:firstLine="480"/>
        <w:rPr>
          <w:rFonts w:cs="Times New Roman"/>
          <w:color w:val="auto"/>
          <w:highlight w:val="none"/>
        </w:rPr>
      </w:pPr>
      <w:r>
        <w:rPr>
          <w:rFonts w:cs="Times New Roman"/>
          <w:color w:val="auto"/>
          <w:highlight w:val="none"/>
        </w:rPr>
        <w:t>2、排水井（排泥井）及设备</w:t>
      </w:r>
    </w:p>
    <w:p>
      <w:pPr>
        <w:ind w:firstLine="480"/>
        <w:rPr>
          <w:rFonts w:cs="Times New Roman"/>
          <w:color w:val="auto"/>
          <w:highlight w:val="none"/>
        </w:rPr>
      </w:pPr>
      <w:r>
        <w:rPr>
          <w:rFonts w:cs="Times New Roman"/>
          <w:color w:val="auto"/>
          <w:highlight w:val="none"/>
        </w:rPr>
        <w:t>管道的低凹处应设泄水管及排水阀井（排泥井），管道上设排水井（排泥井）的目的：一方面在冲洗管道时能把管内沉淀杂物、泥沙冲刷排净；另一方面在管道检修时，能把管内存水放空。泄水管宜接至沟底或低洼处，当不能直接排出时，应设集水井，用水泵将水排走，泄水管直径一般为输水管直径的1/3，排水阀直径等同泄水管直径。</w:t>
      </w:r>
    </w:p>
    <w:p>
      <w:pPr>
        <w:ind w:firstLine="480"/>
        <w:rPr>
          <w:rFonts w:cs="Times New Roman"/>
          <w:color w:val="auto"/>
          <w:highlight w:val="none"/>
        </w:rPr>
      </w:pPr>
      <w:r>
        <w:rPr>
          <w:rFonts w:cs="Times New Roman"/>
          <w:color w:val="auto"/>
          <w:highlight w:val="none"/>
        </w:rPr>
        <w:t>排水井（排泥井）为混凝土结构，排水阀采用法兰式手动偏心半球阀，材质为球墨铸铁。</w:t>
      </w:r>
    </w:p>
    <w:p>
      <w:pPr>
        <w:ind w:firstLine="480"/>
        <w:rPr>
          <w:rFonts w:cs="Times New Roman"/>
          <w:color w:val="auto"/>
          <w:highlight w:val="none"/>
        </w:rPr>
      </w:pPr>
      <w:r>
        <w:rPr>
          <w:rFonts w:cs="Times New Roman"/>
          <w:color w:val="auto"/>
          <w:highlight w:val="none"/>
        </w:rPr>
        <w:t>3、进排气井及设备</w:t>
      </w:r>
    </w:p>
    <w:p>
      <w:pPr>
        <w:ind w:firstLine="480"/>
        <w:rPr>
          <w:rFonts w:cs="Times New Roman"/>
          <w:color w:val="auto"/>
          <w:highlight w:val="none"/>
        </w:rPr>
      </w:pPr>
      <w:r>
        <w:rPr>
          <w:rFonts w:cs="Times New Roman"/>
          <w:color w:val="auto"/>
          <w:highlight w:val="none"/>
        </w:rPr>
        <w:t>本工程为压力输水，输水管道较长，为防止水锤压力，在管道的隆起点和每隔800m左右设复合进排气阀1个，材质为球墨铸铁或铸钢。用以排除管道内空气和在管道检修时放气或补气以保持排水通畅，并起着消除水锤保护管道安全的作用。为便于检修，在每个排气井内均设置进人孔，进人孔设计在排气阀下。</w:t>
      </w:r>
    </w:p>
    <w:p>
      <w:pPr>
        <w:ind w:firstLine="480"/>
        <w:rPr>
          <w:rFonts w:cs="Times New Roman"/>
          <w:color w:val="auto"/>
          <w:highlight w:val="none"/>
        </w:rPr>
      </w:pPr>
      <w:r>
        <w:rPr>
          <w:rFonts w:cs="Times New Roman"/>
          <w:color w:val="auto"/>
          <w:highlight w:val="none"/>
        </w:rPr>
        <w:t>4、分水井及设备</w:t>
      </w:r>
    </w:p>
    <w:p>
      <w:pPr>
        <w:ind w:firstLine="480"/>
        <w:rPr>
          <w:color w:val="auto"/>
          <w:highlight w:val="none"/>
        </w:rPr>
      </w:pPr>
      <w:r>
        <w:rPr>
          <w:color w:val="auto"/>
          <w:highlight w:val="none"/>
        </w:rPr>
        <w:t>根据沿线情况，在</w:t>
      </w:r>
      <w:r>
        <w:rPr>
          <w:rFonts w:hint="eastAsia"/>
          <w:color w:val="auto"/>
          <w:highlight w:val="none"/>
        </w:rPr>
        <w:t>拉沟河</w:t>
      </w:r>
      <w:r>
        <w:rPr>
          <w:color w:val="auto"/>
          <w:highlight w:val="none"/>
        </w:rPr>
        <w:t>、</w:t>
      </w:r>
      <w:r>
        <w:rPr>
          <w:rFonts w:hint="eastAsia"/>
          <w:color w:val="auto"/>
          <w:highlight w:val="none"/>
        </w:rPr>
        <w:t>陶沟河</w:t>
      </w:r>
      <w:r>
        <w:rPr>
          <w:color w:val="auto"/>
          <w:highlight w:val="none"/>
        </w:rPr>
        <w:t>分水口设置2个分水井，分水井内设置分支阀门、双法兰传力式松套补偿接头和进排气阀，阀门采用偏心半球阀。</w:t>
      </w:r>
    </w:p>
    <w:p>
      <w:pPr>
        <w:ind w:firstLine="480"/>
        <w:rPr>
          <w:rFonts w:cs="Times New Roman"/>
          <w:color w:val="auto"/>
          <w:highlight w:val="none"/>
        </w:rPr>
      </w:pPr>
      <w:r>
        <w:rPr>
          <w:rFonts w:cs="Times New Roman"/>
          <w:color w:val="auto"/>
          <w:highlight w:val="none"/>
        </w:rPr>
        <w:t>5、镇墩设计</w:t>
      </w:r>
    </w:p>
    <w:p>
      <w:pPr>
        <w:ind w:firstLine="480"/>
        <w:rPr>
          <w:color w:val="auto"/>
          <w:highlight w:val="none"/>
        </w:rPr>
      </w:pPr>
      <w:r>
        <w:rPr>
          <w:color w:val="auto"/>
          <w:highlight w:val="none"/>
        </w:rPr>
        <w:t>压力输水管道在水平和垂直转弯时会产生水平和垂直的推力，为了输水管道的安全稳定，在管道转弯处，根据转角的大小和转角方向的不同设置不同镇墩，所有镇墩采用C25的钢筋混凝土结构。</w:t>
      </w:r>
    </w:p>
    <w:p>
      <w:pPr>
        <w:widowControl/>
        <w:spacing w:line="240" w:lineRule="auto"/>
        <w:ind w:firstLine="0" w:firstLineChars="0"/>
        <w:jc w:val="left"/>
        <w:rPr>
          <w:b/>
          <w:bCs/>
          <w:color w:val="auto"/>
          <w:kern w:val="44"/>
          <w:sz w:val="32"/>
          <w:szCs w:val="44"/>
          <w:highlight w:val="none"/>
        </w:rPr>
      </w:pPr>
      <w:r>
        <w:rPr>
          <w:color w:val="auto"/>
          <w:highlight w:val="none"/>
        </w:rPr>
        <w:br w:type="page"/>
      </w:r>
    </w:p>
    <w:p>
      <w:pPr>
        <w:pStyle w:val="2"/>
        <w:rPr>
          <w:color w:val="auto"/>
          <w:highlight w:val="none"/>
        </w:rPr>
      </w:pPr>
      <w:bookmarkStart w:id="92" w:name="_Toc9790"/>
      <w:r>
        <w:rPr>
          <w:rFonts w:hint="eastAsia"/>
          <w:color w:val="auto"/>
          <w:highlight w:val="none"/>
        </w:rPr>
        <w:t>6电气设计</w:t>
      </w:r>
      <w:bookmarkEnd w:id="92"/>
    </w:p>
    <w:p>
      <w:pPr>
        <w:pStyle w:val="3"/>
        <w:rPr>
          <w:color w:val="auto"/>
          <w:highlight w:val="none"/>
        </w:rPr>
      </w:pPr>
      <w:bookmarkStart w:id="93" w:name="_Toc26004"/>
      <w:r>
        <w:rPr>
          <w:rFonts w:hint="eastAsia"/>
          <w:color w:val="auto"/>
          <w:highlight w:val="none"/>
        </w:rPr>
        <w:t>6</w:t>
      </w:r>
      <w:r>
        <w:rPr>
          <w:color w:val="auto"/>
          <w:highlight w:val="none"/>
        </w:rPr>
        <w:t>.</w:t>
      </w:r>
      <w:r>
        <w:rPr>
          <w:rFonts w:hint="eastAsia"/>
          <w:color w:val="auto"/>
          <w:highlight w:val="none"/>
        </w:rPr>
        <w:t>1</w:t>
      </w:r>
      <w:r>
        <w:rPr>
          <w:color w:val="auto"/>
          <w:highlight w:val="none"/>
        </w:rPr>
        <w:t>设计范围</w:t>
      </w:r>
      <w:bookmarkEnd w:id="93"/>
    </w:p>
    <w:p>
      <w:pPr>
        <w:ind w:firstLine="480"/>
        <w:rPr>
          <w:color w:val="auto"/>
          <w:highlight w:val="none"/>
        </w:rPr>
      </w:pPr>
      <w:r>
        <w:rPr>
          <w:color w:val="auto"/>
          <w:highlight w:val="none"/>
        </w:rPr>
        <w:t>本工程电气设计范围为</w:t>
      </w:r>
      <w:r>
        <w:rPr>
          <w:rFonts w:hint="eastAsia"/>
          <w:color w:val="auto"/>
          <w:highlight w:val="none"/>
        </w:rPr>
        <w:t>泵站、净水厂主副厂房</w:t>
      </w:r>
      <w:r>
        <w:rPr>
          <w:color w:val="auto"/>
          <w:highlight w:val="none"/>
        </w:rPr>
        <w:t>进线终端杆以下的变配电系统、计算机监控系统、视频监视系统和通信系统的设计。</w:t>
      </w:r>
    </w:p>
    <w:p>
      <w:pPr>
        <w:pStyle w:val="3"/>
        <w:rPr>
          <w:color w:val="auto"/>
          <w:highlight w:val="none"/>
        </w:rPr>
      </w:pPr>
      <w:bookmarkStart w:id="94" w:name="_Toc4082"/>
      <w:r>
        <w:rPr>
          <w:rFonts w:hint="eastAsia"/>
          <w:color w:val="auto"/>
          <w:highlight w:val="none"/>
        </w:rPr>
        <w:t>6</w:t>
      </w:r>
      <w:r>
        <w:rPr>
          <w:color w:val="auto"/>
          <w:highlight w:val="none"/>
        </w:rPr>
        <w:t>.2设计依据</w:t>
      </w:r>
      <w:bookmarkEnd w:id="94"/>
    </w:p>
    <w:p>
      <w:pPr>
        <w:ind w:firstLine="480"/>
        <w:rPr>
          <w:color w:val="auto"/>
          <w:highlight w:val="none"/>
        </w:rPr>
      </w:pPr>
      <w:r>
        <w:rPr>
          <w:color w:val="auto"/>
          <w:highlight w:val="none"/>
        </w:rPr>
        <w:t>（1）《20kV及以下变电所设计规范》GB 50053-2013；</w:t>
      </w:r>
    </w:p>
    <w:p>
      <w:pPr>
        <w:ind w:firstLine="480"/>
        <w:rPr>
          <w:color w:val="auto"/>
          <w:highlight w:val="none"/>
        </w:rPr>
      </w:pPr>
      <w:r>
        <w:rPr>
          <w:color w:val="auto"/>
          <w:highlight w:val="none"/>
        </w:rPr>
        <w:t>（2）《低压配电设计规范》GB 50054-2011；</w:t>
      </w:r>
    </w:p>
    <w:p>
      <w:pPr>
        <w:ind w:firstLine="480"/>
        <w:rPr>
          <w:color w:val="auto"/>
          <w:highlight w:val="none"/>
        </w:rPr>
      </w:pPr>
      <w:r>
        <w:rPr>
          <w:color w:val="auto"/>
          <w:highlight w:val="none"/>
        </w:rPr>
        <w:t>（3）《供配电系统设计规范》GB50052-2009；</w:t>
      </w:r>
    </w:p>
    <w:p>
      <w:pPr>
        <w:ind w:firstLine="480"/>
        <w:rPr>
          <w:color w:val="auto"/>
          <w:highlight w:val="none"/>
        </w:rPr>
      </w:pPr>
      <w:r>
        <w:rPr>
          <w:color w:val="auto"/>
          <w:highlight w:val="none"/>
        </w:rPr>
        <w:t>（4）《通用用电设备配电设计规范》GB 50055-2011；</w:t>
      </w:r>
    </w:p>
    <w:p>
      <w:pPr>
        <w:ind w:firstLine="480"/>
        <w:rPr>
          <w:color w:val="auto"/>
          <w:highlight w:val="none"/>
        </w:rPr>
      </w:pPr>
      <w:r>
        <w:rPr>
          <w:color w:val="auto"/>
          <w:highlight w:val="none"/>
        </w:rPr>
        <w:t>（5）《建筑物防雷设计规范》 GB 50057-2013；</w:t>
      </w:r>
    </w:p>
    <w:p>
      <w:pPr>
        <w:ind w:firstLine="480"/>
        <w:rPr>
          <w:color w:val="auto"/>
          <w:highlight w:val="none"/>
        </w:rPr>
      </w:pPr>
      <w:r>
        <w:rPr>
          <w:color w:val="auto"/>
          <w:highlight w:val="none"/>
        </w:rPr>
        <w:t>（6）《电力工程电缆设计标准》GB50217-2018；</w:t>
      </w:r>
    </w:p>
    <w:p>
      <w:pPr>
        <w:ind w:firstLine="480"/>
        <w:rPr>
          <w:color w:val="auto"/>
          <w:highlight w:val="none"/>
        </w:rPr>
      </w:pPr>
      <w:r>
        <w:rPr>
          <w:color w:val="auto"/>
          <w:highlight w:val="none"/>
        </w:rPr>
        <w:t>（7）《视频安防监控系统工程设计规范》GB50395-2007；</w:t>
      </w:r>
    </w:p>
    <w:p>
      <w:pPr>
        <w:ind w:firstLine="480"/>
        <w:rPr>
          <w:color w:val="auto"/>
          <w:highlight w:val="none"/>
        </w:rPr>
      </w:pPr>
      <w:r>
        <w:rPr>
          <w:color w:val="auto"/>
          <w:highlight w:val="none"/>
        </w:rPr>
        <w:t>（8）《电力装置的继电保护和自动装置设计规范》GB/T50062-2008；</w:t>
      </w:r>
    </w:p>
    <w:p>
      <w:pPr>
        <w:ind w:firstLine="480"/>
        <w:rPr>
          <w:color w:val="auto"/>
          <w:highlight w:val="none"/>
        </w:rPr>
      </w:pPr>
      <w:r>
        <w:rPr>
          <w:color w:val="auto"/>
          <w:highlight w:val="none"/>
        </w:rPr>
        <w:t>（9）《电力装置的电测量仪表装置设计规范》GB/T50063-2017；</w:t>
      </w:r>
    </w:p>
    <w:p>
      <w:pPr>
        <w:ind w:firstLine="480"/>
        <w:rPr>
          <w:color w:val="auto"/>
          <w:highlight w:val="none"/>
        </w:rPr>
      </w:pPr>
      <w:r>
        <w:rPr>
          <w:color w:val="auto"/>
          <w:highlight w:val="none"/>
        </w:rPr>
        <w:t>（10）《泵站设计规范》GB 50265-2010；</w:t>
      </w:r>
    </w:p>
    <w:p>
      <w:pPr>
        <w:ind w:firstLine="480"/>
        <w:rPr>
          <w:color w:val="auto"/>
          <w:highlight w:val="none"/>
        </w:rPr>
      </w:pPr>
      <w:r>
        <w:rPr>
          <w:color w:val="auto"/>
          <w:highlight w:val="none"/>
        </w:rPr>
        <w:t>（11）《水利水电工程自动化设计规范》（SL 612-2013）；</w:t>
      </w:r>
    </w:p>
    <w:p>
      <w:pPr>
        <w:ind w:firstLine="480"/>
        <w:rPr>
          <w:color w:val="auto"/>
          <w:highlight w:val="none"/>
        </w:rPr>
      </w:pPr>
      <w:r>
        <w:rPr>
          <w:color w:val="auto"/>
          <w:highlight w:val="none"/>
        </w:rPr>
        <w:t>（12）国家及行业颁布的其他有关现行法规和标准等。</w:t>
      </w:r>
    </w:p>
    <w:p>
      <w:pPr>
        <w:pStyle w:val="3"/>
        <w:rPr>
          <w:color w:val="auto"/>
          <w:highlight w:val="none"/>
        </w:rPr>
      </w:pPr>
      <w:bookmarkStart w:id="95" w:name="_Toc22442"/>
      <w:r>
        <w:rPr>
          <w:rFonts w:hint="eastAsia"/>
          <w:color w:val="auto"/>
          <w:highlight w:val="none"/>
        </w:rPr>
        <w:t>6</w:t>
      </w:r>
      <w:r>
        <w:rPr>
          <w:color w:val="auto"/>
          <w:highlight w:val="none"/>
        </w:rPr>
        <w:t>.</w:t>
      </w:r>
      <w:r>
        <w:rPr>
          <w:rFonts w:hint="eastAsia"/>
          <w:color w:val="auto"/>
          <w:highlight w:val="none"/>
        </w:rPr>
        <w:t>3</w:t>
      </w:r>
      <w:r>
        <w:rPr>
          <w:color w:val="auto"/>
          <w:highlight w:val="none"/>
        </w:rPr>
        <w:t>设计内容</w:t>
      </w:r>
      <w:bookmarkEnd w:id="95"/>
    </w:p>
    <w:p>
      <w:pPr>
        <w:autoSpaceDE w:val="0"/>
        <w:autoSpaceDN w:val="0"/>
        <w:spacing w:line="520" w:lineRule="exact"/>
        <w:ind w:firstLine="480"/>
        <w:rPr>
          <w:rFonts w:hAnsi="宋体"/>
          <w:color w:val="auto"/>
          <w:highlight w:val="none"/>
        </w:rPr>
      </w:pPr>
      <w:r>
        <w:rPr>
          <w:rFonts w:hAnsi="宋体"/>
          <w:color w:val="auto"/>
          <w:highlight w:val="none"/>
        </w:rPr>
        <w:t>1、供电电源</w:t>
      </w:r>
    </w:p>
    <w:p>
      <w:pPr>
        <w:autoSpaceDE w:val="0"/>
        <w:autoSpaceDN w:val="0"/>
        <w:spacing w:line="520" w:lineRule="exact"/>
        <w:ind w:firstLine="480"/>
        <w:rPr>
          <w:rFonts w:hAnsi="宋体"/>
          <w:color w:val="auto"/>
          <w:highlight w:val="none"/>
        </w:rPr>
      </w:pPr>
      <w:r>
        <w:rPr>
          <w:rFonts w:hAnsi="宋体"/>
          <w:color w:val="auto"/>
          <w:highlight w:val="none"/>
        </w:rPr>
        <w:t>本工程管理用电主要为</w:t>
      </w:r>
      <w:r>
        <w:rPr>
          <w:rFonts w:hint="eastAsia" w:hAnsi="宋体"/>
          <w:color w:val="auto"/>
          <w:highlight w:val="none"/>
        </w:rPr>
        <w:t>管理房办公照明用电、电动蝶阀、</w:t>
      </w:r>
      <w:r>
        <w:rPr>
          <w:rFonts w:hAnsi="宋体"/>
          <w:color w:val="auto"/>
          <w:highlight w:val="none"/>
        </w:rPr>
        <w:t>电磁流量计用电</w:t>
      </w:r>
      <w:r>
        <w:rPr>
          <w:rFonts w:hint="eastAsia" w:hAnsi="宋体"/>
          <w:color w:val="auto"/>
          <w:highlight w:val="none"/>
        </w:rPr>
        <w:t>等用电或移动电源，以及</w:t>
      </w:r>
      <w:r>
        <w:rPr>
          <w:rFonts w:hAnsi="宋体"/>
          <w:color w:val="auto"/>
          <w:highlight w:val="none"/>
        </w:rPr>
        <w:t>供水管道起始端电磁流量计用电</w:t>
      </w:r>
      <w:r>
        <w:rPr>
          <w:rFonts w:hint="eastAsia" w:hAnsi="宋体"/>
          <w:color w:val="auto"/>
          <w:highlight w:val="none"/>
        </w:rPr>
        <w:t>。</w:t>
      </w:r>
    </w:p>
    <w:p>
      <w:pPr>
        <w:autoSpaceDE w:val="0"/>
        <w:autoSpaceDN w:val="0"/>
        <w:spacing w:line="520" w:lineRule="exact"/>
        <w:ind w:firstLine="480"/>
        <w:rPr>
          <w:rFonts w:hAnsi="宋体"/>
          <w:color w:val="auto"/>
          <w:highlight w:val="none"/>
        </w:rPr>
      </w:pPr>
      <w:r>
        <w:rPr>
          <w:rFonts w:hAnsi="宋体"/>
          <w:color w:val="auto"/>
          <w:highlight w:val="none"/>
        </w:rPr>
        <w:t>2、电气接线</w:t>
      </w:r>
    </w:p>
    <w:p>
      <w:pPr>
        <w:autoSpaceDE w:val="0"/>
        <w:autoSpaceDN w:val="0"/>
        <w:spacing w:line="520" w:lineRule="exact"/>
        <w:ind w:firstLine="480"/>
        <w:rPr>
          <w:rFonts w:hAnsi="宋体"/>
          <w:color w:val="auto"/>
          <w:highlight w:val="none"/>
        </w:rPr>
      </w:pPr>
      <w:r>
        <w:rPr>
          <w:rFonts w:hint="eastAsia" w:hAnsi="宋体"/>
          <w:color w:val="auto"/>
          <w:highlight w:val="none"/>
        </w:rPr>
        <w:t>主要用电负荷为管理房照明等，均由该低压母线引接。</w:t>
      </w:r>
    </w:p>
    <w:p>
      <w:pPr>
        <w:autoSpaceDE w:val="0"/>
        <w:autoSpaceDN w:val="0"/>
        <w:spacing w:line="520" w:lineRule="exact"/>
        <w:ind w:firstLine="480"/>
        <w:rPr>
          <w:rFonts w:hAnsi="宋体"/>
          <w:color w:val="auto"/>
          <w:highlight w:val="none"/>
        </w:rPr>
      </w:pPr>
      <w:r>
        <w:rPr>
          <w:rFonts w:hint="eastAsia" w:hAnsi="宋体"/>
          <w:color w:val="auto"/>
          <w:highlight w:val="none"/>
        </w:rPr>
        <w:t>3、设备选择</w:t>
      </w:r>
    </w:p>
    <w:p>
      <w:pPr>
        <w:autoSpaceDE w:val="0"/>
        <w:autoSpaceDN w:val="0"/>
        <w:spacing w:line="520" w:lineRule="exact"/>
        <w:ind w:firstLine="480"/>
        <w:rPr>
          <w:rFonts w:hAnsi="宋体"/>
          <w:color w:val="auto"/>
          <w:highlight w:val="none"/>
        </w:rPr>
      </w:pPr>
      <w:r>
        <w:rPr>
          <w:rFonts w:hint="eastAsia" w:hAnsi="宋体"/>
          <w:color w:val="auto"/>
          <w:highlight w:val="none"/>
        </w:rPr>
        <w:t>主要电器设备均按其所在回路额定电压和额定电流选择，并以短路动热稳定度进行校验，均满足要求。低压配电系统采用CDGCS系列成套低压屏。低压电缆采用YJV或YJV22型铜芯交联聚乙稀绝缘聚氯乙稀护套电力电缆。</w:t>
      </w:r>
    </w:p>
    <w:p>
      <w:pPr>
        <w:autoSpaceDE w:val="0"/>
        <w:autoSpaceDN w:val="0"/>
        <w:spacing w:line="520" w:lineRule="exact"/>
        <w:ind w:firstLine="480"/>
        <w:rPr>
          <w:rFonts w:hAnsi="宋体"/>
          <w:color w:val="auto"/>
          <w:highlight w:val="none"/>
        </w:rPr>
      </w:pPr>
      <w:r>
        <w:rPr>
          <w:rFonts w:hint="eastAsia" w:hAnsi="宋体"/>
          <w:color w:val="auto"/>
          <w:highlight w:val="none"/>
        </w:rPr>
        <w:t>4、设备布置与电缆敷设</w:t>
      </w:r>
    </w:p>
    <w:p>
      <w:pPr>
        <w:autoSpaceDE w:val="0"/>
        <w:autoSpaceDN w:val="0"/>
        <w:spacing w:line="520" w:lineRule="exact"/>
        <w:ind w:firstLine="480"/>
        <w:rPr>
          <w:rFonts w:hAnsi="宋体"/>
          <w:color w:val="auto"/>
          <w:highlight w:val="none"/>
        </w:rPr>
      </w:pPr>
      <w:r>
        <w:rPr>
          <w:rFonts w:hint="eastAsia" w:hAnsi="宋体"/>
          <w:color w:val="auto"/>
          <w:highlight w:val="none"/>
        </w:rPr>
        <w:t>低压动力及控制电缆主要采用电缆桥架敷设，无桥架的地方采用穿管或埋地敷设。</w:t>
      </w:r>
    </w:p>
    <w:p>
      <w:pPr>
        <w:autoSpaceDE w:val="0"/>
        <w:autoSpaceDN w:val="0"/>
        <w:spacing w:line="520" w:lineRule="exact"/>
        <w:ind w:firstLine="480"/>
        <w:rPr>
          <w:rFonts w:hAnsi="宋体"/>
          <w:color w:val="auto"/>
          <w:highlight w:val="none"/>
        </w:rPr>
      </w:pPr>
      <w:r>
        <w:rPr>
          <w:rFonts w:hint="eastAsia" w:hAnsi="宋体"/>
          <w:color w:val="auto"/>
          <w:highlight w:val="none"/>
        </w:rPr>
        <w:t>5、保护控制</w:t>
      </w:r>
    </w:p>
    <w:p>
      <w:pPr>
        <w:autoSpaceDE w:val="0"/>
        <w:autoSpaceDN w:val="0"/>
        <w:spacing w:line="520" w:lineRule="exact"/>
        <w:ind w:firstLine="480"/>
        <w:rPr>
          <w:rFonts w:hAnsi="宋体"/>
          <w:color w:val="auto"/>
          <w:highlight w:val="none"/>
        </w:rPr>
      </w:pPr>
      <w:r>
        <w:rPr>
          <w:rFonts w:hint="eastAsia" w:hAnsi="宋体"/>
          <w:color w:val="auto"/>
          <w:highlight w:val="none"/>
        </w:rPr>
        <w:t>低压配电柜的所有馈电及进线回路均设有自动空气开关作为短路保护。柜面设有按钮及信号灯。配电柜的主要回路设有电流表，母线设有电压表。</w:t>
      </w:r>
    </w:p>
    <w:p>
      <w:pPr>
        <w:autoSpaceDE w:val="0"/>
        <w:autoSpaceDN w:val="0"/>
        <w:spacing w:line="520" w:lineRule="exact"/>
        <w:ind w:firstLine="480"/>
        <w:rPr>
          <w:rFonts w:hAnsi="宋体"/>
          <w:color w:val="auto"/>
          <w:highlight w:val="none"/>
        </w:rPr>
      </w:pPr>
      <w:r>
        <w:rPr>
          <w:rFonts w:hint="eastAsia" w:hAnsi="宋体"/>
          <w:color w:val="auto"/>
          <w:highlight w:val="none"/>
        </w:rPr>
        <w:t>6、照明</w:t>
      </w:r>
    </w:p>
    <w:p>
      <w:pPr>
        <w:autoSpaceDE w:val="0"/>
        <w:autoSpaceDN w:val="0"/>
        <w:spacing w:line="520" w:lineRule="exact"/>
        <w:ind w:firstLine="480"/>
        <w:rPr>
          <w:rFonts w:hAnsi="宋体"/>
          <w:color w:val="auto"/>
          <w:highlight w:val="none"/>
        </w:rPr>
      </w:pPr>
      <w:r>
        <w:rPr>
          <w:rFonts w:hint="eastAsia" w:hAnsi="宋体"/>
          <w:color w:val="auto"/>
          <w:highlight w:val="none"/>
        </w:rPr>
        <w:t>管理房等各建筑物均设有照明设施，各照明箱电源由配电室低压屏引接。照明网络为380/220V，主干线为三相五线制，各照明灯具支线采用两线制，插座回路采用三线制，带有PE接地线。</w:t>
      </w:r>
    </w:p>
    <w:p>
      <w:pPr>
        <w:autoSpaceDE w:val="0"/>
        <w:autoSpaceDN w:val="0"/>
        <w:spacing w:line="520" w:lineRule="exact"/>
        <w:ind w:firstLine="480"/>
        <w:rPr>
          <w:rFonts w:hAnsi="宋体"/>
          <w:color w:val="auto"/>
          <w:highlight w:val="none"/>
        </w:rPr>
      </w:pPr>
      <w:r>
        <w:rPr>
          <w:rFonts w:hint="eastAsia" w:hAnsi="宋体"/>
          <w:color w:val="auto"/>
          <w:highlight w:val="none"/>
        </w:rPr>
        <w:t>7、防雷接地</w:t>
      </w:r>
    </w:p>
    <w:p>
      <w:pPr>
        <w:autoSpaceDE w:val="0"/>
        <w:autoSpaceDN w:val="0"/>
        <w:spacing w:line="520" w:lineRule="exact"/>
        <w:ind w:firstLine="480"/>
        <w:rPr>
          <w:rFonts w:hAnsi="宋体"/>
          <w:color w:val="auto"/>
          <w:highlight w:val="none"/>
        </w:rPr>
      </w:pPr>
      <w:r>
        <w:rPr>
          <w:rFonts w:hint="eastAsia" w:hAnsi="宋体"/>
          <w:color w:val="auto"/>
          <w:highlight w:val="none"/>
        </w:rPr>
        <w:t>为了防止雷电波侵入，在电源进线终端杆上设避雷器。避雷器的接地装置为人工接地体。杆上所有的金属构件均应可靠接地。在杆的基础处敷设一条-40×4的扁钢，埋设深度0.8m，作为人工接地体，其接地电阻不大于10</w:t>
      </w:r>
      <w:r>
        <w:rPr>
          <w:rFonts w:hAnsi="宋体"/>
          <w:color w:val="auto"/>
          <w:highlight w:val="none"/>
        </w:rPr>
        <w:t>Ω</w:t>
      </w:r>
      <w:r>
        <w:rPr>
          <w:rFonts w:hint="eastAsia" w:hAnsi="宋体"/>
          <w:color w:val="auto"/>
          <w:highlight w:val="none"/>
        </w:rPr>
        <w:t>，否则应再延长接地体或加装垂直接地极，直至满足要求。</w:t>
      </w:r>
    </w:p>
    <w:p>
      <w:pPr>
        <w:ind w:firstLine="480"/>
        <w:rPr>
          <w:color w:val="auto"/>
          <w:highlight w:val="none"/>
        </w:rPr>
      </w:pPr>
    </w:p>
    <w:p>
      <w:pPr>
        <w:widowControl/>
        <w:spacing w:line="240" w:lineRule="auto"/>
        <w:ind w:firstLine="0" w:firstLineChars="0"/>
        <w:jc w:val="left"/>
        <w:rPr>
          <w:color w:val="auto"/>
          <w:highlight w:val="none"/>
        </w:rPr>
      </w:pPr>
      <w:r>
        <w:rPr>
          <w:color w:val="auto"/>
          <w:highlight w:val="none"/>
        </w:rPr>
        <w:br w:type="page"/>
      </w:r>
    </w:p>
    <w:p>
      <w:pPr>
        <w:pStyle w:val="2"/>
        <w:rPr>
          <w:color w:val="auto"/>
          <w:highlight w:val="none"/>
        </w:rPr>
      </w:pPr>
      <w:bookmarkStart w:id="96" w:name="_Toc27707"/>
      <w:r>
        <w:rPr>
          <w:rFonts w:hint="eastAsia"/>
          <w:color w:val="auto"/>
          <w:highlight w:val="none"/>
        </w:rPr>
        <w:t>7消防设计</w:t>
      </w:r>
      <w:bookmarkEnd w:id="96"/>
    </w:p>
    <w:p>
      <w:pPr>
        <w:pStyle w:val="3"/>
        <w:rPr>
          <w:color w:val="auto"/>
          <w:highlight w:val="none"/>
        </w:rPr>
      </w:pPr>
      <w:bookmarkStart w:id="97" w:name="_Toc1691871"/>
      <w:bookmarkStart w:id="98" w:name="_Toc17734714"/>
      <w:bookmarkStart w:id="99" w:name="_Toc23774"/>
      <w:bookmarkStart w:id="100" w:name="_Toc27340"/>
      <w:r>
        <w:rPr>
          <w:rFonts w:hint="eastAsia"/>
          <w:color w:val="auto"/>
          <w:highlight w:val="none"/>
        </w:rPr>
        <w:t>7</w:t>
      </w:r>
      <w:r>
        <w:rPr>
          <w:color w:val="auto"/>
          <w:highlight w:val="none"/>
        </w:rPr>
        <w:t>.1概述</w:t>
      </w:r>
      <w:bookmarkEnd w:id="97"/>
      <w:bookmarkEnd w:id="98"/>
      <w:bookmarkEnd w:id="99"/>
      <w:bookmarkEnd w:id="100"/>
    </w:p>
    <w:p>
      <w:pPr>
        <w:pStyle w:val="4"/>
        <w:rPr>
          <w:color w:val="auto"/>
          <w:highlight w:val="none"/>
        </w:rPr>
      </w:pPr>
      <w:bookmarkStart w:id="101" w:name="_Toc9632"/>
      <w:r>
        <w:rPr>
          <w:rFonts w:hint="eastAsia"/>
          <w:color w:val="auto"/>
          <w:highlight w:val="none"/>
        </w:rPr>
        <w:t>7</w:t>
      </w:r>
      <w:r>
        <w:rPr>
          <w:color w:val="auto"/>
          <w:highlight w:val="none"/>
        </w:rPr>
        <w:t>.1.1工程概况</w:t>
      </w:r>
      <w:bookmarkEnd w:id="101"/>
    </w:p>
    <w:p>
      <w:pPr>
        <w:ind w:firstLine="480"/>
        <w:rPr>
          <w:color w:val="auto"/>
          <w:highlight w:val="none"/>
        </w:rPr>
      </w:pPr>
      <w:bookmarkStart w:id="102" w:name="_Toc119"/>
      <w:r>
        <w:rPr>
          <w:color w:val="auto"/>
          <w:highlight w:val="none"/>
        </w:rPr>
        <w:t>为满足枣庄市峄城区</w:t>
      </w:r>
      <w:r>
        <w:rPr>
          <w:rFonts w:hint="eastAsia"/>
          <w:color w:val="auto"/>
          <w:highlight w:val="none"/>
        </w:rPr>
        <w:t>城乡居民</w:t>
      </w:r>
      <w:r>
        <w:rPr>
          <w:color w:val="auto"/>
          <w:highlight w:val="none"/>
        </w:rPr>
        <w:t>用水需求，</w:t>
      </w:r>
      <w:r>
        <w:rPr>
          <w:rFonts w:hint="eastAsia"/>
          <w:color w:val="auto"/>
          <w:highlight w:val="none"/>
        </w:rPr>
        <w:t>实现峄城区供水一体化，</w:t>
      </w:r>
      <w:r>
        <w:rPr>
          <w:color w:val="auto"/>
          <w:highlight w:val="none"/>
        </w:rPr>
        <w:t>峄城区</w:t>
      </w:r>
      <w:r>
        <w:rPr>
          <w:rFonts w:hint="eastAsia"/>
          <w:color w:val="auto"/>
          <w:highlight w:val="none"/>
        </w:rPr>
        <w:t>拟从</w:t>
      </w:r>
      <w:r>
        <w:rPr>
          <w:color w:val="auto"/>
          <w:highlight w:val="none"/>
        </w:rPr>
        <w:t>南四湖取水</w:t>
      </w:r>
      <w:r>
        <w:rPr>
          <w:rFonts w:hint="eastAsia"/>
          <w:color w:val="auto"/>
          <w:highlight w:val="none"/>
        </w:rPr>
        <w:t>，</w:t>
      </w:r>
      <w:r>
        <w:rPr>
          <w:color w:val="auto"/>
          <w:highlight w:val="none"/>
        </w:rPr>
        <w:t xml:space="preserve">采用南四湖地表水作为供水水源， </w:t>
      </w:r>
      <w:r>
        <w:rPr>
          <w:rFonts w:hint="eastAsia"/>
          <w:color w:val="auto"/>
          <w:highlight w:val="none"/>
        </w:rPr>
        <w:t>在</w:t>
      </w:r>
      <w:r>
        <w:rPr>
          <w:color w:val="auto"/>
          <w:highlight w:val="none"/>
        </w:rPr>
        <w:t>胜利灌区</w:t>
      </w:r>
      <w:r>
        <w:rPr>
          <w:rFonts w:hint="eastAsia"/>
          <w:color w:val="auto"/>
          <w:highlight w:val="none"/>
        </w:rPr>
        <w:t>渠首闸设</w:t>
      </w:r>
      <w:r>
        <w:rPr>
          <w:color w:val="auto"/>
          <w:highlight w:val="none"/>
        </w:rPr>
        <w:t>取水口将南四湖下级湖水通过加压泵站和输水管道调入龙泉庄水库，再由龙泉庄水库通过加压泵站和输水管道调入各自来水厂，自来水厂对调入的客水通过净水工艺流程后，沿输配水管网输送到各用水户。</w:t>
      </w:r>
    </w:p>
    <w:p>
      <w:pPr>
        <w:ind w:firstLine="480"/>
        <w:rPr>
          <w:color w:val="auto"/>
          <w:highlight w:val="none"/>
        </w:rPr>
      </w:pPr>
      <w:r>
        <w:rPr>
          <w:rFonts w:hint="eastAsia"/>
          <w:color w:val="auto"/>
          <w:highlight w:val="none"/>
        </w:rPr>
        <w:t>为满足枣庄市峄城区城乡生产、生活及河道生态用水需求，实现峄城区水务一体化，峄城区在已规划实施的贾庄节制闸灌区节水配套改造项目的基础上进行延伸，在已建渠道与左庄沙河交叉处设分水闸，对左庄沙河进行补水，同时对左庄沙河分水闸至前香屯段、前香屯南至新沟河（东支）段进行护砌，渠道与河道交叉处设分水口，连通左庄沙河、大刘庄河、新沟河、拉沟河，适时对河道进行生态补水。</w:t>
      </w:r>
    </w:p>
    <w:p>
      <w:pPr>
        <w:ind w:firstLine="480"/>
        <w:rPr>
          <w:rFonts w:cs="Times New Roman"/>
          <w:color w:val="auto"/>
          <w:highlight w:val="none"/>
        </w:rPr>
      </w:pPr>
      <w:r>
        <w:rPr>
          <w:rFonts w:hint="eastAsia" w:cs="Times New Roman"/>
          <w:color w:val="auto"/>
          <w:highlight w:val="none"/>
        </w:rPr>
        <w:t>在圈里村西新建提升泵站，调水管线沿村村通道路向北铺设，途经圈里、魏楼、邱家庄、倪堂、王家庄至刘庄水库，管道全长6.9km；在前进桥处向东沿S234省道铺设分水管线，全长5.2km，在途经拉沟河、陶沟河处设分水口，对河道进行适时生态补水。</w:t>
      </w:r>
    </w:p>
    <w:p>
      <w:pPr>
        <w:pStyle w:val="4"/>
        <w:rPr>
          <w:color w:val="auto"/>
          <w:highlight w:val="none"/>
        </w:rPr>
      </w:pPr>
      <w:r>
        <w:rPr>
          <w:rFonts w:hint="eastAsia"/>
          <w:color w:val="auto"/>
          <w:highlight w:val="none"/>
        </w:rPr>
        <w:t>7</w:t>
      </w:r>
      <w:r>
        <w:rPr>
          <w:color w:val="auto"/>
          <w:highlight w:val="none"/>
        </w:rPr>
        <w:t>.1.2消防设计依据和设计原则</w:t>
      </w:r>
      <w:bookmarkEnd w:id="102"/>
    </w:p>
    <w:p>
      <w:pPr>
        <w:ind w:firstLine="480"/>
        <w:rPr>
          <w:color w:val="auto"/>
          <w:highlight w:val="none"/>
        </w:rPr>
      </w:pPr>
      <w:r>
        <w:rPr>
          <w:color w:val="auto"/>
          <w:highlight w:val="none"/>
        </w:rPr>
        <w:t>1、设计依据</w:t>
      </w:r>
    </w:p>
    <w:p>
      <w:pPr>
        <w:ind w:firstLine="480"/>
        <w:rPr>
          <w:color w:val="auto"/>
          <w:highlight w:val="none"/>
        </w:rPr>
      </w:pPr>
      <w:r>
        <w:rPr>
          <w:color w:val="auto"/>
          <w:highlight w:val="none"/>
        </w:rPr>
        <w:t>（1）《水利水电工程初步设计报告编制规程》（SL619-2013）；</w:t>
      </w:r>
    </w:p>
    <w:p>
      <w:pPr>
        <w:ind w:firstLine="480"/>
        <w:rPr>
          <w:color w:val="auto"/>
          <w:highlight w:val="none"/>
        </w:rPr>
      </w:pPr>
      <w:r>
        <w:rPr>
          <w:color w:val="auto"/>
          <w:highlight w:val="none"/>
        </w:rPr>
        <w:t>（2）《水电工程设计防火规范》（GB50872-2014）；</w:t>
      </w:r>
    </w:p>
    <w:p>
      <w:pPr>
        <w:ind w:firstLine="480"/>
        <w:rPr>
          <w:color w:val="auto"/>
          <w:highlight w:val="none"/>
        </w:rPr>
      </w:pPr>
      <w:r>
        <w:rPr>
          <w:color w:val="auto"/>
          <w:highlight w:val="none"/>
        </w:rPr>
        <w:t>（3）《建筑设计防火规范》（GB50016-2014）；</w:t>
      </w:r>
    </w:p>
    <w:p>
      <w:pPr>
        <w:ind w:firstLine="480"/>
        <w:rPr>
          <w:color w:val="auto"/>
          <w:highlight w:val="none"/>
        </w:rPr>
      </w:pPr>
      <w:r>
        <w:rPr>
          <w:color w:val="auto"/>
          <w:highlight w:val="none"/>
        </w:rPr>
        <w:t>（4）《建筑灭火器配置设计规范》（GB50140-2005）；</w:t>
      </w:r>
    </w:p>
    <w:p>
      <w:pPr>
        <w:ind w:firstLine="480"/>
        <w:rPr>
          <w:color w:val="auto"/>
          <w:highlight w:val="none"/>
        </w:rPr>
      </w:pPr>
      <w:r>
        <w:rPr>
          <w:color w:val="auto"/>
          <w:highlight w:val="none"/>
        </w:rPr>
        <w:t>（5）其他国家有关消防设计的规范。</w:t>
      </w:r>
    </w:p>
    <w:p>
      <w:pPr>
        <w:ind w:firstLine="480"/>
        <w:rPr>
          <w:color w:val="auto"/>
          <w:highlight w:val="none"/>
        </w:rPr>
      </w:pPr>
      <w:r>
        <w:rPr>
          <w:color w:val="auto"/>
          <w:highlight w:val="none"/>
        </w:rPr>
        <w:t>2、设计原则</w:t>
      </w:r>
    </w:p>
    <w:p>
      <w:pPr>
        <w:ind w:firstLine="480"/>
        <w:rPr>
          <w:color w:val="auto"/>
          <w:highlight w:val="none"/>
        </w:rPr>
      </w:pPr>
      <w:r>
        <w:rPr>
          <w:color w:val="auto"/>
          <w:highlight w:val="none"/>
        </w:rPr>
        <w:t>建筑防火设计遵循国家的有关安全、环保、节能、节地、节水、节材等经济技术政策和工程建设的基本要求，贯彻“预防为主，防消结合”工作方针，从全局出发，统筹兼顾，正确处理生产和安全的关系，积极采用行之有效的防火技术，做到安全适用、技术先进、使用方便、经济合理。</w:t>
      </w:r>
    </w:p>
    <w:p>
      <w:pPr>
        <w:pStyle w:val="3"/>
        <w:rPr>
          <w:color w:val="auto"/>
          <w:highlight w:val="none"/>
        </w:rPr>
      </w:pPr>
      <w:bookmarkStart w:id="103" w:name="_Toc17734715"/>
      <w:bookmarkStart w:id="104" w:name="_Toc31738"/>
      <w:r>
        <w:rPr>
          <w:rFonts w:hint="eastAsia"/>
          <w:color w:val="auto"/>
          <w:highlight w:val="none"/>
        </w:rPr>
        <w:t>7</w:t>
      </w:r>
      <w:r>
        <w:rPr>
          <w:color w:val="auto"/>
          <w:highlight w:val="none"/>
        </w:rPr>
        <w:t>.2消防总体布置</w:t>
      </w:r>
      <w:bookmarkEnd w:id="103"/>
      <w:bookmarkEnd w:id="104"/>
    </w:p>
    <w:p>
      <w:pPr>
        <w:ind w:firstLine="480"/>
        <w:rPr>
          <w:color w:val="auto"/>
          <w:highlight w:val="none"/>
        </w:rPr>
      </w:pPr>
      <w:r>
        <w:rPr>
          <w:rFonts w:hint="eastAsia"/>
          <w:color w:val="auto"/>
          <w:highlight w:val="none"/>
        </w:rPr>
        <w:t>加压泵站、净水厂主副厂房</w:t>
      </w:r>
      <w:r>
        <w:rPr>
          <w:color w:val="auto"/>
          <w:highlight w:val="none"/>
        </w:rPr>
        <w:t>及管理设施等。</w:t>
      </w:r>
    </w:p>
    <w:p>
      <w:pPr>
        <w:pStyle w:val="3"/>
        <w:rPr>
          <w:color w:val="auto"/>
          <w:highlight w:val="none"/>
        </w:rPr>
      </w:pPr>
      <w:bookmarkStart w:id="105" w:name="_Toc17734716"/>
      <w:bookmarkStart w:id="106" w:name="_Toc1691872"/>
      <w:bookmarkStart w:id="107" w:name="_Toc7355"/>
      <w:r>
        <w:rPr>
          <w:rFonts w:hint="eastAsia"/>
          <w:color w:val="auto"/>
          <w:highlight w:val="none"/>
        </w:rPr>
        <w:t>7</w:t>
      </w:r>
      <w:r>
        <w:rPr>
          <w:color w:val="auto"/>
          <w:highlight w:val="none"/>
        </w:rPr>
        <w:t>.3建筑物消防设计</w:t>
      </w:r>
      <w:bookmarkEnd w:id="105"/>
      <w:bookmarkEnd w:id="106"/>
      <w:bookmarkEnd w:id="107"/>
    </w:p>
    <w:p>
      <w:pPr>
        <w:pStyle w:val="4"/>
        <w:rPr>
          <w:color w:val="auto"/>
          <w:highlight w:val="none"/>
        </w:rPr>
      </w:pPr>
      <w:r>
        <w:rPr>
          <w:rFonts w:hint="eastAsia"/>
          <w:color w:val="auto"/>
          <w:highlight w:val="none"/>
        </w:rPr>
        <w:t>7</w:t>
      </w:r>
      <w:r>
        <w:rPr>
          <w:color w:val="auto"/>
          <w:highlight w:val="none"/>
        </w:rPr>
        <w:t>.3.1建筑物生产的火灾危险性分类和耐火等级</w:t>
      </w:r>
    </w:p>
    <w:p>
      <w:pPr>
        <w:ind w:firstLine="480"/>
        <w:rPr>
          <w:color w:val="auto"/>
          <w:highlight w:val="none"/>
        </w:rPr>
      </w:pPr>
      <w:r>
        <w:rPr>
          <w:color w:val="auto"/>
          <w:highlight w:val="none"/>
        </w:rPr>
        <w:t>1、火灾危险性分类</w:t>
      </w:r>
    </w:p>
    <w:p>
      <w:pPr>
        <w:ind w:firstLine="480"/>
        <w:rPr>
          <w:color w:val="auto"/>
          <w:highlight w:val="none"/>
        </w:rPr>
      </w:pPr>
      <w:r>
        <w:rPr>
          <w:color w:val="auto"/>
          <w:highlight w:val="none"/>
        </w:rPr>
        <w:t>根据《水电工程设计防火规范》（GB50872-2014）规定，主、副厂房（发电机室）、值班室、等建筑火灾危险性丁类。</w:t>
      </w:r>
    </w:p>
    <w:p>
      <w:pPr>
        <w:ind w:firstLine="480"/>
        <w:rPr>
          <w:color w:val="auto"/>
          <w:highlight w:val="none"/>
        </w:rPr>
      </w:pPr>
      <w:r>
        <w:rPr>
          <w:color w:val="auto"/>
          <w:highlight w:val="none"/>
        </w:rPr>
        <w:t>2、耐火等级</w:t>
      </w:r>
    </w:p>
    <w:p>
      <w:pPr>
        <w:ind w:firstLine="480"/>
        <w:rPr>
          <w:color w:val="auto"/>
          <w:highlight w:val="none"/>
        </w:rPr>
      </w:pPr>
      <w:r>
        <w:rPr>
          <w:color w:val="auto"/>
          <w:highlight w:val="none"/>
        </w:rPr>
        <w:t>主副厂房的耐火等级为2级。</w:t>
      </w:r>
    </w:p>
    <w:p>
      <w:pPr>
        <w:pStyle w:val="4"/>
        <w:rPr>
          <w:color w:val="auto"/>
          <w:highlight w:val="none"/>
        </w:rPr>
      </w:pPr>
      <w:r>
        <w:rPr>
          <w:rFonts w:hint="eastAsia"/>
          <w:color w:val="auto"/>
          <w:highlight w:val="none"/>
        </w:rPr>
        <w:t>7</w:t>
      </w:r>
      <w:r>
        <w:rPr>
          <w:color w:val="auto"/>
          <w:highlight w:val="none"/>
        </w:rPr>
        <w:t>.3.2疏散通道布置</w:t>
      </w:r>
    </w:p>
    <w:p>
      <w:pPr>
        <w:ind w:firstLine="480"/>
        <w:rPr>
          <w:color w:val="auto"/>
          <w:highlight w:val="none"/>
        </w:rPr>
      </w:pPr>
      <w:r>
        <w:rPr>
          <w:color w:val="auto"/>
          <w:highlight w:val="none"/>
        </w:rPr>
        <w:t>泵站主副厂房总建筑面积159.70</w:t>
      </w:r>
      <w:r>
        <w:rPr>
          <w:rFonts w:hint="eastAsia"/>
          <w:color w:val="auto"/>
          <w:highlight w:val="none"/>
        </w:rPr>
        <w:t>m</w:t>
      </w:r>
      <w:r>
        <w:rPr>
          <w:color w:val="auto"/>
          <w:highlight w:val="none"/>
          <w:vertAlign w:val="superscript"/>
        </w:rPr>
        <w:t>2</w:t>
      </w:r>
      <w:r>
        <w:rPr>
          <w:color w:val="auto"/>
          <w:highlight w:val="none"/>
        </w:rPr>
        <w:t>，地上一层，层高4.80</w:t>
      </w:r>
      <w:r>
        <w:rPr>
          <w:rFonts w:hint="eastAsia"/>
          <w:color w:val="auto"/>
          <w:highlight w:val="none"/>
        </w:rPr>
        <w:t>m</w:t>
      </w:r>
      <w:r>
        <w:rPr>
          <w:color w:val="auto"/>
          <w:highlight w:val="none"/>
        </w:rPr>
        <w:t>，室内外高差0.45</w:t>
      </w:r>
      <w:r>
        <w:rPr>
          <w:rFonts w:hint="eastAsia"/>
          <w:color w:val="auto"/>
          <w:highlight w:val="none"/>
        </w:rPr>
        <w:t>m</w:t>
      </w:r>
      <w:r>
        <w:rPr>
          <w:color w:val="auto"/>
          <w:highlight w:val="none"/>
        </w:rPr>
        <w:t>，建筑总高度6.95</w:t>
      </w:r>
      <w:r>
        <w:rPr>
          <w:rFonts w:hint="eastAsia"/>
          <w:color w:val="auto"/>
          <w:highlight w:val="none"/>
        </w:rPr>
        <w:t>m</w:t>
      </w:r>
      <w:r>
        <w:rPr>
          <w:color w:val="auto"/>
          <w:highlight w:val="none"/>
        </w:rPr>
        <w:t>，建筑火灾危害等级为丁类，安全出口3处满足《建筑设计防火规范》（GB50016-2014）的要求。</w:t>
      </w:r>
    </w:p>
    <w:p>
      <w:pPr>
        <w:pStyle w:val="4"/>
        <w:rPr>
          <w:color w:val="auto"/>
          <w:highlight w:val="none"/>
        </w:rPr>
      </w:pPr>
      <w:r>
        <w:rPr>
          <w:rFonts w:hint="eastAsia"/>
          <w:color w:val="auto"/>
          <w:highlight w:val="none"/>
        </w:rPr>
        <w:t>7</w:t>
      </w:r>
      <w:r>
        <w:rPr>
          <w:color w:val="auto"/>
          <w:highlight w:val="none"/>
        </w:rPr>
        <w:t>.3.3防火设计方案及灭火设施</w:t>
      </w:r>
    </w:p>
    <w:p>
      <w:pPr>
        <w:ind w:firstLine="480"/>
        <w:rPr>
          <w:color w:val="auto"/>
          <w:highlight w:val="none"/>
        </w:rPr>
      </w:pPr>
      <w:r>
        <w:rPr>
          <w:color w:val="auto"/>
          <w:highlight w:val="none"/>
        </w:rPr>
        <w:t>主、副厂房（发电机室）根据《建筑灭火器配置设计规范》规定，柴油发电机室的火灾类型为A、B类，值班室和主厂房火灾类型为A类，配置场所的危险等级为工业建筑轻危险级，每具灭火器最小配置级别1A，最大保护面积100m²/A，灭火器最大保护距离为25m，每具灭火器剂充装量为4kg，灭火器选用MF/ABC4手提磷酸铵盐干粉灭火器，放置在灭火器箱里，主要配置见下表。</w:t>
      </w:r>
    </w:p>
    <w:p>
      <w:pPr>
        <w:spacing w:line="240" w:lineRule="auto"/>
        <w:ind w:firstLine="0" w:firstLineChars="0"/>
        <w:rPr>
          <w:b/>
          <w:bCs/>
          <w:color w:val="auto"/>
          <w:highlight w:val="none"/>
        </w:rPr>
      </w:pPr>
      <w:r>
        <w:rPr>
          <w:b/>
          <w:bCs/>
          <w:color w:val="auto"/>
          <w:highlight w:val="none"/>
        </w:rPr>
        <w:t>表</w:t>
      </w:r>
      <w:r>
        <w:rPr>
          <w:rFonts w:hint="eastAsia"/>
          <w:b/>
          <w:bCs/>
          <w:color w:val="auto"/>
          <w:highlight w:val="none"/>
        </w:rPr>
        <w:t>9</w:t>
      </w:r>
      <w:r>
        <w:rPr>
          <w:b/>
          <w:bCs/>
          <w:color w:val="auto"/>
          <w:highlight w:val="none"/>
        </w:rPr>
        <w:t>.3-1                消防工程量（干粉灭火器）</w:t>
      </w:r>
    </w:p>
    <w:tbl>
      <w:tblPr>
        <w:tblStyle w:val="142"/>
        <w:tblpPr w:leftFromText="180" w:rightFromText="180" w:vertAnchor="text" w:tblpY="1"/>
        <w:tblW w:w="842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1"/>
        <w:gridCol w:w="1610"/>
        <w:gridCol w:w="3356"/>
        <w:gridCol w:w="539"/>
        <w:gridCol w:w="939"/>
        <w:gridCol w:w="13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41" w:type="dxa"/>
            <w:vAlign w:val="center"/>
          </w:tcPr>
          <w:p>
            <w:pPr>
              <w:snapToGrid w:val="0"/>
              <w:spacing w:line="240" w:lineRule="auto"/>
              <w:ind w:firstLine="0" w:firstLineChars="0"/>
              <w:jc w:val="center"/>
              <w:rPr>
                <w:color w:val="auto"/>
                <w:sz w:val="20"/>
                <w:szCs w:val="20"/>
                <w:highlight w:val="none"/>
              </w:rPr>
            </w:pPr>
            <w:r>
              <w:rPr>
                <w:color w:val="auto"/>
                <w:sz w:val="20"/>
                <w:szCs w:val="20"/>
                <w:highlight w:val="none"/>
              </w:rPr>
              <w:t>序号</w:t>
            </w:r>
          </w:p>
        </w:tc>
        <w:tc>
          <w:tcPr>
            <w:tcW w:w="1610" w:type="dxa"/>
            <w:vAlign w:val="center"/>
          </w:tcPr>
          <w:p>
            <w:pPr>
              <w:snapToGrid w:val="0"/>
              <w:spacing w:line="240" w:lineRule="auto"/>
              <w:ind w:firstLine="0" w:firstLineChars="0"/>
              <w:jc w:val="center"/>
              <w:rPr>
                <w:color w:val="auto"/>
                <w:sz w:val="20"/>
                <w:szCs w:val="20"/>
                <w:highlight w:val="none"/>
              </w:rPr>
            </w:pPr>
            <w:r>
              <w:rPr>
                <w:color w:val="auto"/>
                <w:sz w:val="20"/>
                <w:szCs w:val="20"/>
                <w:highlight w:val="none"/>
              </w:rPr>
              <w:t>位置</w:t>
            </w:r>
          </w:p>
        </w:tc>
        <w:tc>
          <w:tcPr>
            <w:tcW w:w="3356" w:type="dxa"/>
            <w:vAlign w:val="center"/>
          </w:tcPr>
          <w:p>
            <w:pPr>
              <w:snapToGrid w:val="0"/>
              <w:spacing w:line="240" w:lineRule="auto"/>
              <w:ind w:firstLine="0" w:firstLineChars="0"/>
              <w:jc w:val="center"/>
              <w:rPr>
                <w:color w:val="auto"/>
                <w:sz w:val="20"/>
                <w:szCs w:val="20"/>
                <w:highlight w:val="none"/>
              </w:rPr>
            </w:pPr>
            <w:r>
              <w:rPr>
                <w:color w:val="auto"/>
                <w:sz w:val="20"/>
                <w:szCs w:val="20"/>
                <w:highlight w:val="none"/>
              </w:rPr>
              <w:t>名称及规格</w:t>
            </w:r>
          </w:p>
        </w:tc>
        <w:tc>
          <w:tcPr>
            <w:tcW w:w="539" w:type="dxa"/>
            <w:vAlign w:val="center"/>
          </w:tcPr>
          <w:p>
            <w:pPr>
              <w:snapToGrid w:val="0"/>
              <w:spacing w:line="240" w:lineRule="auto"/>
              <w:ind w:firstLine="0" w:firstLineChars="0"/>
              <w:jc w:val="center"/>
              <w:rPr>
                <w:color w:val="auto"/>
                <w:sz w:val="20"/>
                <w:szCs w:val="20"/>
                <w:highlight w:val="none"/>
              </w:rPr>
            </w:pPr>
            <w:r>
              <w:rPr>
                <w:color w:val="auto"/>
                <w:sz w:val="20"/>
                <w:szCs w:val="20"/>
                <w:highlight w:val="none"/>
              </w:rPr>
              <w:t>单位</w:t>
            </w:r>
          </w:p>
        </w:tc>
        <w:tc>
          <w:tcPr>
            <w:tcW w:w="939" w:type="dxa"/>
            <w:vAlign w:val="center"/>
          </w:tcPr>
          <w:p>
            <w:pPr>
              <w:snapToGrid w:val="0"/>
              <w:spacing w:line="240" w:lineRule="auto"/>
              <w:ind w:firstLine="0" w:firstLineChars="0"/>
              <w:jc w:val="center"/>
              <w:rPr>
                <w:color w:val="auto"/>
                <w:sz w:val="20"/>
                <w:szCs w:val="20"/>
                <w:highlight w:val="none"/>
              </w:rPr>
            </w:pPr>
            <w:r>
              <w:rPr>
                <w:color w:val="auto"/>
                <w:sz w:val="20"/>
                <w:szCs w:val="20"/>
                <w:highlight w:val="none"/>
              </w:rPr>
              <w:t>数量</w:t>
            </w:r>
          </w:p>
        </w:tc>
        <w:tc>
          <w:tcPr>
            <w:tcW w:w="1342" w:type="dxa"/>
            <w:vAlign w:val="center"/>
          </w:tcPr>
          <w:p>
            <w:pPr>
              <w:snapToGrid w:val="0"/>
              <w:spacing w:line="240" w:lineRule="auto"/>
              <w:ind w:firstLine="0" w:firstLineChars="0"/>
              <w:jc w:val="center"/>
              <w:rPr>
                <w:color w:val="auto"/>
                <w:sz w:val="20"/>
                <w:szCs w:val="20"/>
                <w:highlight w:val="none"/>
              </w:rPr>
            </w:pPr>
            <w:r>
              <w:rPr>
                <w:color w:val="auto"/>
                <w:sz w:val="20"/>
                <w:szCs w:val="20"/>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41" w:type="dxa"/>
            <w:vAlign w:val="center"/>
          </w:tcPr>
          <w:p>
            <w:pPr>
              <w:snapToGrid w:val="0"/>
              <w:spacing w:line="240" w:lineRule="auto"/>
              <w:ind w:firstLine="0" w:firstLineChars="0"/>
              <w:jc w:val="center"/>
              <w:rPr>
                <w:color w:val="auto"/>
                <w:sz w:val="20"/>
                <w:szCs w:val="20"/>
                <w:highlight w:val="none"/>
              </w:rPr>
            </w:pPr>
            <w:r>
              <w:rPr>
                <w:color w:val="auto"/>
                <w:sz w:val="20"/>
                <w:szCs w:val="20"/>
                <w:highlight w:val="none"/>
              </w:rPr>
              <w:t>1</w:t>
            </w:r>
          </w:p>
        </w:tc>
        <w:tc>
          <w:tcPr>
            <w:tcW w:w="1610" w:type="dxa"/>
            <w:vAlign w:val="center"/>
          </w:tcPr>
          <w:p>
            <w:pPr>
              <w:snapToGrid w:val="0"/>
              <w:spacing w:line="240" w:lineRule="auto"/>
              <w:ind w:firstLine="0" w:firstLineChars="0"/>
              <w:jc w:val="center"/>
              <w:rPr>
                <w:color w:val="auto"/>
                <w:sz w:val="20"/>
                <w:szCs w:val="20"/>
                <w:highlight w:val="none"/>
              </w:rPr>
            </w:pPr>
            <w:r>
              <w:rPr>
                <w:color w:val="auto"/>
                <w:sz w:val="20"/>
                <w:szCs w:val="20"/>
                <w:highlight w:val="none"/>
              </w:rPr>
              <w:t>主、副厂房</w:t>
            </w:r>
          </w:p>
        </w:tc>
        <w:tc>
          <w:tcPr>
            <w:tcW w:w="3356" w:type="dxa"/>
            <w:vMerge w:val="restart"/>
            <w:vAlign w:val="center"/>
          </w:tcPr>
          <w:p>
            <w:pPr>
              <w:snapToGrid w:val="0"/>
              <w:spacing w:line="240" w:lineRule="auto"/>
              <w:ind w:firstLine="0" w:firstLineChars="0"/>
              <w:jc w:val="center"/>
              <w:rPr>
                <w:color w:val="auto"/>
                <w:sz w:val="20"/>
                <w:szCs w:val="20"/>
                <w:highlight w:val="none"/>
              </w:rPr>
            </w:pPr>
            <w:r>
              <w:rPr>
                <w:color w:val="auto"/>
                <w:sz w:val="20"/>
                <w:szCs w:val="20"/>
                <w:highlight w:val="none"/>
              </w:rPr>
              <w:t>MF/ABC4手提磷酸铵盐粉灭火器</w:t>
            </w:r>
          </w:p>
        </w:tc>
        <w:tc>
          <w:tcPr>
            <w:tcW w:w="539" w:type="dxa"/>
            <w:vAlign w:val="center"/>
          </w:tcPr>
          <w:p>
            <w:pPr>
              <w:snapToGrid w:val="0"/>
              <w:spacing w:line="240" w:lineRule="auto"/>
              <w:ind w:firstLine="0" w:firstLineChars="0"/>
              <w:jc w:val="center"/>
              <w:rPr>
                <w:color w:val="auto"/>
                <w:sz w:val="20"/>
                <w:szCs w:val="20"/>
                <w:highlight w:val="none"/>
              </w:rPr>
            </w:pPr>
            <w:r>
              <w:rPr>
                <w:color w:val="auto"/>
                <w:sz w:val="20"/>
                <w:szCs w:val="20"/>
                <w:highlight w:val="none"/>
              </w:rPr>
              <w:t>具</w:t>
            </w:r>
          </w:p>
        </w:tc>
        <w:tc>
          <w:tcPr>
            <w:tcW w:w="939" w:type="dxa"/>
            <w:vAlign w:val="center"/>
          </w:tcPr>
          <w:p>
            <w:pPr>
              <w:snapToGrid w:val="0"/>
              <w:spacing w:line="240" w:lineRule="auto"/>
              <w:ind w:firstLine="0" w:firstLineChars="0"/>
              <w:jc w:val="center"/>
              <w:rPr>
                <w:color w:val="auto"/>
                <w:sz w:val="20"/>
                <w:szCs w:val="20"/>
                <w:highlight w:val="none"/>
              </w:rPr>
            </w:pPr>
            <w:r>
              <w:rPr>
                <w:color w:val="auto"/>
                <w:sz w:val="20"/>
                <w:szCs w:val="20"/>
                <w:highlight w:val="none"/>
              </w:rPr>
              <w:t>2</w:t>
            </w:r>
          </w:p>
        </w:tc>
        <w:tc>
          <w:tcPr>
            <w:tcW w:w="1342" w:type="dxa"/>
            <w:vMerge w:val="restart"/>
            <w:vAlign w:val="center"/>
          </w:tcPr>
          <w:p>
            <w:pPr>
              <w:snapToGrid w:val="0"/>
              <w:spacing w:line="240" w:lineRule="auto"/>
              <w:ind w:firstLine="0" w:firstLineChars="0"/>
              <w:jc w:val="center"/>
              <w:rPr>
                <w:color w:val="auto"/>
                <w:sz w:val="20"/>
                <w:szCs w:val="20"/>
                <w:highlight w:val="none"/>
              </w:rPr>
            </w:pPr>
            <w:r>
              <w:rPr>
                <w:color w:val="auto"/>
                <w:sz w:val="20"/>
                <w:szCs w:val="20"/>
                <w:highlight w:val="none"/>
              </w:rPr>
              <w:t>每具充装量为4kg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41" w:type="dxa"/>
            <w:vAlign w:val="center"/>
          </w:tcPr>
          <w:p>
            <w:pPr>
              <w:snapToGrid w:val="0"/>
              <w:spacing w:line="240" w:lineRule="auto"/>
              <w:ind w:firstLine="0" w:firstLineChars="0"/>
              <w:jc w:val="center"/>
              <w:rPr>
                <w:color w:val="auto"/>
                <w:sz w:val="20"/>
                <w:szCs w:val="20"/>
                <w:highlight w:val="none"/>
              </w:rPr>
            </w:pPr>
            <w:r>
              <w:rPr>
                <w:color w:val="auto"/>
                <w:sz w:val="20"/>
                <w:szCs w:val="20"/>
                <w:highlight w:val="none"/>
              </w:rPr>
              <w:t>2</w:t>
            </w:r>
          </w:p>
        </w:tc>
        <w:tc>
          <w:tcPr>
            <w:tcW w:w="1610" w:type="dxa"/>
            <w:vAlign w:val="center"/>
          </w:tcPr>
          <w:p>
            <w:pPr>
              <w:snapToGrid w:val="0"/>
              <w:spacing w:line="240" w:lineRule="auto"/>
              <w:ind w:firstLine="0" w:firstLineChars="0"/>
              <w:jc w:val="center"/>
              <w:rPr>
                <w:color w:val="auto"/>
                <w:sz w:val="20"/>
                <w:szCs w:val="20"/>
                <w:highlight w:val="none"/>
              </w:rPr>
            </w:pPr>
            <w:r>
              <w:rPr>
                <w:color w:val="auto"/>
                <w:sz w:val="20"/>
                <w:szCs w:val="20"/>
                <w:highlight w:val="none"/>
              </w:rPr>
              <w:t>值班室</w:t>
            </w:r>
          </w:p>
        </w:tc>
        <w:tc>
          <w:tcPr>
            <w:tcW w:w="3356" w:type="dxa"/>
            <w:vMerge w:val="continue"/>
            <w:vAlign w:val="center"/>
          </w:tcPr>
          <w:p>
            <w:pPr>
              <w:snapToGrid w:val="0"/>
              <w:spacing w:line="240" w:lineRule="auto"/>
              <w:ind w:firstLine="0" w:firstLineChars="0"/>
              <w:jc w:val="center"/>
              <w:rPr>
                <w:color w:val="auto"/>
                <w:sz w:val="20"/>
                <w:szCs w:val="20"/>
                <w:highlight w:val="none"/>
              </w:rPr>
            </w:pPr>
          </w:p>
        </w:tc>
        <w:tc>
          <w:tcPr>
            <w:tcW w:w="539" w:type="dxa"/>
            <w:vAlign w:val="center"/>
          </w:tcPr>
          <w:p>
            <w:pPr>
              <w:snapToGrid w:val="0"/>
              <w:spacing w:line="240" w:lineRule="auto"/>
              <w:ind w:firstLine="0" w:firstLineChars="0"/>
              <w:jc w:val="center"/>
              <w:rPr>
                <w:color w:val="auto"/>
                <w:sz w:val="20"/>
                <w:szCs w:val="20"/>
                <w:highlight w:val="none"/>
              </w:rPr>
            </w:pPr>
            <w:r>
              <w:rPr>
                <w:color w:val="auto"/>
                <w:sz w:val="20"/>
                <w:szCs w:val="20"/>
                <w:highlight w:val="none"/>
              </w:rPr>
              <w:t>具</w:t>
            </w:r>
          </w:p>
        </w:tc>
        <w:tc>
          <w:tcPr>
            <w:tcW w:w="939" w:type="dxa"/>
            <w:vAlign w:val="center"/>
          </w:tcPr>
          <w:p>
            <w:pPr>
              <w:snapToGrid w:val="0"/>
              <w:spacing w:line="240" w:lineRule="auto"/>
              <w:ind w:firstLine="0" w:firstLineChars="0"/>
              <w:jc w:val="center"/>
              <w:rPr>
                <w:color w:val="auto"/>
                <w:sz w:val="20"/>
                <w:szCs w:val="20"/>
                <w:highlight w:val="none"/>
              </w:rPr>
            </w:pPr>
            <w:r>
              <w:rPr>
                <w:color w:val="auto"/>
                <w:sz w:val="20"/>
                <w:szCs w:val="20"/>
                <w:highlight w:val="none"/>
              </w:rPr>
              <w:t>2</w:t>
            </w:r>
          </w:p>
        </w:tc>
        <w:tc>
          <w:tcPr>
            <w:tcW w:w="1342" w:type="dxa"/>
            <w:vMerge w:val="continue"/>
            <w:vAlign w:val="center"/>
          </w:tcPr>
          <w:p>
            <w:pPr>
              <w:snapToGrid w:val="0"/>
              <w:spacing w:line="240" w:lineRule="auto"/>
              <w:ind w:firstLine="0" w:firstLineChars="0"/>
              <w:jc w:val="center"/>
              <w:rPr>
                <w:color w:val="auto"/>
                <w:sz w:val="20"/>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41" w:type="dxa"/>
            <w:vAlign w:val="center"/>
          </w:tcPr>
          <w:p>
            <w:pPr>
              <w:snapToGrid w:val="0"/>
              <w:spacing w:line="240" w:lineRule="auto"/>
              <w:ind w:firstLine="0" w:firstLineChars="0"/>
              <w:jc w:val="center"/>
              <w:rPr>
                <w:color w:val="auto"/>
                <w:sz w:val="20"/>
                <w:szCs w:val="20"/>
                <w:highlight w:val="none"/>
              </w:rPr>
            </w:pPr>
            <w:r>
              <w:rPr>
                <w:color w:val="auto"/>
                <w:sz w:val="20"/>
                <w:szCs w:val="20"/>
                <w:highlight w:val="none"/>
              </w:rPr>
              <w:t>3</w:t>
            </w:r>
          </w:p>
        </w:tc>
        <w:tc>
          <w:tcPr>
            <w:tcW w:w="1610" w:type="dxa"/>
            <w:vAlign w:val="center"/>
          </w:tcPr>
          <w:p>
            <w:pPr>
              <w:snapToGrid w:val="0"/>
              <w:spacing w:line="240" w:lineRule="auto"/>
              <w:ind w:firstLine="0" w:firstLineChars="0"/>
              <w:jc w:val="center"/>
              <w:rPr>
                <w:color w:val="auto"/>
                <w:sz w:val="20"/>
                <w:szCs w:val="20"/>
                <w:highlight w:val="none"/>
              </w:rPr>
            </w:pPr>
            <w:r>
              <w:rPr>
                <w:color w:val="auto"/>
                <w:sz w:val="20"/>
                <w:szCs w:val="20"/>
                <w:highlight w:val="none"/>
              </w:rPr>
              <w:t>发电机室</w:t>
            </w:r>
          </w:p>
        </w:tc>
        <w:tc>
          <w:tcPr>
            <w:tcW w:w="3356" w:type="dxa"/>
            <w:vMerge w:val="continue"/>
            <w:vAlign w:val="center"/>
          </w:tcPr>
          <w:p>
            <w:pPr>
              <w:snapToGrid w:val="0"/>
              <w:spacing w:line="240" w:lineRule="auto"/>
              <w:ind w:firstLine="0" w:firstLineChars="0"/>
              <w:jc w:val="center"/>
              <w:rPr>
                <w:color w:val="auto"/>
                <w:sz w:val="20"/>
                <w:szCs w:val="20"/>
                <w:highlight w:val="none"/>
              </w:rPr>
            </w:pPr>
          </w:p>
        </w:tc>
        <w:tc>
          <w:tcPr>
            <w:tcW w:w="539" w:type="dxa"/>
            <w:vAlign w:val="center"/>
          </w:tcPr>
          <w:p>
            <w:pPr>
              <w:snapToGrid w:val="0"/>
              <w:spacing w:line="240" w:lineRule="auto"/>
              <w:ind w:firstLine="0" w:firstLineChars="0"/>
              <w:jc w:val="center"/>
              <w:rPr>
                <w:color w:val="auto"/>
                <w:sz w:val="20"/>
                <w:szCs w:val="20"/>
                <w:highlight w:val="none"/>
              </w:rPr>
            </w:pPr>
            <w:r>
              <w:rPr>
                <w:color w:val="auto"/>
                <w:sz w:val="20"/>
                <w:szCs w:val="20"/>
                <w:highlight w:val="none"/>
              </w:rPr>
              <w:t>具</w:t>
            </w:r>
          </w:p>
        </w:tc>
        <w:tc>
          <w:tcPr>
            <w:tcW w:w="939" w:type="dxa"/>
            <w:vAlign w:val="center"/>
          </w:tcPr>
          <w:p>
            <w:pPr>
              <w:snapToGrid w:val="0"/>
              <w:spacing w:line="240" w:lineRule="auto"/>
              <w:ind w:firstLine="0" w:firstLineChars="0"/>
              <w:jc w:val="center"/>
              <w:rPr>
                <w:color w:val="auto"/>
                <w:sz w:val="20"/>
                <w:szCs w:val="20"/>
                <w:highlight w:val="none"/>
              </w:rPr>
            </w:pPr>
            <w:r>
              <w:rPr>
                <w:color w:val="auto"/>
                <w:sz w:val="20"/>
                <w:szCs w:val="20"/>
                <w:highlight w:val="none"/>
              </w:rPr>
              <w:t>1</w:t>
            </w:r>
          </w:p>
        </w:tc>
        <w:tc>
          <w:tcPr>
            <w:tcW w:w="1342" w:type="dxa"/>
            <w:vMerge w:val="continue"/>
            <w:vAlign w:val="center"/>
          </w:tcPr>
          <w:p>
            <w:pPr>
              <w:snapToGrid w:val="0"/>
              <w:spacing w:line="240" w:lineRule="auto"/>
              <w:ind w:firstLine="0" w:firstLineChars="0"/>
              <w:jc w:val="center"/>
              <w:rPr>
                <w:color w:val="auto"/>
                <w:sz w:val="20"/>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51" w:type="dxa"/>
            <w:gridSpan w:val="2"/>
            <w:vAlign w:val="center"/>
          </w:tcPr>
          <w:p>
            <w:pPr>
              <w:snapToGrid w:val="0"/>
              <w:spacing w:line="240" w:lineRule="auto"/>
              <w:ind w:firstLine="0" w:firstLineChars="0"/>
              <w:jc w:val="center"/>
              <w:rPr>
                <w:b/>
                <w:color w:val="auto"/>
                <w:sz w:val="20"/>
                <w:szCs w:val="20"/>
                <w:highlight w:val="none"/>
              </w:rPr>
            </w:pPr>
            <w:r>
              <w:rPr>
                <w:b/>
                <w:color w:val="auto"/>
                <w:sz w:val="20"/>
                <w:szCs w:val="20"/>
                <w:highlight w:val="none"/>
              </w:rPr>
              <w:t>合计</w:t>
            </w:r>
          </w:p>
        </w:tc>
        <w:tc>
          <w:tcPr>
            <w:tcW w:w="3356" w:type="dxa"/>
            <w:vMerge w:val="continue"/>
            <w:vAlign w:val="center"/>
          </w:tcPr>
          <w:p>
            <w:pPr>
              <w:snapToGrid w:val="0"/>
              <w:spacing w:line="240" w:lineRule="auto"/>
              <w:ind w:firstLine="0" w:firstLineChars="0"/>
              <w:jc w:val="center"/>
              <w:rPr>
                <w:color w:val="auto"/>
                <w:sz w:val="20"/>
                <w:szCs w:val="20"/>
                <w:highlight w:val="none"/>
              </w:rPr>
            </w:pPr>
          </w:p>
        </w:tc>
        <w:tc>
          <w:tcPr>
            <w:tcW w:w="539" w:type="dxa"/>
            <w:vAlign w:val="center"/>
          </w:tcPr>
          <w:p>
            <w:pPr>
              <w:snapToGrid w:val="0"/>
              <w:spacing w:line="240" w:lineRule="auto"/>
              <w:ind w:firstLine="0" w:firstLineChars="0"/>
              <w:jc w:val="center"/>
              <w:rPr>
                <w:b/>
                <w:color w:val="auto"/>
                <w:sz w:val="20"/>
                <w:szCs w:val="20"/>
                <w:highlight w:val="none"/>
              </w:rPr>
            </w:pPr>
            <w:r>
              <w:rPr>
                <w:b/>
                <w:color w:val="auto"/>
                <w:sz w:val="20"/>
                <w:szCs w:val="20"/>
                <w:highlight w:val="none"/>
              </w:rPr>
              <w:t>具</w:t>
            </w:r>
          </w:p>
        </w:tc>
        <w:tc>
          <w:tcPr>
            <w:tcW w:w="939" w:type="dxa"/>
            <w:vAlign w:val="center"/>
          </w:tcPr>
          <w:p>
            <w:pPr>
              <w:snapToGrid w:val="0"/>
              <w:spacing w:line="240" w:lineRule="auto"/>
              <w:ind w:firstLine="0" w:firstLineChars="0"/>
              <w:jc w:val="center"/>
              <w:rPr>
                <w:b/>
                <w:color w:val="auto"/>
                <w:sz w:val="20"/>
                <w:szCs w:val="20"/>
                <w:highlight w:val="none"/>
              </w:rPr>
            </w:pPr>
            <w:r>
              <w:rPr>
                <w:b/>
                <w:color w:val="auto"/>
                <w:sz w:val="20"/>
                <w:szCs w:val="20"/>
                <w:highlight w:val="none"/>
              </w:rPr>
              <w:t>5</w:t>
            </w:r>
          </w:p>
        </w:tc>
        <w:tc>
          <w:tcPr>
            <w:tcW w:w="1342" w:type="dxa"/>
            <w:vMerge w:val="continue"/>
            <w:vAlign w:val="center"/>
          </w:tcPr>
          <w:p>
            <w:pPr>
              <w:snapToGrid w:val="0"/>
              <w:spacing w:line="240" w:lineRule="auto"/>
              <w:ind w:firstLine="0" w:firstLineChars="0"/>
              <w:jc w:val="center"/>
              <w:rPr>
                <w:color w:val="auto"/>
                <w:sz w:val="20"/>
                <w:szCs w:val="20"/>
                <w:highlight w:val="none"/>
              </w:rPr>
            </w:pPr>
          </w:p>
        </w:tc>
      </w:tr>
    </w:tbl>
    <w:p>
      <w:pPr>
        <w:pStyle w:val="3"/>
        <w:rPr>
          <w:color w:val="auto"/>
          <w:highlight w:val="none"/>
        </w:rPr>
      </w:pPr>
      <w:bookmarkStart w:id="108" w:name="_Toc17734717"/>
      <w:bookmarkStart w:id="109" w:name="_Toc1691873"/>
      <w:bookmarkStart w:id="110" w:name="_Toc3273"/>
      <w:r>
        <w:rPr>
          <w:rFonts w:hint="eastAsia"/>
          <w:color w:val="auto"/>
          <w:highlight w:val="none"/>
        </w:rPr>
        <w:t>7</w:t>
      </w:r>
      <w:r>
        <w:rPr>
          <w:color w:val="auto"/>
          <w:highlight w:val="none"/>
        </w:rPr>
        <w:t>.4通风和防排烟</w:t>
      </w:r>
      <w:bookmarkEnd w:id="108"/>
      <w:bookmarkEnd w:id="109"/>
      <w:bookmarkEnd w:id="110"/>
    </w:p>
    <w:p>
      <w:pPr>
        <w:ind w:firstLine="480"/>
        <w:rPr>
          <w:color w:val="auto"/>
          <w:highlight w:val="none"/>
        </w:rPr>
      </w:pPr>
      <w:r>
        <w:rPr>
          <w:color w:val="auto"/>
          <w:highlight w:val="none"/>
        </w:rPr>
        <w:t>主、副厂房建筑物的通风和排烟，采用门、窗户自然通风。</w:t>
      </w:r>
    </w:p>
    <w:p>
      <w:pPr>
        <w:pStyle w:val="3"/>
        <w:rPr>
          <w:color w:val="auto"/>
          <w:highlight w:val="none"/>
        </w:rPr>
      </w:pPr>
      <w:bookmarkStart w:id="111" w:name="_Toc1691874"/>
      <w:bookmarkStart w:id="112" w:name="_Toc27667"/>
      <w:bookmarkStart w:id="113" w:name="_Toc17734718"/>
      <w:bookmarkStart w:id="114" w:name="_Toc6170"/>
      <w:r>
        <w:rPr>
          <w:rFonts w:hint="eastAsia"/>
          <w:color w:val="auto"/>
          <w:highlight w:val="none"/>
        </w:rPr>
        <w:t>7</w:t>
      </w:r>
      <w:r>
        <w:rPr>
          <w:color w:val="auto"/>
          <w:highlight w:val="none"/>
        </w:rPr>
        <w:t>.5机电设备消防设计</w:t>
      </w:r>
      <w:bookmarkEnd w:id="111"/>
      <w:bookmarkEnd w:id="112"/>
      <w:bookmarkEnd w:id="113"/>
      <w:bookmarkEnd w:id="114"/>
    </w:p>
    <w:p>
      <w:pPr>
        <w:ind w:firstLine="480"/>
        <w:rPr>
          <w:color w:val="auto"/>
          <w:highlight w:val="none"/>
        </w:rPr>
      </w:pPr>
      <w:r>
        <w:rPr>
          <w:color w:val="auto"/>
          <w:highlight w:val="none"/>
        </w:rPr>
        <w:t>坝主、副厂房建筑物，根据《建筑灭火器配置设计规范》规定，火灾类别为A类，建筑属工业中危险级，故配置基准为2A，最大保护面积75m</w:t>
      </w:r>
      <w:r>
        <w:rPr>
          <w:color w:val="auto"/>
          <w:highlight w:val="none"/>
          <w:vertAlign w:val="superscript"/>
        </w:rPr>
        <w:t>2</w:t>
      </w:r>
      <w:r>
        <w:rPr>
          <w:color w:val="auto"/>
          <w:highlight w:val="none"/>
        </w:rPr>
        <w:t>，每具灭火器剂充装量为4kg，灭火器选用MF/ABC4手提磷酸铵盐干粉灭火器，放在灭火器箱内。</w:t>
      </w:r>
    </w:p>
    <w:p>
      <w:pPr>
        <w:ind w:firstLine="480"/>
        <w:rPr>
          <w:color w:val="auto"/>
          <w:highlight w:val="none"/>
        </w:rPr>
      </w:pPr>
      <w:r>
        <w:rPr>
          <w:color w:val="auto"/>
          <w:highlight w:val="none"/>
        </w:rPr>
        <w:t>在值班室、主副厂房均布2处，每处设2具灭火器，发电机室布置1处，共5具。</w:t>
      </w:r>
    </w:p>
    <w:p>
      <w:pPr>
        <w:pStyle w:val="3"/>
        <w:rPr>
          <w:color w:val="auto"/>
          <w:highlight w:val="none"/>
        </w:rPr>
      </w:pPr>
      <w:bookmarkStart w:id="115" w:name="_Toc22301"/>
      <w:bookmarkStart w:id="116" w:name="_Toc17734719"/>
      <w:bookmarkStart w:id="117" w:name="_Toc1691875"/>
      <w:bookmarkStart w:id="118" w:name="_Toc11368"/>
      <w:r>
        <w:rPr>
          <w:rFonts w:hint="eastAsia"/>
          <w:color w:val="auto"/>
          <w:highlight w:val="none"/>
        </w:rPr>
        <w:t>7</w:t>
      </w:r>
      <w:r>
        <w:rPr>
          <w:color w:val="auto"/>
          <w:highlight w:val="none"/>
        </w:rPr>
        <w:t>.6消防电气</w:t>
      </w:r>
      <w:bookmarkEnd w:id="115"/>
      <w:bookmarkEnd w:id="116"/>
      <w:bookmarkEnd w:id="117"/>
      <w:bookmarkEnd w:id="118"/>
    </w:p>
    <w:p>
      <w:pPr>
        <w:ind w:firstLine="480"/>
        <w:rPr>
          <w:color w:val="auto"/>
          <w:highlight w:val="none"/>
        </w:rPr>
      </w:pPr>
      <w:r>
        <w:rPr>
          <w:color w:val="auto"/>
          <w:highlight w:val="none"/>
        </w:rPr>
        <w:t>按有关防火规范要求，主要机电设备及场所的消防设计如下：变压器及0.4kV配电装置均采用无油设备。配电室长度超过7m，均设置两个及以上安全出口防火门。厂房对外的管沟、孔洞用非燃材料堵塞。线缆分层布置。穿越楼板、隔墙等的孔洞以及电缆沟道盖板的缝隙处均采用防火包封堵。</w:t>
      </w:r>
    </w:p>
    <w:p>
      <w:pPr>
        <w:widowControl/>
        <w:spacing w:line="240" w:lineRule="auto"/>
        <w:ind w:firstLine="0" w:firstLineChars="0"/>
        <w:jc w:val="left"/>
        <w:rPr>
          <w:b/>
          <w:bCs/>
          <w:color w:val="auto"/>
          <w:kern w:val="44"/>
          <w:sz w:val="32"/>
          <w:szCs w:val="44"/>
          <w:highlight w:val="none"/>
        </w:rPr>
      </w:pPr>
      <w:r>
        <w:rPr>
          <w:color w:val="auto"/>
          <w:highlight w:val="none"/>
        </w:rPr>
        <w:br w:type="page"/>
      </w:r>
    </w:p>
    <w:p>
      <w:pPr>
        <w:pStyle w:val="2"/>
        <w:rPr>
          <w:color w:val="auto"/>
          <w:highlight w:val="none"/>
        </w:rPr>
      </w:pPr>
      <w:bookmarkStart w:id="119" w:name="_Toc12971"/>
      <w:r>
        <w:rPr>
          <w:rFonts w:hint="eastAsia"/>
          <w:color w:val="auto"/>
          <w:highlight w:val="none"/>
        </w:rPr>
        <w:t>8施工组织设计</w:t>
      </w:r>
      <w:bookmarkEnd w:id="119"/>
    </w:p>
    <w:p>
      <w:pPr>
        <w:pStyle w:val="3"/>
        <w:rPr>
          <w:color w:val="auto"/>
          <w:highlight w:val="none"/>
        </w:rPr>
      </w:pPr>
      <w:bookmarkStart w:id="120" w:name="_Toc25738"/>
      <w:r>
        <w:rPr>
          <w:rFonts w:hint="eastAsia"/>
          <w:color w:val="auto"/>
          <w:highlight w:val="none"/>
        </w:rPr>
        <w:t>8.1施工条件</w:t>
      </w:r>
      <w:bookmarkEnd w:id="120"/>
    </w:p>
    <w:p>
      <w:pPr>
        <w:pStyle w:val="4"/>
        <w:rPr>
          <w:color w:val="auto"/>
          <w:highlight w:val="none"/>
        </w:rPr>
      </w:pPr>
      <w:r>
        <w:rPr>
          <w:rFonts w:hint="eastAsia"/>
          <w:color w:val="auto"/>
          <w:highlight w:val="none"/>
        </w:rPr>
        <w:t>8.1.1气象条件</w:t>
      </w:r>
    </w:p>
    <w:p>
      <w:pPr>
        <w:ind w:firstLine="480"/>
        <w:rPr>
          <w:color w:val="auto"/>
          <w:highlight w:val="none"/>
        </w:rPr>
      </w:pPr>
      <w:r>
        <w:rPr>
          <w:rFonts w:hint="eastAsia"/>
          <w:color w:val="auto"/>
          <w:highlight w:val="none"/>
        </w:rPr>
        <w:t>该流域属暖温带季风性气候区，具有四季分明、变化显著的特点。春秋季干燥少雨，夏季炎热多雨，冬季寒冷干燥；最大年降水量1237mm，最小年降水量487mm，76％降水量集中在6～9 月份。多年平均气温13.5℃，极端最高气温40℃，极端最低气温-20℃。</w:t>
      </w:r>
    </w:p>
    <w:p>
      <w:pPr>
        <w:ind w:firstLine="480"/>
        <w:rPr>
          <w:color w:val="auto"/>
          <w:highlight w:val="none"/>
        </w:rPr>
      </w:pPr>
      <w:r>
        <w:rPr>
          <w:rFonts w:hint="eastAsia"/>
          <w:color w:val="auto"/>
          <w:highlight w:val="none"/>
        </w:rPr>
        <w:t>降水量年际变化较大，年内分配也不均匀，降水主要集中在6～9月，暴雨则多发生在7～8月；多年平均降水量815mm，多年平均最大24小时降雨量117mm，多年平均最大风速14.9m/s。</w:t>
      </w:r>
    </w:p>
    <w:p>
      <w:pPr>
        <w:ind w:firstLine="480"/>
        <w:rPr>
          <w:color w:val="auto"/>
          <w:highlight w:val="none"/>
        </w:rPr>
      </w:pPr>
      <w:r>
        <w:rPr>
          <w:rFonts w:hint="eastAsia"/>
          <w:color w:val="auto"/>
          <w:highlight w:val="none"/>
        </w:rPr>
        <w:t>根据我省有关规定，12月1日至次年3月3日为冬季施工期，该期间混凝土工程和浆砌工程应采取保温措施，应考虑在混凝土及砂浆拌合过程中添加适量混凝土防冻剂，以增强其抗冻性能，在6月以后应加强雨季施工措施，注意物料防潮、防湿及施工导流安全。</w:t>
      </w:r>
    </w:p>
    <w:p>
      <w:pPr>
        <w:pStyle w:val="4"/>
        <w:rPr>
          <w:color w:val="auto"/>
          <w:highlight w:val="none"/>
        </w:rPr>
      </w:pPr>
      <w:r>
        <w:rPr>
          <w:rFonts w:hint="eastAsia"/>
          <w:color w:val="auto"/>
          <w:highlight w:val="none"/>
        </w:rPr>
        <w:t>8.1.2水文及地质条件</w:t>
      </w:r>
    </w:p>
    <w:p>
      <w:pPr>
        <w:ind w:firstLine="480"/>
        <w:rPr>
          <w:color w:val="auto"/>
          <w:highlight w:val="none"/>
        </w:rPr>
      </w:pPr>
      <w:r>
        <w:rPr>
          <w:rFonts w:hint="eastAsia"/>
          <w:color w:val="auto"/>
          <w:highlight w:val="none"/>
        </w:rPr>
        <w:t>本项目所在区域大面积为第四系松散层覆盖，下伏古生界寒武系下寒武统（1∈）页岩、灰岩，揭露的区域水文地质条件简单。地下水主要为松散堆积物孔隙水及基岩岩溶裂隙水两种类型。场地内浅层地下水及地表水对混凝土均无腐蚀性，对钢筋混凝土结构中的钢筋均无腐蚀性，场地内地下水、地表水对钢结构均具弱腐蚀性。</w:t>
      </w:r>
    </w:p>
    <w:p>
      <w:pPr>
        <w:pStyle w:val="4"/>
        <w:rPr>
          <w:color w:val="auto"/>
          <w:highlight w:val="none"/>
        </w:rPr>
      </w:pPr>
      <w:r>
        <w:rPr>
          <w:rFonts w:hint="eastAsia"/>
          <w:color w:val="auto"/>
          <w:highlight w:val="none"/>
        </w:rPr>
        <w:t>8.1.3交通条件</w:t>
      </w:r>
    </w:p>
    <w:p>
      <w:pPr>
        <w:ind w:firstLine="480"/>
        <w:rPr>
          <w:color w:val="auto"/>
          <w:highlight w:val="none"/>
        </w:rPr>
      </w:pPr>
      <w:r>
        <w:rPr>
          <w:rFonts w:hint="eastAsia"/>
          <w:color w:val="auto"/>
          <w:highlight w:val="none"/>
        </w:rPr>
        <w:t>本工程区内交通发达，北靠352省道，东靠244省道，西有206国道，南临薛泥公路，加上纵横交错的县乡级公路构成了四通八达的公路交通网。</w:t>
      </w:r>
    </w:p>
    <w:p>
      <w:pPr>
        <w:ind w:firstLine="480"/>
        <w:rPr>
          <w:color w:val="auto"/>
          <w:highlight w:val="none"/>
        </w:rPr>
      </w:pPr>
      <w:r>
        <w:rPr>
          <w:rFonts w:hint="eastAsia"/>
          <w:color w:val="auto"/>
          <w:highlight w:val="none"/>
        </w:rPr>
        <w:t>场内交通：施工交通充分利用现有交通通道。</w:t>
      </w:r>
    </w:p>
    <w:p>
      <w:pPr>
        <w:pStyle w:val="4"/>
        <w:rPr>
          <w:color w:val="auto"/>
          <w:highlight w:val="none"/>
        </w:rPr>
      </w:pPr>
      <w:r>
        <w:rPr>
          <w:rFonts w:hint="eastAsia"/>
          <w:color w:val="auto"/>
          <w:highlight w:val="none"/>
        </w:rPr>
        <w:t>8.1.4水电条件</w:t>
      </w:r>
    </w:p>
    <w:p>
      <w:pPr>
        <w:ind w:firstLine="480"/>
        <w:rPr>
          <w:color w:val="auto"/>
          <w:highlight w:val="none"/>
        </w:rPr>
      </w:pPr>
      <w:r>
        <w:rPr>
          <w:rFonts w:hint="eastAsia"/>
          <w:color w:val="auto"/>
          <w:highlight w:val="none"/>
        </w:rPr>
        <w:t>该工程沿线河水、地下水较丰富，水质好，开采便利，能满足生活与施工用水需求，工程用水包括生活用水、施工用水和消防用水三部分。村村通自来水工程已全面覆盖，生活用水可就近从村庄取水，施工用水采用水泵提取河槽的水来解决。</w:t>
      </w:r>
    </w:p>
    <w:p>
      <w:pPr>
        <w:ind w:firstLine="480"/>
        <w:rPr>
          <w:color w:val="auto"/>
          <w:highlight w:val="none"/>
        </w:rPr>
      </w:pPr>
      <w:r>
        <w:rPr>
          <w:rFonts w:hint="eastAsia"/>
          <w:color w:val="auto"/>
          <w:highlight w:val="none"/>
        </w:rPr>
        <w:t>工地临时房屋比较集中，均系简单房屋，从防火角度需设消防设备，主要物资仓库生活区附近增设消防蓄水池以确保安全。</w:t>
      </w:r>
    </w:p>
    <w:p>
      <w:pPr>
        <w:ind w:firstLine="480"/>
        <w:rPr>
          <w:color w:val="auto"/>
          <w:highlight w:val="none"/>
        </w:rPr>
      </w:pPr>
      <w:r>
        <w:rPr>
          <w:rFonts w:hint="eastAsia"/>
          <w:color w:val="auto"/>
          <w:highlight w:val="none"/>
        </w:rPr>
        <w:t>本工程主要用电负荷为场区照明、施工排水、机械修配、砼与砂浆拌制、钢木加工、砼垂直运输与浇筑、生活区用电等。</w:t>
      </w:r>
    </w:p>
    <w:p>
      <w:pPr>
        <w:ind w:firstLine="480"/>
        <w:rPr>
          <w:color w:val="auto"/>
          <w:highlight w:val="none"/>
        </w:rPr>
      </w:pPr>
      <w:r>
        <w:rPr>
          <w:rFonts w:hint="eastAsia"/>
          <w:color w:val="auto"/>
          <w:highlight w:val="none"/>
        </w:rPr>
        <w:t>开挖施工全部由油动机械承担，这些机械自备动力，不需电力供应。建筑物工程单一，且都为小型，用电量不大，施工用电可由施工单位自备柴油发电机供电，也可就近搭接电网供电。</w:t>
      </w:r>
    </w:p>
    <w:p>
      <w:pPr>
        <w:ind w:firstLine="480"/>
        <w:rPr>
          <w:color w:val="auto"/>
          <w:highlight w:val="none"/>
        </w:rPr>
      </w:pPr>
      <w:r>
        <w:rPr>
          <w:rFonts w:hint="eastAsia"/>
          <w:color w:val="auto"/>
          <w:highlight w:val="none"/>
        </w:rPr>
        <w:t>为了保证基坑排水、砼浇筑等特殊工序不间断用电需要，同时考虑到涵洞工程施工用电均为农用电，供电保证率较低，施工过程中应采用 1 台柴油发电机作为备用电源。</w:t>
      </w:r>
    </w:p>
    <w:p>
      <w:pPr>
        <w:pStyle w:val="4"/>
        <w:rPr>
          <w:color w:val="auto"/>
          <w:highlight w:val="none"/>
        </w:rPr>
      </w:pPr>
      <w:r>
        <w:rPr>
          <w:rFonts w:hint="eastAsia"/>
          <w:color w:val="auto"/>
          <w:highlight w:val="none"/>
        </w:rPr>
        <w:t>8.1.5建筑材料</w:t>
      </w:r>
    </w:p>
    <w:p>
      <w:pPr>
        <w:ind w:firstLine="480"/>
        <w:rPr>
          <w:color w:val="auto"/>
          <w:highlight w:val="none"/>
        </w:rPr>
      </w:pPr>
      <w:r>
        <w:rPr>
          <w:rFonts w:hint="eastAsia"/>
          <w:color w:val="auto"/>
          <w:highlight w:val="none"/>
        </w:rPr>
        <w:t>1、填筑土方</w:t>
      </w:r>
    </w:p>
    <w:p>
      <w:pPr>
        <w:ind w:firstLine="480"/>
        <w:rPr>
          <w:color w:val="auto"/>
          <w:highlight w:val="none"/>
        </w:rPr>
      </w:pPr>
      <w:r>
        <w:rPr>
          <w:rFonts w:hint="eastAsia"/>
          <w:color w:val="auto"/>
          <w:highlight w:val="none"/>
        </w:rPr>
        <w:t>本工程土方填筑工程主要包括堤防、管网敷设等工程的土方回填。所需填筑土料充分利用自身开挖土方，其质量能够满足填筑要求。</w:t>
      </w:r>
    </w:p>
    <w:p>
      <w:pPr>
        <w:ind w:firstLine="480"/>
        <w:rPr>
          <w:color w:val="auto"/>
          <w:highlight w:val="none"/>
        </w:rPr>
      </w:pPr>
      <w:r>
        <w:rPr>
          <w:rFonts w:hint="eastAsia"/>
          <w:color w:val="auto"/>
          <w:highlight w:val="none"/>
        </w:rPr>
        <w:t>2、块石料及砼骨料</w:t>
      </w:r>
    </w:p>
    <w:p>
      <w:pPr>
        <w:ind w:firstLine="480"/>
        <w:rPr>
          <w:color w:val="auto"/>
          <w:highlight w:val="none"/>
        </w:rPr>
      </w:pPr>
      <w:r>
        <w:rPr>
          <w:rFonts w:hint="eastAsia"/>
          <w:color w:val="auto"/>
          <w:highlight w:val="none"/>
        </w:rPr>
        <w:t>本段工程建筑物所需天然建筑材料需外购解决。砂料料场位于临沂市郯城县境内的沂河，运距较远，约80km，按平均运距80km计。毛、块石和碎石由峄城天柱山石料厂供应，平均运距约10km，以上料场均属Ⅰ类料场，储量丰富，交通便利，无论从储量还是从质量上，均能满足工程的需要。</w:t>
      </w:r>
    </w:p>
    <w:p>
      <w:pPr>
        <w:ind w:firstLine="480"/>
        <w:rPr>
          <w:color w:val="auto"/>
          <w:highlight w:val="none"/>
        </w:rPr>
      </w:pPr>
      <w:r>
        <w:rPr>
          <w:rFonts w:hint="eastAsia"/>
          <w:color w:val="auto"/>
          <w:highlight w:val="none"/>
        </w:rPr>
        <w:t>3、水泥及钢材</w:t>
      </w:r>
    </w:p>
    <w:p>
      <w:pPr>
        <w:ind w:firstLine="480"/>
        <w:rPr>
          <w:color w:val="auto"/>
          <w:highlight w:val="none"/>
        </w:rPr>
      </w:pPr>
      <w:r>
        <w:rPr>
          <w:rFonts w:hint="eastAsia"/>
          <w:color w:val="auto"/>
          <w:highlight w:val="none"/>
        </w:rPr>
        <w:t>工程所需水泥拟从枣庄市的中联水泥厂购买，该水泥厂规模较大，质量稳定，至施工现场平均运距约为15km。钢材采用济钢生产的Ⅰ、Ⅱ级国标钢材，木材用量较少，可在当地建材市场采购。</w:t>
      </w:r>
    </w:p>
    <w:p>
      <w:pPr>
        <w:pStyle w:val="3"/>
        <w:rPr>
          <w:color w:val="auto"/>
          <w:highlight w:val="none"/>
        </w:rPr>
      </w:pPr>
      <w:bookmarkStart w:id="121" w:name="_Toc5736"/>
      <w:r>
        <w:rPr>
          <w:rFonts w:hint="eastAsia"/>
          <w:color w:val="auto"/>
          <w:highlight w:val="none"/>
        </w:rPr>
        <w:t>8.2施工导流</w:t>
      </w:r>
      <w:bookmarkEnd w:id="121"/>
    </w:p>
    <w:p>
      <w:pPr>
        <w:pStyle w:val="4"/>
        <w:rPr>
          <w:color w:val="auto"/>
          <w:highlight w:val="none"/>
        </w:rPr>
      </w:pPr>
      <w:r>
        <w:rPr>
          <w:rFonts w:hint="eastAsia"/>
          <w:color w:val="auto"/>
          <w:highlight w:val="none"/>
        </w:rPr>
        <w:t>8.2.1施工期洪水标准</w:t>
      </w:r>
    </w:p>
    <w:p>
      <w:pPr>
        <w:ind w:firstLine="480"/>
        <w:rPr>
          <w:color w:val="auto"/>
          <w:highlight w:val="none"/>
        </w:rPr>
      </w:pPr>
      <w:r>
        <w:rPr>
          <w:rFonts w:hint="eastAsia"/>
          <w:color w:val="auto"/>
          <w:highlight w:val="none"/>
        </w:rPr>
        <w:t>根据《水利水电工程施工组织设计规范》（SL303-2004），确定施工导流洪水设计标准采用非汛期</w:t>
      </w:r>
      <w:r>
        <w:rPr>
          <w:color w:val="auto"/>
          <w:highlight w:val="none"/>
        </w:rPr>
        <w:t>5</w:t>
      </w:r>
      <w:r>
        <w:rPr>
          <w:rFonts w:hint="eastAsia"/>
          <w:color w:val="auto"/>
          <w:highlight w:val="none"/>
        </w:rPr>
        <w:t>年一遇。工程施工期间当遭遇超导流标准洪水时，应采取应急措施确保施工人员和机械设备安全。</w:t>
      </w:r>
    </w:p>
    <w:p>
      <w:pPr>
        <w:pStyle w:val="4"/>
        <w:rPr>
          <w:color w:val="auto"/>
          <w:highlight w:val="none"/>
        </w:rPr>
      </w:pPr>
      <w:r>
        <w:rPr>
          <w:rFonts w:hint="eastAsia"/>
          <w:color w:val="auto"/>
          <w:highlight w:val="none"/>
        </w:rPr>
        <w:t>8.2.2施工导流</w:t>
      </w:r>
    </w:p>
    <w:p>
      <w:pPr>
        <w:ind w:firstLine="480"/>
        <w:rPr>
          <w:color w:val="auto"/>
          <w:highlight w:val="none"/>
        </w:rPr>
      </w:pPr>
      <w:r>
        <w:rPr>
          <w:rFonts w:hint="eastAsia"/>
          <w:color w:val="auto"/>
          <w:highlight w:val="none"/>
        </w:rPr>
        <w:t>引水闸工程需设土围堰进行施工导流，主河槽疏浚扩挖和主河槽护岸工程应在非汛期施工，根据河道实际情况，分段实施，通过开挖明沟、水泵抽水等措施将工程区域内水排出。</w:t>
      </w:r>
    </w:p>
    <w:p>
      <w:pPr>
        <w:pStyle w:val="4"/>
        <w:rPr>
          <w:color w:val="auto"/>
          <w:highlight w:val="none"/>
        </w:rPr>
      </w:pPr>
      <w:r>
        <w:rPr>
          <w:rFonts w:hint="eastAsia"/>
          <w:color w:val="auto"/>
          <w:highlight w:val="none"/>
        </w:rPr>
        <w:t>8.2.3施工排水</w:t>
      </w:r>
    </w:p>
    <w:p>
      <w:pPr>
        <w:ind w:firstLine="480"/>
        <w:rPr>
          <w:color w:val="auto"/>
          <w:highlight w:val="none"/>
        </w:rPr>
      </w:pPr>
      <w:r>
        <w:rPr>
          <w:rFonts w:hint="eastAsia"/>
          <w:color w:val="auto"/>
          <w:highlight w:val="none"/>
        </w:rPr>
        <w:t>施工排水包括初期排水和经常性排水，初期排水主要在主河槽内开挖排水明沟，排水明沟内设集水井，用电动潜水泵将工程区域的水排出。经常性排水主要是引水闸工程基础及其他地面以下开挖所形成的积水，用电动潜水泵排除。</w:t>
      </w:r>
    </w:p>
    <w:p>
      <w:pPr>
        <w:pStyle w:val="3"/>
        <w:rPr>
          <w:color w:val="auto"/>
          <w:highlight w:val="none"/>
        </w:rPr>
      </w:pPr>
      <w:bookmarkStart w:id="122" w:name="_Toc10762"/>
      <w:r>
        <w:rPr>
          <w:rFonts w:hint="eastAsia"/>
          <w:color w:val="auto"/>
          <w:highlight w:val="none"/>
        </w:rPr>
        <w:t>8.3主体工程施工</w:t>
      </w:r>
      <w:bookmarkEnd w:id="122"/>
    </w:p>
    <w:p>
      <w:pPr>
        <w:pStyle w:val="4"/>
        <w:rPr>
          <w:color w:val="auto"/>
          <w:highlight w:val="none"/>
        </w:rPr>
      </w:pPr>
      <w:r>
        <w:rPr>
          <w:rFonts w:hint="eastAsia"/>
          <w:color w:val="auto"/>
          <w:highlight w:val="none"/>
        </w:rPr>
        <w:t>8.3.1堤防填筑工程</w:t>
      </w:r>
    </w:p>
    <w:p>
      <w:pPr>
        <w:pStyle w:val="5"/>
        <w:rPr>
          <w:color w:val="auto"/>
          <w:highlight w:val="none"/>
        </w:rPr>
      </w:pPr>
      <w:r>
        <w:rPr>
          <w:rFonts w:hint="eastAsia"/>
          <w:color w:val="auto"/>
          <w:highlight w:val="none"/>
        </w:rPr>
        <w:t>8.3.1.1施工放样</w:t>
      </w:r>
    </w:p>
    <w:p>
      <w:pPr>
        <w:ind w:firstLine="480"/>
        <w:rPr>
          <w:color w:val="auto"/>
          <w:highlight w:val="none"/>
        </w:rPr>
      </w:pPr>
      <w:r>
        <w:rPr>
          <w:rFonts w:hint="eastAsia"/>
          <w:color w:val="auto"/>
          <w:highlight w:val="none"/>
        </w:rPr>
        <w:t>1、施工放线</w:t>
      </w:r>
      <w:r>
        <w:rPr>
          <w:color w:val="auto"/>
          <w:highlight w:val="none"/>
        </w:rPr>
        <w:t>相对于邻近基本控制点，平面位置允许误差</w:t>
      </w:r>
      <w:r>
        <w:rPr>
          <w:rFonts w:hint="eastAsia"/>
          <w:color w:val="auto"/>
          <w:highlight w:val="none"/>
        </w:rPr>
        <w:t>±</w:t>
      </w:r>
      <w:r>
        <w:rPr>
          <w:color w:val="auto"/>
          <w:highlight w:val="none"/>
        </w:rPr>
        <w:t>30mm～</w:t>
      </w:r>
      <w:r>
        <w:rPr>
          <w:rFonts w:hint="eastAsia"/>
          <w:color w:val="auto"/>
          <w:highlight w:val="none"/>
        </w:rPr>
        <w:t>±</w:t>
      </w:r>
      <w:r>
        <w:rPr>
          <w:color w:val="auto"/>
          <w:highlight w:val="none"/>
        </w:rPr>
        <w:t>50mm，高程允许误差</w:t>
      </w:r>
      <w:r>
        <w:rPr>
          <w:rFonts w:hint="eastAsia"/>
          <w:color w:val="auto"/>
          <w:highlight w:val="none"/>
        </w:rPr>
        <w:t>±</w:t>
      </w:r>
      <w:r>
        <w:rPr>
          <w:color w:val="auto"/>
          <w:highlight w:val="none"/>
        </w:rPr>
        <w:t>30mm。</w:t>
      </w:r>
    </w:p>
    <w:p>
      <w:pPr>
        <w:ind w:firstLine="480"/>
        <w:rPr>
          <w:color w:val="auto"/>
          <w:highlight w:val="none"/>
        </w:rPr>
      </w:pPr>
      <w:r>
        <w:rPr>
          <w:color w:val="auto"/>
          <w:highlight w:val="none"/>
        </w:rPr>
        <w:t>2</w:t>
      </w:r>
      <w:r>
        <w:rPr>
          <w:rFonts w:hint="eastAsia"/>
          <w:color w:val="auto"/>
          <w:highlight w:val="none"/>
        </w:rPr>
        <w:t>、</w:t>
      </w:r>
      <w:r>
        <w:rPr>
          <w:color w:val="auto"/>
          <w:highlight w:val="none"/>
        </w:rPr>
        <w:t>堤防断面放样、立模、填筑轮廓，根据不同堤型相隔一定距离设立样架，其测点相对设计的限值误差，平面为</w:t>
      </w:r>
      <w:r>
        <w:rPr>
          <w:rFonts w:hint="eastAsia"/>
          <w:color w:val="auto"/>
          <w:highlight w:val="none"/>
        </w:rPr>
        <w:t>±</w:t>
      </w:r>
      <w:r>
        <w:rPr>
          <w:color w:val="auto"/>
          <w:highlight w:val="none"/>
        </w:rPr>
        <w:t>50mm，高程为</w:t>
      </w:r>
      <w:r>
        <w:rPr>
          <w:rFonts w:hint="eastAsia"/>
          <w:color w:val="auto"/>
          <w:highlight w:val="none"/>
        </w:rPr>
        <w:t>±</w:t>
      </w:r>
      <w:r>
        <w:rPr>
          <w:color w:val="auto"/>
          <w:highlight w:val="none"/>
        </w:rPr>
        <w:t>30mm，堤轴线点为</w:t>
      </w:r>
      <w:r>
        <w:rPr>
          <w:rFonts w:hint="eastAsia"/>
          <w:color w:val="auto"/>
          <w:highlight w:val="none"/>
        </w:rPr>
        <w:t>±</w:t>
      </w:r>
      <w:r>
        <w:rPr>
          <w:color w:val="auto"/>
          <w:highlight w:val="none"/>
        </w:rPr>
        <w:t>30mm。高程负值不得连续出现，并不得超过总测点的30％。</w:t>
      </w:r>
    </w:p>
    <w:p>
      <w:pPr>
        <w:ind w:firstLine="480"/>
        <w:rPr>
          <w:color w:val="auto"/>
          <w:highlight w:val="none"/>
        </w:rPr>
      </w:pPr>
      <w:r>
        <w:rPr>
          <w:color w:val="auto"/>
          <w:highlight w:val="none"/>
        </w:rPr>
        <w:t>3</w:t>
      </w:r>
      <w:r>
        <w:rPr>
          <w:rFonts w:hint="eastAsia"/>
          <w:color w:val="auto"/>
          <w:highlight w:val="none"/>
        </w:rPr>
        <w:t>、</w:t>
      </w:r>
      <w:r>
        <w:rPr>
          <w:color w:val="auto"/>
          <w:highlight w:val="none"/>
        </w:rPr>
        <w:t>堤防基线的永久标石、标架埋设必须牢固，施工中须严加保护，并及时检查维护，定时核查、校正。</w:t>
      </w:r>
    </w:p>
    <w:p>
      <w:pPr>
        <w:pStyle w:val="5"/>
        <w:rPr>
          <w:color w:val="auto"/>
          <w:highlight w:val="none"/>
        </w:rPr>
      </w:pPr>
      <w:r>
        <w:rPr>
          <w:rFonts w:hint="eastAsia"/>
          <w:color w:val="auto"/>
          <w:highlight w:val="none"/>
        </w:rPr>
        <w:t>8.3.1.2清基</w:t>
      </w:r>
    </w:p>
    <w:p>
      <w:pPr>
        <w:ind w:firstLine="480"/>
        <w:rPr>
          <w:color w:val="auto"/>
          <w:highlight w:val="none"/>
        </w:rPr>
      </w:pPr>
      <w:r>
        <w:rPr>
          <w:rFonts w:hint="eastAsia"/>
          <w:color w:val="auto"/>
          <w:highlight w:val="none"/>
        </w:rPr>
        <w:t>堤防填筑工程应根据现场情况，首先挖除老堤，对新筑堤防基础采用推土机进行清理。清基边界在设计基面边线外30</w:t>
      </w:r>
      <w:r>
        <w:rPr>
          <w:color w:val="auto"/>
          <w:highlight w:val="none"/>
        </w:rPr>
        <w:t>cm</w:t>
      </w:r>
      <w:r>
        <w:rPr>
          <w:rFonts w:hint="eastAsia"/>
          <w:color w:val="auto"/>
          <w:highlight w:val="none"/>
        </w:rPr>
        <w:t>，深度为50</w:t>
      </w:r>
      <w:r>
        <w:rPr>
          <w:color w:val="auto"/>
          <w:highlight w:val="none"/>
        </w:rPr>
        <w:t>cm</w:t>
      </w:r>
      <w:r>
        <w:rPr>
          <w:rFonts w:hint="eastAsia"/>
          <w:color w:val="auto"/>
          <w:highlight w:val="none"/>
        </w:rPr>
        <w:t>，基面的淤泥、腐殖土、泥炭土等不合格土和草皮、杂植土等杂物必须清除</w:t>
      </w:r>
      <w:r>
        <w:rPr>
          <w:rFonts w:hint="eastAsia"/>
          <w:color w:val="auto"/>
          <w:highlight w:val="none"/>
        </w:rPr>
        <w:drawing>
          <wp:anchor distT="0" distB="0" distL="114300" distR="114300" simplePos="0" relativeHeight="251660288" behindDoc="1" locked="1" layoutInCell="1" allowOverlap="1">
            <wp:simplePos x="0" y="0"/>
            <wp:positionH relativeFrom="column">
              <wp:posOffset>4635500</wp:posOffset>
            </wp:positionH>
            <wp:positionV relativeFrom="paragraph">
              <wp:posOffset>9474200</wp:posOffset>
            </wp:positionV>
            <wp:extent cx="1435100" cy="203200"/>
            <wp:effectExtent l="19050" t="0" r="0" b="0"/>
            <wp:wrapNone/>
            <wp:docPr id="156" name="图片 156"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108"/>
                    <pic:cNvPicPr>
                      <a:picLocks noChangeAspect="1" noChangeArrowheads="1"/>
                    </pic:cNvPicPr>
                  </pic:nvPicPr>
                  <pic:blipFill>
                    <a:blip r:embed="rId103" cstate="print"/>
                    <a:srcRect/>
                    <a:stretch>
                      <a:fillRect/>
                    </a:stretch>
                  </pic:blipFill>
                  <pic:spPr>
                    <a:xfrm>
                      <a:off x="0" y="0"/>
                      <a:ext cx="1435100" cy="203200"/>
                    </a:xfrm>
                    <a:prstGeom prst="rect">
                      <a:avLst/>
                    </a:prstGeom>
                    <a:noFill/>
                    <a:ln w="9525">
                      <a:noFill/>
                      <a:miter lim="800000"/>
                      <a:headEnd/>
                      <a:tailEnd/>
                    </a:ln>
                  </pic:spPr>
                </pic:pic>
              </a:graphicData>
            </a:graphic>
          </wp:anchor>
        </w:drawing>
      </w:r>
      <w:r>
        <w:rPr>
          <w:rFonts w:hint="eastAsia"/>
          <w:color w:val="auto"/>
          <w:highlight w:val="none"/>
        </w:rPr>
        <w:drawing>
          <wp:anchor distT="0" distB="0" distL="114300" distR="114300" simplePos="0" relativeHeight="251659264" behindDoc="1" locked="1" layoutInCell="1" allowOverlap="1">
            <wp:simplePos x="0" y="0"/>
            <wp:positionH relativeFrom="column">
              <wp:posOffset>2717800</wp:posOffset>
            </wp:positionH>
            <wp:positionV relativeFrom="paragraph">
              <wp:posOffset>7010400</wp:posOffset>
            </wp:positionV>
            <wp:extent cx="584200" cy="558800"/>
            <wp:effectExtent l="19050" t="0" r="6350" b="0"/>
            <wp:wrapNone/>
            <wp:docPr id="155" name="图片 155"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38"/>
                    <pic:cNvPicPr>
                      <a:picLocks noChangeAspect="1" noChangeArrowheads="1"/>
                    </pic:cNvPicPr>
                  </pic:nvPicPr>
                  <pic:blipFill>
                    <a:blip r:embed="rId104" cstate="print"/>
                    <a:srcRect/>
                    <a:stretch>
                      <a:fillRect/>
                    </a:stretch>
                  </pic:blipFill>
                  <pic:spPr>
                    <a:xfrm>
                      <a:off x="0" y="0"/>
                      <a:ext cx="584200" cy="558800"/>
                    </a:xfrm>
                    <a:prstGeom prst="rect">
                      <a:avLst/>
                    </a:prstGeom>
                    <a:noFill/>
                    <a:ln w="9525">
                      <a:noFill/>
                      <a:miter lim="800000"/>
                      <a:headEnd/>
                      <a:tailEnd/>
                    </a:ln>
                  </pic:spPr>
                </pic:pic>
              </a:graphicData>
            </a:graphic>
          </wp:anchor>
        </w:drawing>
      </w:r>
      <w:r>
        <w:rPr>
          <w:rFonts w:hint="eastAsia"/>
          <w:color w:val="auto"/>
          <w:highlight w:val="none"/>
        </w:rPr>
        <w:t>。清理土方就近堆放，优先作为堤防表层种植土使用。</w:t>
      </w:r>
    </w:p>
    <w:p>
      <w:pPr>
        <w:pStyle w:val="5"/>
        <w:rPr>
          <w:color w:val="auto"/>
          <w:highlight w:val="none"/>
        </w:rPr>
      </w:pPr>
      <w:r>
        <w:rPr>
          <w:rFonts w:hint="eastAsia"/>
          <w:color w:val="auto"/>
          <w:highlight w:val="none"/>
        </w:rPr>
        <w:t>8.3.1.3堤身填筑与砌筑</w:t>
      </w:r>
    </w:p>
    <w:p>
      <w:pPr>
        <w:ind w:firstLine="480"/>
        <w:rPr>
          <w:color w:val="auto"/>
          <w:highlight w:val="none"/>
        </w:rPr>
      </w:pPr>
      <w:r>
        <w:rPr>
          <w:rFonts w:hint="eastAsia"/>
          <w:color w:val="auto"/>
          <w:highlight w:val="none"/>
        </w:rPr>
        <w:t>堤心部分按设计的边线自下而上分层填筑，汽车运土采用进占法卸土，尽量避免重车重复碾压填土面。堤心以外部分粉砂填筑采用水沉法处理后，表面填筑一层30cm厚的种植土。</w:t>
      </w:r>
    </w:p>
    <w:p>
      <w:pPr>
        <w:pStyle w:val="5"/>
        <w:rPr>
          <w:color w:val="auto"/>
          <w:highlight w:val="none"/>
        </w:rPr>
      </w:pPr>
      <w:r>
        <w:rPr>
          <w:rFonts w:hint="eastAsia"/>
          <w:color w:val="auto"/>
          <w:highlight w:val="none"/>
        </w:rPr>
        <w:t>8.3.1.4堤防填筑相关要求</w:t>
      </w:r>
    </w:p>
    <w:p>
      <w:pPr>
        <w:ind w:firstLine="480"/>
        <w:rPr>
          <w:color w:val="auto"/>
          <w:highlight w:val="none"/>
        </w:rPr>
      </w:pPr>
      <w:r>
        <w:rPr>
          <w:rFonts w:hint="eastAsia"/>
          <w:color w:val="auto"/>
          <w:highlight w:val="none"/>
        </w:rPr>
        <w:t>1、填筑作业应符合下列要求：</w:t>
      </w:r>
    </w:p>
    <w:p>
      <w:pPr>
        <w:ind w:firstLine="480"/>
        <w:rPr>
          <w:color w:val="auto"/>
          <w:highlight w:val="none"/>
        </w:rPr>
      </w:pPr>
      <w:r>
        <w:rPr>
          <w:rFonts w:hint="eastAsia"/>
          <w:color w:val="auto"/>
          <w:highlight w:val="none"/>
        </w:rPr>
        <w:t>（1）地面起伏不平时，应按水平分层由低处开始逐层填筑，不得顺坡辅填；堤防横断面上的地面坡度陡于1:5时，应将地面坡度削至缓于1:5。</w:t>
      </w:r>
    </w:p>
    <w:p>
      <w:pPr>
        <w:ind w:firstLine="480"/>
        <w:rPr>
          <w:color w:val="auto"/>
          <w:highlight w:val="none"/>
        </w:rPr>
      </w:pPr>
      <w:r>
        <w:rPr>
          <w:rFonts w:hint="eastAsia"/>
          <w:color w:val="auto"/>
          <w:highlight w:val="none"/>
        </w:rPr>
        <w:t>（2）分段作业面的最小长度不应小于100m；人工施工时段长可适当减短。</w:t>
      </w:r>
    </w:p>
    <w:p>
      <w:pPr>
        <w:ind w:firstLine="480"/>
        <w:rPr>
          <w:color w:val="auto"/>
          <w:highlight w:val="none"/>
        </w:rPr>
      </w:pPr>
      <w:r>
        <w:rPr>
          <w:rFonts w:hint="eastAsia"/>
          <w:color w:val="auto"/>
          <w:highlight w:val="none"/>
        </w:rPr>
        <w:t>（4）作业面应分层统一铺土、统一碾压，并配备人员或平土机具参与整平作业，严禁出现界沟。</w:t>
      </w:r>
    </w:p>
    <w:p>
      <w:pPr>
        <w:ind w:firstLine="480"/>
        <w:rPr>
          <w:color w:val="auto"/>
          <w:highlight w:val="none"/>
        </w:rPr>
      </w:pPr>
      <w:r>
        <w:rPr>
          <w:rFonts w:hint="eastAsia"/>
          <w:color w:val="auto"/>
          <w:highlight w:val="none"/>
        </w:rPr>
        <w:t>（5）已铺土料表面在压实前被晒干时，应洒水湿润。</w:t>
      </w:r>
    </w:p>
    <w:p>
      <w:pPr>
        <w:ind w:firstLine="480"/>
        <w:rPr>
          <w:color w:val="auto"/>
          <w:highlight w:val="none"/>
        </w:rPr>
      </w:pPr>
      <w:r>
        <w:rPr>
          <w:rFonts w:hint="eastAsia"/>
          <w:color w:val="auto"/>
          <w:highlight w:val="none"/>
        </w:rPr>
        <w:t>（6）用光面碾磙压实粘性土填筑层，在新层辅料前，应对压光层面作刨毛处理。填筑层检验合格后因故未继续施工，因搁置较久或经过雨淋干湿交替使表面产生疏松层时，复工前应进行复压处理。</w:t>
      </w:r>
    </w:p>
    <w:p>
      <w:pPr>
        <w:ind w:firstLine="480"/>
        <w:rPr>
          <w:color w:val="auto"/>
          <w:highlight w:val="none"/>
        </w:rPr>
      </w:pPr>
      <w:r>
        <w:rPr>
          <w:rFonts w:hint="eastAsia"/>
          <w:color w:val="auto"/>
          <w:highlight w:val="none"/>
        </w:rPr>
        <w:t>2、铺料作业应符合下列要求：</w:t>
      </w:r>
    </w:p>
    <w:p>
      <w:pPr>
        <w:ind w:firstLine="480"/>
        <w:rPr>
          <w:color w:val="auto"/>
          <w:highlight w:val="none"/>
        </w:rPr>
      </w:pPr>
      <w:r>
        <w:rPr>
          <w:rFonts w:hint="eastAsia"/>
          <w:color w:val="auto"/>
          <w:highlight w:val="none"/>
        </w:rPr>
        <w:t>（1）应按设计要求将土料铺至规定部位，严禁将砂（砾）料或其他透水料与粘性土料混杂，上堤土料中的杂质应予清除；</w:t>
      </w:r>
    </w:p>
    <w:p>
      <w:pPr>
        <w:ind w:firstLine="480"/>
        <w:rPr>
          <w:color w:val="auto"/>
          <w:highlight w:val="none"/>
        </w:rPr>
      </w:pPr>
      <w:r>
        <w:rPr>
          <w:rFonts w:hint="eastAsia"/>
          <w:color w:val="auto"/>
          <w:highlight w:val="none"/>
        </w:rPr>
        <w:t>（2）辅料厚度和土块直径的限制尺寸，宜通过碾压试验确定；碾压试验可参照下表的取值；</w:t>
      </w:r>
    </w:p>
    <w:p>
      <w:pPr>
        <w:pStyle w:val="121"/>
        <w:spacing w:line="240" w:lineRule="auto"/>
        <w:ind w:firstLine="0" w:firstLineChars="0"/>
        <w:rPr>
          <w:rFonts w:cs="Times New Roman"/>
          <w:b/>
          <w:bCs/>
          <w:color w:val="auto"/>
          <w:highlight w:val="none"/>
        </w:rPr>
      </w:pPr>
      <w:r>
        <w:rPr>
          <w:rFonts w:cs="Times New Roman"/>
          <w:b/>
          <w:bCs/>
          <w:color w:val="auto"/>
          <w:szCs w:val="24"/>
          <w:highlight w:val="none"/>
        </w:rPr>
        <w:t>表</w:t>
      </w:r>
      <w:r>
        <w:rPr>
          <w:rFonts w:hint="eastAsia" w:cs="Times New Roman"/>
          <w:b/>
          <w:bCs/>
          <w:color w:val="auto"/>
          <w:szCs w:val="24"/>
          <w:highlight w:val="none"/>
        </w:rPr>
        <w:t>8</w:t>
      </w:r>
      <w:r>
        <w:rPr>
          <w:rFonts w:cs="Times New Roman"/>
          <w:b/>
          <w:bCs/>
          <w:color w:val="auto"/>
          <w:szCs w:val="24"/>
          <w:highlight w:val="none"/>
        </w:rPr>
        <w:t xml:space="preserve">-1    </w:t>
      </w:r>
      <w:r>
        <w:rPr>
          <w:rFonts w:hint="eastAsia" w:cs="Times New Roman"/>
          <w:b/>
          <w:bCs/>
          <w:color w:val="auto"/>
          <w:szCs w:val="24"/>
          <w:highlight w:val="none"/>
        </w:rPr>
        <w:t xml:space="preserve">                   </w:t>
      </w:r>
      <w:r>
        <w:rPr>
          <w:rFonts w:cs="Times New Roman"/>
          <w:b/>
          <w:bCs/>
          <w:color w:val="auto"/>
          <w:szCs w:val="24"/>
          <w:highlight w:val="none"/>
        </w:rPr>
        <w:t>铺料厚度与表</w:t>
      </w:r>
    </w:p>
    <w:tbl>
      <w:tblPr>
        <w:tblStyle w:val="33"/>
        <w:tblW w:w="4884"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90"/>
        <w:gridCol w:w="2078"/>
        <w:gridCol w:w="2078"/>
        <w:gridCol w:w="20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trPr>
        <w:tc>
          <w:tcPr>
            <w:tcW w:w="1256" w:type="pct"/>
            <w:shd w:val="clear" w:color="auto" w:fill="auto"/>
            <w:noWrap/>
            <w:vAlign w:val="center"/>
          </w:tcPr>
          <w:p>
            <w:pPr>
              <w:snapToGrid w:val="0"/>
              <w:spacing w:line="240" w:lineRule="auto"/>
              <w:ind w:firstLine="0" w:firstLineChars="0"/>
              <w:jc w:val="center"/>
              <w:rPr>
                <w:rFonts w:cs="Times New Roman" w:eastAsiaTheme="minorEastAsia"/>
                <w:bCs/>
                <w:color w:val="auto"/>
                <w:sz w:val="20"/>
                <w:szCs w:val="20"/>
                <w:highlight w:val="none"/>
              </w:rPr>
            </w:pPr>
            <w:r>
              <w:rPr>
                <w:rFonts w:cs="Times New Roman" w:eastAsiaTheme="minorEastAsia"/>
                <w:bCs/>
                <w:color w:val="auto"/>
                <w:sz w:val="20"/>
                <w:szCs w:val="20"/>
                <w:highlight w:val="none"/>
              </w:rPr>
              <w:t>压实功能类型</w:t>
            </w:r>
          </w:p>
        </w:tc>
        <w:tc>
          <w:tcPr>
            <w:tcW w:w="1248" w:type="pct"/>
            <w:shd w:val="clear" w:color="auto" w:fill="auto"/>
            <w:noWrap/>
            <w:vAlign w:val="center"/>
          </w:tcPr>
          <w:p>
            <w:pPr>
              <w:snapToGrid w:val="0"/>
              <w:spacing w:line="240" w:lineRule="auto"/>
              <w:ind w:firstLine="0" w:firstLineChars="0"/>
              <w:jc w:val="center"/>
              <w:rPr>
                <w:rFonts w:cs="Times New Roman" w:eastAsiaTheme="minorEastAsia"/>
                <w:bCs/>
                <w:color w:val="auto"/>
                <w:sz w:val="20"/>
                <w:szCs w:val="20"/>
                <w:highlight w:val="none"/>
              </w:rPr>
            </w:pPr>
            <w:r>
              <w:rPr>
                <w:rFonts w:cs="Times New Roman" w:eastAsiaTheme="minorEastAsia"/>
                <w:bCs/>
                <w:color w:val="auto"/>
                <w:sz w:val="20"/>
                <w:szCs w:val="20"/>
                <w:highlight w:val="none"/>
              </w:rPr>
              <w:t>压实机具种类</w:t>
            </w:r>
          </w:p>
        </w:tc>
        <w:tc>
          <w:tcPr>
            <w:tcW w:w="1248" w:type="pct"/>
            <w:shd w:val="clear" w:color="auto" w:fill="auto"/>
            <w:noWrap/>
            <w:vAlign w:val="center"/>
          </w:tcPr>
          <w:p>
            <w:pPr>
              <w:snapToGrid w:val="0"/>
              <w:spacing w:line="240" w:lineRule="auto"/>
              <w:ind w:firstLine="0" w:firstLineChars="0"/>
              <w:jc w:val="center"/>
              <w:rPr>
                <w:rFonts w:cs="Times New Roman" w:eastAsiaTheme="minorEastAsia"/>
                <w:bCs/>
                <w:color w:val="auto"/>
                <w:sz w:val="20"/>
                <w:szCs w:val="20"/>
                <w:highlight w:val="none"/>
              </w:rPr>
            </w:pPr>
            <w:r>
              <w:rPr>
                <w:rFonts w:cs="Times New Roman" w:eastAsiaTheme="minorEastAsia"/>
                <w:bCs/>
                <w:color w:val="auto"/>
                <w:sz w:val="20"/>
                <w:szCs w:val="20"/>
                <w:highlight w:val="none"/>
              </w:rPr>
              <w:t>铺料厚度（cm）</w:t>
            </w:r>
          </w:p>
        </w:tc>
        <w:tc>
          <w:tcPr>
            <w:tcW w:w="1248" w:type="pct"/>
            <w:vAlign w:val="center"/>
          </w:tcPr>
          <w:p>
            <w:pPr>
              <w:snapToGrid w:val="0"/>
              <w:spacing w:line="240" w:lineRule="auto"/>
              <w:ind w:firstLine="0" w:firstLineChars="0"/>
              <w:jc w:val="center"/>
              <w:rPr>
                <w:rFonts w:cs="Times New Roman" w:eastAsiaTheme="minorEastAsia"/>
                <w:bCs/>
                <w:color w:val="auto"/>
                <w:sz w:val="20"/>
                <w:szCs w:val="20"/>
                <w:highlight w:val="none"/>
              </w:rPr>
            </w:pPr>
            <w:r>
              <w:rPr>
                <w:rFonts w:cs="Times New Roman" w:eastAsiaTheme="minorEastAsia"/>
                <w:bCs/>
                <w:color w:val="auto"/>
                <w:sz w:val="20"/>
                <w:szCs w:val="20"/>
                <w:highlight w:val="none"/>
              </w:rPr>
              <w:t>土块限制直径（cm）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56" w:type="pct"/>
            <w:vMerge w:val="restart"/>
            <w:shd w:val="clear" w:color="auto" w:fill="auto"/>
            <w:noWrap/>
            <w:vAlign w:val="center"/>
          </w:tcPr>
          <w:p>
            <w:pPr>
              <w:snapToGrid w:val="0"/>
              <w:spacing w:line="240" w:lineRule="auto"/>
              <w:ind w:firstLine="0" w:firstLineChars="0"/>
              <w:jc w:val="center"/>
              <w:rPr>
                <w:rFonts w:cs="Times New Roman" w:eastAsiaTheme="minorEastAsia"/>
                <w:bCs/>
                <w:color w:val="auto"/>
                <w:sz w:val="20"/>
                <w:szCs w:val="20"/>
                <w:highlight w:val="none"/>
              </w:rPr>
            </w:pPr>
            <w:r>
              <w:rPr>
                <w:rFonts w:cs="Times New Roman" w:eastAsiaTheme="minorEastAsia"/>
                <w:bCs/>
                <w:color w:val="auto"/>
                <w:sz w:val="20"/>
                <w:szCs w:val="20"/>
                <w:highlight w:val="none"/>
              </w:rPr>
              <w:t>轻型</w:t>
            </w:r>
          </w:p>
        </w:tc>
        <w:tc>
          <w:tcPr>
            <w:tcW w:w="1248" w:type="pct"/>
            <w:shd w:val="clear" w:color="auto" w:fill="auto"/>
            <w:noWrap/>
            <w:vAlign w:val="center"/>
          </w:tcPr>
          <w:p>
            <w:pPr>
              <w:snapToGrid w:val="0"/>
              <w:spacing w:line="240" w:lineRule="auto"/>
              <w:ind w:firstLine="0" w:firstLineChars="0"/>
              <w:jc w:val="center"/>
              <w:rPr>
                <w:rFonts w:cs="Times New Roman" w:eastAsiaTheme="minorEastAsia"/>
                <w:bCs/>
                <w:color w:val="auto"/>
                <w:sz w:val="20"/>
                <w:szCs w:val="20"/>
                <w:highlight w:val="none"/>
              </w:rPr>
            </w:pPr>
            <w:r>
              <w:rPr>
                <w:rFonts w:cs="Times New Roman" w:eastAsiaTheme="minorEastAsia"/>
                <w:bCs/>
                <w:color w:val="auto"/>
                <w:sz w:val="20"/>
                <w:szCs w:val="20"/>
                <w:highlight w:val="none"/>
              </w:rPr>
              <w:t>人工夯、机械夯</w:t>
            </w:r>
          </w:p>
        </w:tc>
        <w:tc>
          <w:tcPr>
            <w:tcW w:w="1248" w:type="pct"/>
            <w:shd w:val="clear" w:color="auto" w:fill="auto"/>
            <w:noWrap/>
            <w:vAlign w:val="center"/>
          </w:tcPr>
          <w:p>
            <w:pPr>
              <w:snapToGrid w:val="0"/>
              <w:spacing w:line="240" w:lineRule="auto"/>
              <w:ind w:firstLine="0" w:firstLineChars="0"/>
              <w:jc w:val="center"/>
              <w:rPr>
                <w:rFonts w:cs="Times New Roman" w:eastAsiaTheme="minorEastAsia"/>
                <w:bCs/>
                <w:color w:val="auto"/>
                <w:sz w:val="20"/>
                <w:szCs w:val="20"/>
                <w:highlight w:val="none"/>
              </w:rPr>
            </w:pPr>
            <w:r>
              <w:rPr>
                <w:rFonts w:cs="Times New Roman" w:eastAsiaTheme="minorEastAsia"/>
                <w:bCs/>
                <w:color w:val="auto"/>
                <w:sz w:val="20"/>
                <w:szCs w:val="20"/>
                <w:highlight w:val="none"/>
              </w:rPr>
              <w:t>15～20</w:t>
            </w:r>
          </w:p>
        </w:tc>
        <w:tc>
          <w:tcPr>
            <w:tcW w:w="1248" w:type="pct"/>
            <w:vAlign w:val="center"/>
          </w:tcPr>
          <w:p>
            <w:pPr>
              <w:snapToGrid w:val="0"/>
              <w:spacing w:line="240" w:lineRule="auto"/>
              <w:ind w:firstLine="0" w:firstLineChars="0"/>
              <w:jc w:val="center"/>
              <w:rPr>
                <w:rFonts w:cs="Times New Roman" w:eastAsiaTheme="minorEastAsia"/>
                <w:bCs/>
                <w:color w:val="auto"/>
                <w:sz w:val="20"/>
                <w:szCs w:val="20"/>
                <w:highlight w:val="none"/>
              </w:rPr>
            </w:pPr>
            <w:r>
              <w:rPr>
                <w:rFonts w:cs="Times New Roman" w:eastAsiaTheme="minorEastAsia"/>
                <w:bCs/>
                <w:color w:val="auto"/>
                <w:sz w:val="20"/>
                <w:szCs w:val="20"/>
                <w:highlight w:val="none"/>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56" w:type="pct"/>
            <w:vMerge w:val="continue"/>
            <w:shd w:val="clear" w:color="auto" w:fill="auto"/>
            <w:noWrap/>
            <w:vAlign w:val="center"/>
          </w:tcPr>
          <w:p>
            <w:pPr>
              <w:snapToGrid w:val="0"/>
              <w:spacing w:line="240" w:lineRule="auto"/>
              <w:ind w:firstLine="0" w:firstLineChars="0"/>
              <w:jc w:val="center"/>
              <w:rPr>
                <w:rFonts w:cs="Times New Roman" w:eastAsiaTheme="minorEastAsia"/>
                <w:bCs/>
                <w:color w:val="auto"/>
                <w:sz w:val="20"/>
                <w:szCs w:val="20"/>
                <w:highlight w:val="none"/>
              </w:rPr>
            </w:pPr>
          </w:p>
        </w:tc>
        <w:tc>
          <w:tcPr>
            <w:tcW w:w="1248" w:type="pct"/>
            <w:shd w:val="clear" w:color="auto" w:fill="auto"/>
            <w:noWrap/>
            <w:vAlign w:val="center"/>
          </w:tcPr>
          <w:p>
            <w:pPr>
              <w:snapToGrid w:val="0"/>
              <w:spacing w:line="240" w:lineRule="auto"/>
              <w:ind w:firstLine="0" w:firstLineChars="0"/>
              <w:jc w:val="center"/>
              <w:rPr>
                <w:rFonts w:cs="Times New Roman" w:eastAsiaTheme="minorEastAsia"/>
                <w:bCs/>
                <w:color w:val="auto"/>
                <w:sz w:val="20"/>
                <w:szCs w:val="20"/>
                <w:highlight w:val="none"/>
              </w:rPr>
            </w:pPr>
            <w:r>
              <w:rPr>
                <w:rFonts w:cs="Times New Roman" w:eastAsiaTheme="minorEastAsia"/>
                <w:bCs/>
                <w:color w:val="auto"/>
                <w:sz w:val="20"/>
                <w:szCs w:val="20"/>
                <w:highlight w:val="none"/>
              </w:rPr>
              <w:t>5t～10t平碾</w:t>
            </w:r>
          </w:p>
        </w:tc>
        <w:tc>
          <w:tcPr>
            <w:tcW w:w="1248" w:type="pct"/>
            <w:shd w:val="clear" w:color="auto" w:fill="auto"/>
            <w:noWrap/>
            <w:vAlign w:val="center"/>
          </w:tcPr>
          <w:p>
            <w:pPr>
              <w:snapToGrid w:val="0"/>
              <w:spacing w:line="240" w:lineRule="auto"/>
              <w:ind w:firstLine="0" w:firstLineChars="0"/>
              <w:jc w:val="center"/>
              <w:rPr>
                <w:rFonts w:cs="Times New Roman" w:eastAsiaTheme="minorEastAsia"/>
                <w:bCs/>
                <w:color w:val="auto"/>
                <w:sz w:val="20"/>
                <w:szCs w:val="20"/>
                <w:highlight w:val="none"/>
              </w:rPr>
            </w:pPr>
            <w:r>
              <w:rPr>
                <w:rFonts w:cs="Times New Roman" w:eastAsiaTheme="minorEastAsia"/>
                <w:bCs/>
                <w:color w:val="auto"/>
                <w:sz w:val="20"/>
                <w:szCs w:val="20"/>
                <w:highlight w:val="none"/>
              </w:rPr>
              <w:t>20～25</w:t>
            </w:r>
          </w:p>
        </w:tc>
        <w:tc>
          <w:tcPr>
            <w:tcW w:w="1248" w:type="pct"/>
            <w:vAlign w:val="center"/>
          </w:tcPr>
          <w:p>
            <w:pPr>
              <w:snapToGrid w:val="0"/>
              <w:spacing w:line="240" w:lineRule="auto"/>
              <w:ind w:firstLine="0" w:firstLineChars="0"/>
              <w:jc w:val="center"/>
              <w:rPr>
                <w:rFonts w:cs="Times New Roman" w:eastAsiaTheme="minorEastAsia"/>
                <w:bCs/>
                <w:color w:val="auto"/>
                <w:sz w:val="20"/>
                <w:szCs w:val="20"/>
                <w:highlight w:val="none"/>
              </w:rPr>
            </w:pPr>
            <w:r>
              <w:rPr>
                <w:rFonts w:cs="Times New Roman" w:eastAsiaTheme="minorEastAsia"/>
                <w:bCs/>
                <w:color w:val="auto"/>
                <w:sz w:val="20"/>
                <w:szCs w:val="20"/>
                <w:highlight w:val="none"/>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56" w:type="pct"/>
            <w:vMerge w:val="restart"/>
            <w:shd w:val="clear" w:color="auto" w:fill="auto"/>
            <w:noWrap/>
            <w:vAlign w:val="center"/>
          </w:tcPr>
          <w:p>
            <w:pPr>
              <w:snapToGrid w:val="0"/>
              <w:spacing w:line="240" w:lineRule="auto"/>
              <w:ind w:firstLine="0" w:firstLineChars="0"/>
              <w:jc w:val="center"/>
              <w:rPr>
                <w:rFonts w:cs="Times New Roman" w:eastAsiaTheme="minorEastAsia"/>
                <w:bCs/>
                <w:color w:val="auto"/>
                <w:sz w:val="20"/>
                <w:szCs w:val="20"/>
                <w:highlight w:val="none"/>
              </w:rPr>
            </w:pPr>
            <w:r>
              <w:rPr>
                <w:rFonts w:cs="Times New Roman" w:eastAsiaTheme="minorEastAsia"/>
                <w:bCs/>
                <w:color w:val="auto"/>
                <w:sz w:val="20"/>
                <w:szCs w:val="20"/>
                <w:highlight w:val="none"/>
              </w:rPr>
              <w:t>中型</w:t>
            </w:r>
          </w:p>
        </w:tc>
        <w:tc>
          <w:tcPr>
            <w:tcW w:w="1248" w:type="pct"/>
            <w:shd w:val="clear" w:color="auto" w:fill="auto"/>
            <w:noWrap/>
            <w:vAlign w:val="center"/>
          </w:tcPr>
          <w:p>
            <w:pPr>
              <w:snapToGrid w:val="0"/>
              <w:spacing w:line="240" w:lineRule="auto"/>
              <w:ind w:firstLine="0" w:firstLineChars="0"/>
              <w:jc w:val="center"/>
              <w:rPr>
                <w:rFonts w:cs="Times New Roman" w:eastAsiaTheme="minorEastAsia"/>
                <w:bCs/>
                <w:color w:val="auto"/>
                <w:sz w:val="20"/>
                <w:szCs w:val="20"/>
                <w:highlight w:val="none"/>
              </w:rPr>
            </w:pPr>
            <w:r>
              <w:rPr>
                <w:rFonts w:cs="Times New Roman" w:eastAsiaTheme="minorEastAsia"/>
                <w:color w:val="auto"/>
                <w:kern w:val="0"/>
                <w:sz w:val="20"/>
                <w:szCs w:val="20"/>
                <w:highlight w:val="none"/>
              </w:rPr>
              <w:t>12t～15t平碾</w:t>
            </w:r>
          </w:p>
        </w:tc>
        <w:tc>
          <w:tcPr>
            <w:tcW w:w="1248" w:type="pct"/>
            <w:vMerge w:val="restart"/>
            <w:shd w:val="clear" w:color="auto" w:fill="auto"/>
            <w:noWrap/>
            <w:vAlign w:val="center"/>
          </w:tcPr>
          <w:p>
            <w:pPr>
              <w:spacing w:before="100" w:beforeAutospacing="1" w:after="100" w:afterAutospacing="1" w:line="240" w:lineRule="auto"/>
              <w:ind w:firstLine="0" w:firstLineChars="0"/>
              <w:jc w:val="center"/>
              <w:rPr>
                <w:rFonts w:cs="Times New Roman" w:eastAsiaTheme="minorEastAsia"/>
                <w:color w:val="auto"/>
                <w:kern w:val="0"/>
                <w:sz w:val="20"/>
                <w:szCs w:val="20"/>
                <w:highlight w:val="none"/>
              </w:rPr>
            </w:pPr>
            <w:r>
              <w:rPr>
                <w:rFonts w:cs="Times New Roman" w:eastAsiaTheme="minorEastAsia"/>
                <w:color w:val="auto"/>
                <w:kern w:val="0"/>
                <w:sz w:val="20"/>
                <w:szCs w:val="20"/>
                <w:highlight w:val="none"/>
              </w:rPr>
              <w:t>25～30</w:t>
            </w:r>
          </w:p>
        </w:tc>
        <w:tc>
          <w:tcPr>
            <w:tcW w:w="1248" w:type="pct"/>
            <w:vMerge w:val="restart"/>
            <w:vAlign w:val="center"/>
          </w:tcPr>
          <w:p>
            <w:pPr>
              <w:spacing w:before="100" w:beforeAutospacing="1" w:after="100" w:afterAutospacing="1" w:line="240" w:lineRule="auto"/>
              <w:ind w:firstLine="0" w:firstLineChars="0"/>
              <w:jc w:val="center"/>
              <w:rPr>
                <w:rFonts w:cs="Times New Roman" w:eastAsiaTheme="minorEastAsia"/>
                <w:color w:val="auto"/>
                <w:kern w:val="0"/>
                <w:sz w:val="20"/>
                <w:szCs w:val="20"/>
                <w:highlight w:val="none"/>
              </w:rPr>
            </w:pPr>
            <w:r>
              <w:rPr>
                <w:rFonts w:cs="Times New Roman" w:eastAsiaTheme="minorEastAsia"/>
                <w:color w:val="auto"/>
                <w:kern w:val="0"/>
                <w:sz w:val="20"/>
                <w:szCs w:val="20"/>
                <w:highlight w:val="none"/>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56" w:type="pct"/>
            <w:vMerge w:val="continue"/>
            <w:shd w:val="clear" w:color="auto" w:fill="auto"/>
            <w:noWrap/>
            <w:vAlign w:val="center"/>
          </w:tcPr>
          <w:p>
            <w:pPr>
              <w:snapToGrid w:val="0"/>
              <w:spacing w:line="240" w:lineRule="auto"/>
              <w:ind w:firstLine="0" w:firstLineChars="0"/>
              <w:jc w:val="center"/>
              <w:rPr>
                <w:rFonts w:cs="Times New Roman" w:eastAsiaTheme="minorEastAsia"/>
                <w:bCs/>
                <w:color w:val="auto"/>
                <w:sz w:val="20"/>
                <w:szCs w:val="20"/>
                <w:highlight w:val="none"/>
              </w:rPr>
            </w:pPr>
          </w:p>
        </w:tc>
        <w:tc>
          <w:tcPr>
            <w:tcW w:w="1248" w:type="pct"/>
            <w:shd w:val="clear" w:color="auto" w:fill="auto"/>
            <w:noWrap/>
            <w:vAlign w:val="center"/>
          </w:tcPr>
          <w:p>
            <w:pPr>
              <w:snapToGrid w:val="0"/>
              <w:spacing w:line="240" w:lineRule="auto"/>
              <w:ind w:firstLine="0" w:firstLineChars="0"/>
              <w:jc w:val="center"/>
              <w:rPr>
                <w:rFonts w:cs="Times New Roman" w:eastAsiaTheme="minorEastAsia"/>
                <w:bCs/>
                <w:color w:val="auto"/>
                <w:sz w:val="20"/>
                <w:szCs w:val="20"/>
                <w:highlight w:val="none"/>
              </w:rPr>
            </w:pPr>
            <w:r>
              <w:rPr>
                <w:rFonts w:cs="Times New Roman" w:eastAsiaTheme="minorEastAsia"/>
                <w:color w:val="auto"/>
                <w:kern w:val="0"/>
                <w:sz w:val="20"/>
                <w:szCs w:val="20"/>
                <w:highlight w:val="none"/>
              </w:rPr>
              <w:t>5t～8t振动碾</w:t>
            </w:r>
          </w:p>
        </w:tc>
        <w:tc>
          <w:tcPr>
            <w:tcW w:w="1248" w:type="pct"/>
            <w:vMerge w:val="continue"/>
            <w:shd w:val="clear" w:color="auto" w:fill="auto"/>
            <w:noWrap/>
            <w:vAlign w:val="center"/>
          </w:tcPr>
          <w:p>
            <w:pPr>
              <w:snapToGrid w:val="0"/>
              <w:spacing w:line="240" w:lineRule="auto"/>
              <w:ind w:firstLine="0" w:firstLineChars="0"/>
              <w:jc w:val="center"/>
              <w:rPr>
                <w:rFonts w:cs="Times New Roman" w:eastAsiaTheme="minorEastAsia"/>
                <w:bCs/>
                <w:color w:val="auto"/>
                <w:sz w:val="20"/>
                <w:szCs w:val="20"/>
                <w:highlight w:val="none"/>
              </w:rPr>
            </w:pPr>
          </w:p>
        </w:tc>
        <w:tc>
          <w:tcPr>
            <w:tcW w:w="1248" w:type="pct"/>
            <w:vMerge w:val="continue"/>
            <w:vAlign w:val="center"/>
          </w:tcPr>
          <w:p>
            <w:pPr>
              <w:snapToGrid w:val="0"/>
              <w:spacing w:line="240" w:lineRule="auto"/>
              <w:ind w:firstLine="0" w:firstLineChars="0"/>
              <w:jc w:val="center"/>
              <w:rPr>
                <w:rFonts w:cs="Times New Roman" w:eastAsiaTheme="minorEastAsia"/>
                <w:bCs/>
                <w:color w:val="auto"/>
                <w:sz w:val="20"/>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56" w:type="pct"/>
            <w:vMerge w:val="restart"/>
            <w:shd w:val="clear" w:color="auto" w:fill="auto"/>
            <w:noWrap/>
            <w:vAlign w:val="center"/>
          </w:tcPr>
          <w:p>
            <w:pPr>
              <w:snapToGrid w:val="0"/>
              <w:spacing w:line="240" w:lineRule="auto"/>
              <w:ind w:firstLine="0" w:firstLineChars="0"/>
              <w:jc w:val="center"/>
              <w:rPr>
                <w:rFonts w:cs="Times New Roman" w:eastAsiaTheme="minorEastAsia"/>
                <w:bCs/>
                <w:color w:val="auto"/>
                <w:sz w:val="20"/>
                <w:szCs w:val="20"/>
                <w:highlight w:val="none"/>
              </w:rPr>
            </w:pPr>
            <w:r>
              <w:rPr>
                <w:rFonts w:cs="Times New Roman" w:eastAsiaTheme="minorEastAsia"/>
                <w:bCs/>
                <w:color w:val="auto"/>
                <w:sz w:val="20"/>
                <w:szCs w:val="20"/>
                <w:highlight w:val="none"/>
              </w:rPr>
              <w:t>重型</w:t>
            </w:r>
          </w:p>
        </w:tc>
        <w:tc>
          <w:tcPr>
            <w:tcW w:w="1248" w:type="pct"/>
            <w:shd w:val="clear" w:color="auto" w:fill="auto"/>
            <w:noWrap/>
            <w:vAlign w:val="center"/>
          </w:tcPr>
          <w:p>
            <w:pPr>
              <w:snapToGrid w:val="0"/>
              <w:spacing w:line="240" w:lineRule="auto"/>
              <w:ind w:firstLine="0" w:firstLineChars="0"/>
              <w:jc w:val="center"/>
              <w:rPr>
                <w:rFonts w:cs="Times New Roman" w:eastAsiaTheme="minorEastAsia"/>
                <w:bCs/>
                <w:color w:val="auto"/>
                <w:sz w:val="20"/>
                <w:szCs w:val="20"/>
                <w:highlight w:val="none"/>
              </w:rPr>
            </w:pPr>
            <w:r>
              <w:rPr>
                <w:rFonts w:cs="Times New Roman" w:eastAsiaTheme="minorEastAsia"/>
                <w:color w:val="auto"/>
                <w:kern w:val="0"/>
                <w:sz w:val="20"/>
                <w:szCs w:val="20"/>
                <w:highlight w:val="none"/>
              </w:rPr>
              <w:t>10t～16t振动碾</w:t>
            </w:r>
          </w:p>
        </w:tc>
        <w:tc>
          <w:tcPr>
            <w:tcW w:w="1248" w:type="pct"/>
            <w:vMerge w:val="restart"/>
            <w:shd w:val="clear" w:color="auto" w:fill="auto"/>
            <w:noWrap/>
            <w:vAlign w:val="center"/>
          </w:tcPr>
          <w:p>
            <w:pPr>
              <w:snapToGrid w:val="0"/>
              <w:spacing w:line="240" w:lineRule="auto"/>
              <w:ind w:firstLine="0" w:firstLineChars="0"/>
              <w:jc w:val="center"/>
              <w:rPr>
                <w:rFonts w:cs="Times New Roman" w:eastAsiaTheme="minorEastAsia"/>
                <w:bCs/>
                <w:color w:val="auto"/>
                <w:sz w:val="20"/>
                <w:szCs w:val="20"/>
                <w:highlight w:val="none"/>
              </w:rPr>
            </w:pPr>
            <w:r>
              <w:rPr>
                <w:rFonts w:cs="Times New Roman" w:eastAsiaTheme="minorEastAsia"/>
                <w:bCs/>
                <w:color w:val="auto"/>
                <w:sz w:val="20"/>
                <w:szCs w:val="20"/>
                <w:highlight w:val="none"/>
              </w:rPr>
              <w:t>30～50</w:t>
            </w:r>
          </w:p>
        </w:tc>
        <w:tc>
          <w:tcPr>
            <w:tcW w:w="1248" w:type="pct"/>
            <w:vMerge w:val="restart"/>
            <w:vAlign w:val="center"/>
          </w:tcPr>
          <w:p>
            <w:pPr>
              <w:snapToGrid w:val="0"/>
              <w:spacing w:line="240" w:lineRule="auto"/>
              <w:ind w:firstLine="0" w:firstLineChars="0"/>
              <w:jc w:val="center"/>
              <w:rPr>
                <w:rFonts w:cs="Times New Roman" w:eastAsiaTheme="minorEastAsia"/>
                <w:bCs/>
                <w:color w:val="auto"/>
                <w:sz w:val="20"/>
                <w:szCs w:val="20"/>
                <w:highlight w:val="none"/>
              </w:rPr>
            </w:pPr>
            <w:r>
              <w:rPr>
                <w:rFonts w:cs="Times New Roman" w:eastAsiaTheme="minorEastAsia"/>
                <w:bCs/>
                <w:color w:val="auto"/>
                <w:sz w:val="20"/>
                <w:szCs w:val="20"/>
                <w:highlight w:val="none"/>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56" w:type="pct"/>
            <w:vMerge w:val="continue"/>
            <w:shd w:val="clear" w:color="auto" w:fill="auto"/>
            <w:noWrap/>
            <w:vAlign w:val="center"/>
          </w:tcPr>
          <w:p>
            <w:pPr>
              <w:snapToGrid w:val="0"/>
              <w:spacing w:line="240" w:lineRule="auto"/>
              <w:ind w:firstLine="0" w:firstLineChars="0"/>
              <w:jc w:val="center"/>
              <w:rPr>
                <w:rFonts w:cs="Times New Roman" w:eastAsiaTheme="minorEastAsia"/>
                <w:bCs/>
                <w:color w:val="auto"/>
                <w:sz w:val="20"/>
                <w:szCs w:val="20"/>
                <w:highlight w:val="none"/>
              </w:rPr>
            </w:pPr>
          </w:p>
        </w:tc>
        <w:tc>
          <w:tcPr>
            <w:tcW w:w="1248" w:type="pct"/>
            <w:shd w:val="clear" w:color="auto" w:fill="auto"/>
            <w:noWrap/>
            <w:vAlign w:val="center"/>
          </w:tcPr>
          <w:p>
            <w:pPr>
              <w:snapToGrid w:val="0"/>
              <w:spacing w:line="240" w:lineRule="auto"/>
              <w:ind w:firstLine="0" w:firstLineChars="0"/>
              <w:jc w:val="center"/>
              <w:rPr>
                <w:rFonts w:cs="Times New Roman" w:eastAsiaTheme="minorEastAsia"/>
                <w:bCs/>
                <w:color w:val="auto"/>
                <w:sz w:val="20"/>
                <w:szCs w:val="20"/>
                <w:highlight w:val="none"/>
              </w:rPr>
            </w:pPr>
            <w:r>
              <w:rPr>
                <w:rFonts w:cs="Times New Roman" w:eastAsiaTheme="minorEastAsia"/>
                <w:color w:val="auto"/>
                <w:kern w:val="0"/>
                <w:sz w:val="20"/>
                <w:szCs w:val="20"/>
                <w:highlight w:val="none"/>
              </w:rPr>
              <w:t>加载气胎碾</w:t>
            </w:r>
          </w:p>
        </w:tc>
        <w:tc>
          <w:tcPr>
            <w:tcW w:w="1248" w:type="pct"/>
            <w:vMerge w:val="continue"/>
            <w:shd w:val="clear" w:color="auto" w:fill="auto"/>
            <w:noWrap/>
            <w:vAlign w:val="center"/>
          </w:tcPr>
          <w:p>
            <w:pPr>
              <w:snapToGrid w:val="0"/>
              <w:spacing w:line="240" w:lineRule="auto"/>
              <w:ind w:firstLine="0" w:firstLineChars="0"/>
              <w:jc w:val="center"/>
              <w:rPr>
                <w:rFonts w:cs="Times New Roman" w:eastAsiaTheme="minorEastAsia"/>
                <w:bCs/>
                <w:color w:val="auto"/>
                <w:sz w:val="20"/>
                <w:szCs w:val="20"/>
                <w:highlight w:val="none"/>
              </w:rPr>
            </w:pPr>
          </w:p>
        </w:tc>
        <w:tc>
          <w:tcPr>
            <w:tcW w:w="1248" w:type="pct"/>
            <w:vMerge w:val="continue"/>
            <w:vAlign w:val="center"/>
          </w:tcPr>
          <w:p>
            <w:pPr>
              <w:snapToGrid w:val="0"/>
              <w:spacing w:line="240" w:lineRule="auto"/>
              <w:ind w:firstLine="0" w:firstLineChars="0"/>
              <w:jc w:val="center"/>
              <w:rPr>
                <w:rFonts w:cs="Times New Roman" w:eastAsiaTheme="minorEastAsia"/>
                <w:bCs/>
                <w:color w:val="auto"/>
                <w:sz w:val="20"/>
                <w:szCs w:val="20"/>
                <w:highlight w:val="none"/>
              </w:rPr>
            </w:pPr>
          </w:p>
        </w:tc>
      </w:tr>
    </w:tbl>
    <w:p>
      <w:pPr>
        <w:ind w:firstLine="480"/>
        <w:rPr>
          <w:color w:val="auto"/>
          <w:highlight w:val="none"/>
        </w:rPr>
      </w:pPr>
      <w:r>
        <w:rPr>
          <w:rFonts w:hint="eastAsia"/>
          <w:color w:val="auto"/>
          <w:highlight w:val="none"/>
        </w:rPr>
        <w:t>（3）铺料至堤边时，应在设计边线外侧各超填一定余量：人工铺料宜为10cm，机械铺料宜为30cm。</w:t>
      </w:r>
    </w:p>
    <w:p>
      <w:pPr>
        <w:ind w:firstLine="480"/>
        <w:rPr>
          <w:color w:val="auto"/>
          <w:highlight w:val="none"/>
        </w:rPr>
      </w:pPr>
      <w:r>
        <w:rPr>
          <w:rFonts w:hint="eastAsia"/>
          <w:color w:val="auto"/>
          <w:highlight w:val="none"/>
        </w:rPr>
        <w:t>3、压实作业应符合下列要求：</w:t>
      </w:r>
    </w:p>
    <w:p>
      <w:pPr>
        <w:ind w:firstLine="480"/>
        <w:rPr>
          <w:color w:val="auto"/>
          <w:highlight w:val="none"/>
        </w:rPr>
      </w:pPr>
      <w:r>
        <w:rPr>
          <w:rFonts w:hint="eastAsia"/>
          <w:color w:val="auto"/>
          <w:highlight w:val="none"/>
        </w:rPr>
        <w:t>（1）施工前应先做碾压试验，验证碾压质量能否达到设计值。选定合理的施工压实参数：铺土厚度、土块限制直径、含水量的适宜范围、压实方法和压实遍数；确定有关质量控制的技术要求和检测方法。</w:t>
      </w:r>
    </w:p>
    <w:p>
      <w:pPr>
        <w:ind w:firstLine="480"/>
        <w:rPr>
          <w:color w:val="auto"/>
          <w:highlight w:val="none"/>
        </w:rPr>
      </w:pPr>
      <w:r>
        <w:rPr>
          <w:rFonts w:hint="eastAsia"/>
          <w:color w:val="auto"/>
          <w:highlight w:val="none"/>
        </w:rPr>
        <w:t>（2）碾压机械行走方向应平行于堤轴线；分段、分片碾压，相邻作业面的搭接碾压宽度，平行堤轴线方向不应小于0.5mm、垂直堤轴线方向不应小于3m；拖拉机带碾磙或振动碾压实作业，宜采用进退错距法，碾迹搭压宽度应大于10cm；铲运机兼作压实机械时，宜采用轮迹排压法，轮迹应搭压轮宽的1/3。</w:t>
      </w:r>
    </w:p>
    <w:p>
      <w:pPr>
        <w:ind w:firstLine="480"/>
        <w:rPr>
          <w:color w:val="auto"/>
          <w:highlight w:val="none"/>
        </w:rPr>
      </w:pPr>
      <w:r>
        <w:rPr>
          <w:rFonts w:hint="eastAsia"/>
          <w:color w:val="auto"/>
          <w:highlight w:val="none"/>
        </w:rPr>
        <w:t>（3）机械碾压不到的部位，应辅以夯具夯实，夯实时应采用连环套打法，夯迹双向套压，夯压夯1/3，行压行1/3；分段、分片夯实时，夯迹搭压宽度应不小于1/3夯径。</w:t>
      </w:r>
    </w:p>
    <w:p>
      <w:pPr>
        <w:ind w:firstLine="480"/>
        <w:rPr>
          <w:color w:val="auto"/>
          <w:highlight w:val="none"/>
        </w:rPr>
      </w:pPr>
      <w:r>
        <w:rPr>
          <w:rFonts w:hint="eastAsia"/>
          <w:color w:val="auto"/>
          <w:highlight w:val="none"/>
        </w:rPr>
        <w:t>（4）砂砾料压实时，洒水量宜为填筑方量的20％～40％；中细砂压实的洒水量，宜按最优含水量控制；压实施工宜用履带式拖拉机带平碾、振动碾或气胎碾。</w:t>
      </w:r>
    </w:p>
    <w:p>
      <w:pPr>
        <w:ind w:firstLine="480"/>
        <w:rPr>
          <w:color w:val="auto"/>
          <w:highlight w:val="none"/>
        </w:rPr>
      </w:pPr>
      <w:r>
        <w:rPr>
          <w:rFonts w:hint="eastAsia"/>
          <w:color w:val="auto"/>
          <w:highlight w:val="none"/>
        </w:rPr>
        <w:t>（5）作业面必须做到统一铺土，统一碾压，当天铺筑，当天碾压，确保填筑质量。碾压时严格按照操作规程作业，行进方向平行于堤轴线，防止出现漏压、欠压。碾压遍数根据各取土场的碾压试验结果确定。</w:t>
      </w:r>
    </w:p>
    <w:p>
      <w:pPr>
        <w:ind w:firstLine="480"/>
        <w:rPr>
          <w:color w:val="auto"/>
          <w:highlight w:val="none"/>
        </w:rPr>
      </w:pPr>
      <w:r>
        <w:rPr>
          <w:rFonts w:hint="eastAsia"/>
          <w:color w:val="auto"/>
          <w:highlight w:val="none"/>
        </w:rPr>
        <w:t>4、采用土工合成加筋材料（编织型土工织物、土工网、土工格栅）填筑加筋土堤时筋材铺放基面应平整，筋材宜用宽幅规格；筋材应垂直堤轴线方向铺展，长度按设计要求裁制，不应有拼接缝。铺放筋材不允许有褶皱，并尽量用人工拉紧，以U形钉定位于填筑土面上，填土时不得发生移动；筋材上按规定层厚铺土，但施工机械与筋材间的填土厚度不应小于15cm。</w:t>
      </w:r>
    </w:p>
    <w:p>
      <w:pPr>
        <w:ind w:firstLine="480"/>
        <w:rPr>
          <w:color w:val="auto"/>
          <w:highlight w:val="none"/>
        </w:rPr>
      </w:pPr>
      <w:bookmarkStart w:id="123" w:name="6.8接缝、堤身与建筑物接合部施工"/>
      <w:r>
        <w:rPr>
          <w:rFonts w:hint="eastAsia"/>
          <w:color w:val="auto"/>
          <w:highlight w:val="none"/>
        </w:rPr>
        <w:t>5、接缝、堤身与建筑物接合部施工</w:t>
      </w:r>
      <w:bookmarkEnd w:id="123"/>
    </w:p>
    <w:p>
      <w:pPr>
        <w:ind w:firstLine="480"/>
        <w:rPr>
          <w:color w:val="auto"/>
          <w:highlight w:val="none"/>
        </w:rPr>
      </w:pPr>
      <w:r>
        <w:rPr>
          <w:rFonts w:hint="eastAsia"/>
          <w:color w:val="auto"/>
          <w:highlight w:val="none"/>
        </w:rPr>
        <w:t>（1）土堤碾压施工，分段间有高差的连接或新老堤相接时，垂直堤轴线方向的各种接缝，应以斜面相接，坡度可采用1:3～1:5，高差大时宜用缓坡。土堤与岩石岸坡相接时，岩坡削坡后不宜陡于1:0.75，严禁出现反坡。</w:t>
      </w:r>
    </w:p>
    <w:p>
      <w:pPr>
        <w:ind w:firstLine="480"/>
        <w:rPr>
          <w:color w:val="auto"/>
          <w:highlight w:val="none"/>
        </w:rPr>
      </w:pPr>
      <w:r>
        <w:rPr>
          <w:rFonts w:hint="eastAsia"/>
          <w:color w:val="auto"/>
          <w:highlight w:val="none"/>
        </w:rPr>
        <w:t>（2）在土堤的斜坡结合面上填筑时，应符合下列要求：</w:t>
      </w:r>
    </w:p>
    <w:p>
      <w:pPr>
        <w:ind w:firstLine="480"/>
        <w:rPr>
          <w:color w:val="auto"/>
          <w:highlight w:val="none"/>
        </w:rPr>
      </w:pPr>
      <w:r>
        <w:rPr>
          <w:rFonts w:hint="eastAsia"/>
          <w:color w:val="auto"/>
          <w:highlight w:val="none"/>
        </w:rPr>
        <w:t>①应随填筑面上升进行削坡，并削至质量合格层；</w:t>
      </w:r>
    </w:p>
    <w:p>
      <w:pPr>
        <w:ind w:firstLine="480"/>
        <w:rPr>
          <w:color w:val="auto"/>
          <w:highlight w:val="none"/>
        </w:rPr>
      </w:pPr>
      <w:r>
        <w:rPr>
          <w:rFonts w:hint="eastAsia"/>
          <w:color w:val="auto"/>
          <w:highlight w:val="none"/>
        </w:rPr>
        <w:t>②削坡合格后，应控制好结合面土料的含水量，边刨毛、边铺土、边压实；</w:t>
      </w:r>
    </w:p>
    <w:p>
      <w:pPr>
        <w:ind w:firstLine="480"/>
        <w:rPr>
          <w:color w:val="auto"/>
          <w:highlight w:val="none"/>
        </w:rPr>
      </w:pPr>
      <w:r>
        <w:rPr>
          <w:rFonts w:hint="eastAsia"/>
          <w:color w:val="auto"/>
          <w:highlight w:val="none"/>
        </w:rPr>
        <w:t>③垂直堤轴线的堤身接缝碾压时，应跨缝搭接碾压，其搭接宽度不小于3.0m。</w:t>
      </w:r>
    </w:p>
    <w:p>
      <w:pPr>
        <w:ind w:firstLine="480"/>
        <w:rPr>
          <w:color w:val="auto"/>
          <w:highlight w:val="none"/>
        </w:rPr>
      </w:pPr>
      <w:r>
        <w:rPr>
          <w:rFonts w:hint="eastAsia"/>
          <w:color w:val="auto"/>
          <w:highlight w:val="none"/>
        </w:rPr>
        <w:t>（3）旧堤培厚时，应将旧堤表面的杂物、草（树）根清除干净，将旧堤挖成与铺土厚度等高的台阶状，然后分层铺土压实。</w:t>
      </w:r>
    </w:p>
    <w:p>
      <w:pPr>
        <w:ind w:firstLine="480"/>
        <w:rPr>
          <w:color w:val="auto"/>
          <w:highlight w:val="none"/>
        </w:rPr>
      </w:pPr>
      <w:r>
        <w:rPr>
          <w:rFonts w:hint="eastAsia"/>
          <w:color w:val="auto"/>
          <w:highlight w:val="none"/>
        </w:rPr>
        <w:t>（4）土堤与刚性建筑物（涵闸、堤内埋管、混凝土防渗墙等）相接时，施工应符合下列要求：</w:t>
      </w:r>
    </w:p>
    <w:p>
      <w:pPr>
        <w:ind w:firstLine="480"/>
        <w:rPr>
          <w:color w:val="auto"/>
          <w:highlight w:val="none"/>
        </w:rPr>
      </w:pPr>
      <w:r>
        <w:rPr>
          <w:rFonts w:hint="eastAsia"/>
          <w:color w:val="auto"/>
          <w:highlight w:val="none"/>
        </w:rPr>
        <w:t>①建筑物周边回填土方，宜在建筑物强度达到设计强度50％～70％的情况下施工；</w:t>
      </w:r>
    </w:p>
    <w:p>
      <w:pPr>
        <w:ind w:firstLine="480"/>
        <w:rPr>
          <w:color w:val="auto"/>
          <w:highlight w:val="none"/>
        </w:rPr>
      </w:pPr>
      <w:r>
        <w:rPr>
          <w:rFonts w:hint="eastAsia"/>
          <w:color w:val="auto"/>
          <w:highlight w:val="none"/>
        </w:rPr>
        <w:t>②填土前，应清除建筑物表面的乳皮、粉尘及油污等；对表面的外露铁件（如模板对销螺栓等）宜割除，必要时对铁件残余露头需用水泥沙浆覆盖保护；</w:t>
      </w:r>
    </w:p>
    <w:p>
      <w:pPr>
        <w:ind w:firstLine="480"/>
        <w:rPr>
          <w:color w:val="auto"/>
          <w:highlight w:val="none"/>
        </w:rPr>
      </w:pPr>
      <w:r>
        <w:rPr>
          <w:rFonts w:hint="eastAsia"/>
          <w:color w:val="auto"/>
          <w:highlight w:val="none"/>
        </w:rPr>
        <w:t>③填筑时，须先将建筑物表面湿润，边涂泥浆、边铺土、边夯实，涂浆高度应与铺土厚度一致，涂层厚宜为3mm～5mm，并应与下部涂层衔接；严禁泥浆干固后再铺土、夯实；</w:t>
      </w:r>
    </w:p>
    <w:p>
      <w:pPr>
        <w:ind w:firstLine="480"/>
        <w:rPr>
          <w:color w:val="auto"/>
          <w:highlight w:val="none"/>
        </w:rPr>
      </w:pPr>
      <w:r>
        <w:rPr>
          <w:rFonts w:hint="eastAsia"/>
          <w:color w:val="auto"/>
          <w:highlight w:val="none"/>
        </w:rPr>
        <w:t>④制备泥浆应采用塑性指数Ip大于17的粘土，泥浆的浓度可用1:2.5～1:3.0（土水重量比）：</w:t>
      </w:r>
    </w:p>
    <w:p>
      <w:pPr>
        <w:ind w:firstLine="480"/>
        <w:rPr>
          <w:color w:val="auto"/>
          <w:highlight w:val="none"/>
        </w:rPr>
      </w:pPr>
      <w:r>
        <w:rPr>
          <w:rFonts w:hint="eastAsia"/>
          <w:color w:val="auto"/>
          <w:highlight w:val="none"/>
        </w:rPr>
        <w:t>⑤建筑物两侧填土，应保持均衡上升；贴边填筑宜用夯具夯实，铺土层厚度宜为15cm～20cm。</w:t>
      </w:r>
    </w:p>
    <w:p>
      <w:pPr>
        <w:ind w:firstLine="480"/>
        <w:rPr>
          <w:color w:val="auto"/>
          <w:highlight w:val="none"/>
        </w:rPr>
      </w:pPr>
      <w:bookmarkStart w:id="124" w:name="6.9雨天与低温时施工"/>
      <w:r>
        <w:rPr>
          <w:rFonts w:hint="eastAsia"/>
          <w:color w:val="auto"/>
          <w:highlight w:val="none"/>
        </w:rPr>
        <w:t>6、雨天与低温时施工</w:t>
      </w:r>
      <w:bookmarkEnd w:id="124"/>
    </w:p>
    <w:p>
      <w:pPr>
        <w:ind w:firstLine="480"/>
        <w:rPr>
          <w:color w:val="auto"/>
          <w:highlight w:val="none"/>
        </w:rPr>
      </w:pPr>
      <w:r>
        <w:rPr>
          <w:rFonts w:hint="eastAsia"/>
          <w:color w:val="auto"/>
          <w:highlight w:val="none"/>
        </w:rPr>
        <w:t>（1）碾压土堤施工应符合下列要求：</w:t>
      </w:r>
    </w:p>
    <w:p>
      <w:pPr>
        <w:ind w:firstLine="480"/>
        <w:rPr>
          <w:color w:val="auto"/>
          <w:highlight w:val="none"/>
        </w:rPr>
      </w:pPr>
      <w:r>
        <w:rPr>
          <w:rFonts w:hint="eastAsia"/>
          <w:color w:val="auto"/>
          <w:highlight w:val="none"/>
        </w:rPr>
        <w:t>①雨前应及时压实作业面，并做成中央凸起向两侧微倾。当降小雨时，应停止粘性土填筑；</w:t>
      </w:r>
    </w:p>
    <w:p>
      <w:pPr>
        <w:ind w:firstLine="480"/>
        <w:rPr>
          <w:color w:val="auto"/>
          <w:highlight w:val="none"/>
        </w:rPr>
      </w:pPr>
      <w:r>
        <w:rPr>
          <w:rFonts w:hint="eastAsia"/>
          <w:color w:val="auto"/>
          <w:highlight w:val="none"/>
        </w:rPr>
        <w:t>②粘性土填筑面在下雨时人行不宜践踏，并应严禁车辆通行。雨后恢复施工，填筑面应经晾晒、复压处理，必要时应对表层再次进行清理，并待质检合格后及时复工；</w:t>
      </w:r>
    </w:p>
    <w:p>
      <w:pPr>
        <w:ind w:firstLine="480"/>
        <w:rPr>
          <w:color w:val="auto"/>
          <w:highlight w:val="none"/>
        </w:rPr>
      </w:pPr>
      <w:r>
        <w:rPr>
          <w:rFonts w:hint="eastAsia"/>
          <w:color w:val="auto"/>
          <w:highlight w:val="none"/>
        </w:rPr>
        <w:t>③土堤不宜在负温下施工；如具备保温措施时，允许在气温不低于-10℃的情况下施工；</w:t>
      </w:r>
    </w:p>
    <w:p>
      <w:pPr>
        <w:ind w:firstLine="480"/>
        <w:rPr>
          <w:color w:val="auto"/>
          <w:highlight w:val="none"/>
        </w:rPr>
      </w:pPr>
      <w:r>
        <w:rPr>
          <w:rFonts w:hint="eastAsia"/>
          <w:color w:val="auto"/>
          <w:highlight w:val="none"/>
        </w:rPr>
        <w:t>④负温施工时应取正温土料；装土、辅土、碾压、取样等工序，都应采取快速连续作业；土料压实时的气温必须在-1℃以上；</w:t>
      </w:r>
    </w:p>
    <w:p>
      <w:pPr>
        <w:ind w:firstLine="480"/>
        <w:rPr>
          <w:color w:val="auto"/>
          <w:highlight w:val="none"/>
        </w:rPr>
      </w:pPr>
      <w:r>
        <w:rPr>
          <w:rFonts w:hint="eastAsia"/>
          <w:color w:val="auto"/>
          <w:highlight w:val="none"/>
        </w:rPr>
        <w:t>⑤负温下施工时，粘性土含水量不得大于塑限的90％；砂料含水量不得大于4％；铺土厚度应比常规要求适当减薄，或采用重型机械碾压；</w:t>
      </w:r>
    </w:p>
    <w:p>
      <w:pPr>
        <w:ind w:firstLine="480"/>
        <w:rPr>
          <w:color w:val="auto"/>
          <w:highlight w:val="none"/>
        </w:rPr>
      </w:pPr>
      <w:r>
        <w:rPr>
          <w:rFonts w:hint="eastAsia"/>
          <w:color w:val="auto"/>
          <w:highlight w:val="none"/>
        </w:rPr>
        <w:t>填土中不得夹冰雪。</w:t>
      </w:r>
    </w:p>
    <w:p>
      <w:pPr>
        <w:ind w:firstLine="480"/>
        <w:rPr>
          <w:color w:val="auto"/>
          <w:highlight w:val="none"/>
        </w:rPr>
      </w:pPr>
      <w:r>
        <w:rPr>
          <w:rFonts w:hint="eastAsia"/>
          <w:color w:val="auto"/>
          <w:highlight w:val="none"/>
        </w:rPr>
        <w:t>（6）浆砌石施工应符合下列要求：</w:t>
      </w:r>
    </w:p>
    <w:p>
      <w:pPr>
        <w:ind w:firstLine="480"/>
        <w:rPr>
          <w:color w:val="auto"/>
          <w:highlight w:val="none"/>
        </w:rPr>
      </w:pPr>
      <w:r>
        <w:rPr>
          <w:rFonts w:hint="eastAsia"/>
          <w:color w:val="auto"/>
          <w:highlight w:val="none"/>
        </w:rPr>
        <w:t>①在小雨中施工，宜适当减小水灰比，并做好表面保护；施工中遇中到大雨时，应停工，并妥善保护工作面；雨后若表层砂浆或混凝土尚未初凝，可加铺水泥砂浆后继续施工，否则，应按工作缝要求进行处理：</w:t>
      </w:r>
    </w:p>
    <w:p>
      <w:pPr>
        <w:ind w:firstLine="480"/>
        <w:rPr>
          <w:color w:val="auto"/>
          <w:highlight w:val="none"/>
        </w:rPr>
      </w:pPr>
      <w:r>
        <w:rPr>
          <w:rFonts w:hint="eastAsia"/>
          <w:color w:val="auto"/>
          <w:highlight w:val="none"/>
        </w:rPr>
        <w:t>②浆砌石在气温0～5℃施工时，应注意砌筑层表面保温；气温在0℃以下又无保温措施时，应停止施工；</w:t>
      </w:r>
    </w:p>
    <w:p>
      <w:pPr>
        <w:ind w:firstLine="480"/>
        <w:rPr>
          <w:color w:val="auto"/>
          <w:highlight w:val="none"/>
        </w:rPr>
      </w:pPr>
      <w:r>
        <w:rPr>
          <w:rFonts w:hint="eastAsia"/>
          <w:color w:val="auto"/>
          <w:highlight w:val="none"/>
        </w:rPr>
        <w:t>③低温下水泥砂浆拌和时间宜适当延长，拌合物料温度应不低于5℃；</w:t>
      </w:r>
    </w:p>
    <w:p>
      <w:pPr>
        <w:ind w:firstLine="480"/>
        <w:rPr>
          <w:color w:val="auto"/>
          <w:highlight w:val="none"/>
        </w:rPr>
      </w:pPr>
      <w:r>
        <w:rPr>
          <w:rFonts w:hint="eastAsia"/>
          <w:color w:val="auto"/>
          <w:highlight w:val="none"/>
        </w:rPr>
        <w:t>④浆砌石砌体养护期气温低于5℃时,砌体表面应予保温,并不得向砌体表面直接洒水养护；</w:t>
      </w:r>
    </w:p>
    <w:p>
      <w:pPr>
        <w:ind w:firstLine="480"/>
        <w:rPr>
          <w:color w:val="auto"/>
          <w:highlight w:val="none"/>
        </w:rPr>
      </w:pPr>
      <w:r>
        <w:rPr>
          <w:rFonts w:hint="eastAsia"/>
          <w:color w:val="auto"/>
          <w:highlight w:val="none"/>
        </w:rPr>
        <w:t>7、其余未尽事项按照《堤防工程施工规范》（SL260-2014）执行。</w:t>
      </w:r>
    </w:p>
    <w:p>
      <w:pPr>
        <w:pStyle w:val="4"/>
        <w:rPr>
          <w:color w:val="auto"/>
          <w:highlight w:val="none"/>
        </w:rPr>
      </w:pPr>
      <w:r>
        <w:rPr>
          <w:rFonts w:hint="eastAsia"/>
          <w:color w:val="auto"/>
          <w:highlight w:val="none"/>
        </w:rPr>
        <w:t>8.3.2混凝土工程</w:t>
      </w:r>
    </w:p>
    <w:p>
      <w:pPr>
        <w:ind w:firstLine="480"/>
        <w:rPr>
          <w:color w:val="auto"/>
          <w:highlight w:val="none"/>
        </w:rPr>
      </w:pPr>
      <w:r>
        <w:rPr>
          <w:color w:val="auto"/>
          <w:highlight w:val="none"/>
        </w:rPr>
        <w:t>混凝土浇筑</w:t>
      </w:r>
      <w:r>
        <w:rPr>
          <w:rFonts w:hint="eastAsia"/>
          <w:color w:val="auto"/>
          <w:highlight w:val="none"/>
        </w:rPr>
        <w:t>较大</w:t>
      </w:r>
      <w:r>
        <w:rPr>
          <w:color w:val="auto"/>
          <w:highlight w:val="none"/>
        </w:rPr>
        <w:t>，</w:t>
      </w:r>
      <w:r>
        <w:rPr>
          <w:rFonts w:hint="eastAsia"/>
          <w:color w:val="auto"/>
          <w:highlight w:val="none"/>
        </w:rPr>
        <w:t>混凝土直接</w:t>
      </w:r>
      <w:r>
        <w:rPr>
          <w:color w:val="auto"/>
          <w:highlight w:val="none"/>
        </w:rPr>
        <w:t>采用</w:t>
      </w:r>
      <w:r>
        <w:rPr>
          <w:rFonts w:hint="eastAsia"/>
          <w:color w:val="auto"/>
          <w:highlight w:val="none"/>
        </w:rPr>
        <w:t>商品</w:t>
      </w:r>
      <w:r>
        <w:rPr>
          <w:color w:val="auto"/>
          <w:highlight w:val="none"/>
        </w:rPr>
        <w:t>混凝土。</w:t>
      </w:r>
    </w:p>
    <w:p>
      <w:pPr>
        <w:pStyle w:val="4"/>
        <w:rPr>
          <w:color w:val="auto"/>
          <w:highlight w:val="none"/>
        </w:rPr>
      </w:pPr>
      <w:r>
        <w:rPr>
          <w:rFonts w:hint="eastAsia"/>
          <w:color w:val="auto"/>
          <w:highlight w:val="none"/>
        </w:rPr>
        <w:t>8.3.3管道</w:t>
      </w:r>
      <w:r>
        <w:rPr>
          <w:color w:val="auto"/>
          <w:highlight w:val="none"/>
        </w:rPr>
        <w:t>工程</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一、施工准备</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根据施工需要掌握管道沿线现场地形、地貌、建筑物、各种管线和其他设施的情况，工程地质和水文地质资料，气象资料，工程用地、交通运输及排水条件，施工供水、供电条件，工程材料、施工机械供应条件。</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临时水准点和管道轴线控制桩的设置应便于观测且必须牢固，并应采取保护措施。开槽铺设管道的沿线临时水准点，每200m不宜少于1个。临时水准点、管道轴线控制桩、高程桩，应经过复核方可使用，并应经常校核。已建管道、构筑物等与本工程衔接的平面位置和高程，开工前应校测。</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施工测量的允许偏差，应符合规定。</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二、管沟开挖</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参照管道沿线工程地质勘察报告，本工程管道沿线设计管沟横断面为矩形，采用</w:t>
      </w:r>
      <w:r>
        <w:rPr>
          <w:rFonts w:asciiTheme="minorEastAsia" w:hAnsiTheme="minorEastAsia" w:eastAsiaTheme="minorEastAsia"/>
          <w:color w:val="auto"/>
          <w:szCs w:val="24"/>
          <w:highlight w:val="none"/>
        </w:rPr>
        <w:t>开沟机</w:t>
      </w:r>
      <w:r>
        <w:rPr>
          <w:rFonts w:hint="eastAsia" w:asciiTheme="minorEastAsia" w:hAnsiTheme="minorEastAsia" w:eastAsiaTheme="minorEastAsia"/>
          <w:color w:val="auto"/>
          <w:szCs w:val="24"/>
          <w:highlight w:val="none"/>
        </w:rPr>
        <w:t>开挖，</w:t>
      </w:r>
      <w:r>
        <w:rPr>
          <w:rFonts w:asciiTheme="minorEastAsia" w:hAnsiTheme="minorEastAsia" w:eastAsiaTheme="minorEastAsia"/>
          <w:color w:val="auto"/>
          <w:szCs w:val="24"/>
          <w:highlight w:val="none"/>
        </w:rPr>
        <w:t>开挖深度为</w:t>
      </w:r>
      <w:r>
        <w:rPr>
          <w:rFonts w:hint="eastAsia" w:asciiTheme="minorEastAsia" w:hAnsiTheme="minorEastAsia" w:eastAsiaTheme="minorEastAsia"/>
          <w:color w:val="auto"/>
          <w:szCs w:val="24"/>
          <w:highlight w:val="none"/>
        </w:rPr>
        <w:t>80</w:t>
      </w:r>
      <w:r>
        <w:rPr>
          <w:rFonts w:asciiTheme="minorEastAsia" w:hAnsiTheme="minorEastAsia" w:eastAsiaTheme="minorEastAsia"/>
          <w:color w:val="auto"/>
          <w:szCs w:val="24"/>
          <w:highlight w:val="none"/>
        </w:rPr>
        <w:t>cm</w:t>
      </w:r>
      <w:r>
        <w:rPr>
          <w:rFonts w:hint="eastAsia" w:asciiTheme="minorEastAsia" w:hAnsiTheme="minorEastAsia" w:eastAsiaTheme="minorEastAsia"/>
          <w:color w:val="auto"/>
          <w:szCs w:val="24"/>
          <w:highlight w:val="none"/>
        </w:rPr>
        <w:t>。其中，管径≤DN110</w:t>
      </w:r>
      <w:r>
        <w:rPr>
          <w:rFonts w:asciiTheme="minorEastAsia" w:hAnsiTheme="minorEastAsia" w:eastAsiaTheme="minorEastAsia"/>
          <w:color w:val="auto"/>
          <w:szCs w:val="24"/>
          <w:highlight w:val="none"/>
        </w:rPr>
        <w:t>mm</w:t>
      </w:r>
      <w:r>
        <w:rPr>
          <w:rFonts w:hint="eastAsia" w:asciiTheme="minorEastAsia" w:hAnsiTheme="minorEastAsia" w:eastAsiaTheme="minorEastAsia"/>
          <w:color w:val="auto"/>
          <w:szCs w:val="24"/>
          <w:highlight w:val="none"/>
        </w:rPr>
        <w:t>的管道，</w:t>
      </w:r>
      <w:r>
        <w:rPr>
          <w:rFonts w:asciiTheme="minorEastAsia" w:hAnsiTheme="minorEastAsia" w:eastAsiaTheme="minorEastAsia"/>
          <w:color w:val="auto"/>
          <w:szCs w:val="24"/>
          <w:highlight w:val="none"/>
        </w:rPr>
        <w:t>开沟宽度为</w:t>
      </w:r>
      <w:r>
        <w:rPr>
          <w:rFonts w:hint="eastAsia" w:asciiTheme="minorEastAsia" w:hAnsiTheme="minorEastAsia" w:eastAsiaTheme="minorEastAsia"/>
          <w:color w:val="auto"/>
          <w:szCs w:val="24"/>
          <w:highlight w:val="none"/>
        </w:rPr>
        <w:t>15</w:t>
      </w:r>
      <w:r>
        <w:rPr>
          <w:rFonts w:asciiTheme="minorEastAsia" w:hAnsiTheme="minorEastAsia" w:eastAsiaTheme="minorEastAsia"/>
          <w:color w:val="auto"/>
          <w:szCs w:val="24"/>
          <w:highlight w:val="none"/>
        </w:rPr>
        <w:t>cm</w:t>
      </w:r>
      <w:r>
        <w:rPr>
          <w:rFonts w:hint="eastAsia" w:asciiTheme="minorEastAsia" w:hAnsiTheme="minorEastAsia" w:eastAsiaTheme="minorEastAsia"/>
          <w:color w:val="auto"/>
          <w:szCs w:val="24"/>
          <w:highlight w:val="none"/>
        </w:rPr>
        <w:t>；管径＞110</w:t>
      </w:r>
      <w:r>
        <w:rPr>
          <w:rFonts w:asciiTheme="minorEastAsia" w:hAnsiTheme="minorEastAsia" w:eastAsiaTheme="minorEastAsia"/>
          <w:color w:val="auto"/>
          <w:szCs w:val="24"/>
          <w:highlight w:val="none"/>
        </w:rPr>
        <w:t>mm</w:t>
      </w:r>
      <w:r>
        <w:rPr>
          <w:rFonts w:hint="eastAsia" w:asciiTheme="minorEastAsia" w:hAnsiTheme="minorEastAsia" w:eastAsiaTheme="minorEastAsia"/>
          <w:color w:val="auto"/>
          <w:szCs w:val="24"/>
          <w:highlight w:val="none"/>
        </w:rPr>
        <w:t>的管道，</w:t>
      </w:r>
      <w:r>
        <w:rPr>
          <w:rFonts w:asciiTheme="minorEastAsia" w:hAnsiTheme="minorEastAsia" w:eastAsiaTheme="minorEastAsia"/>
          <w:color w:val="auto"/>
          <w:szCs w:val="24"/>
          <w:highlight w:val="none"/>
        </w:rPr>
        <w:t>开沟宽度为20cm</w:t>
      </w:r>
      <w:r>
        <w:rPr>
          <w:rFonts w:hint="eastAsia" w:asciiTheme="minorEastAsia" w:hAnsiTheme="minorEastAsia" w:eastAsiaTheme="minorEastAsia"/>
          <w:color w:val="auto"/>
          <w:szCs w:val="24"/>
          <w:highlight w:val="none"/>
        </w:rPr>
        <w:t>。</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1、开沟前要认真调查了解交叉口的现状管线及其他障碍物等情况，以便开挖时采取妥善加固保护措施。</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2、对于管底为砂壤土的，沟底预留200～300mm 土层由人工开挖至设计高程，整平，确保沟底原状地基土不受扰动。</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对于管底为裂隙黏土的，若厚度较薄仅为100～200mm，清除该裂隙黏土，回填开挖的原状土后夯实至设计高程，并加强对地基的保护，避免扰动地基；若裂隙黏土厚度较厚，则管底及两侧135°包角范围内垫中粗砂垫层，管底中粗砂垫层厚度为0.3m。</w:t>
      </w:r>
    </w:p>
    <w:p>
      <w:pPr>
        <w:ind w:firstLine="480"/>
        <w:rPr>
          <w:rFonts w:asciiTheme="minorEastAsia" w:hAnsiTheme="minorEastAsia" w:eastAsiaTheme="minorEastAsia"/>
          <w:color w:val="auto"/>
          <w:szCs w:val="24"/>
          <w:highlight w:val="none"/>
        </w:rPr>
      </w:pPr>
      <w:r>
        <w:rPr>
          <w:rFonts w:asciiTheme="minorEastAsia" w:hAnsiTheme="minorEastAsia" w:eastAsiaTheme="minorEastAsia"/>
          <w:color w:val="auto"/>
          <w:szCs w:val="24"/>
          <w:highlight w:val="none"/>
        </w:rPr>
        <w:t>4</w:t>
      </w:r>
      <w:r>
        <w:rPr>
          <w:rFonts w:hint="eastAsia" w:asciiTheme="minorEastAsia" w:hAnsiTheme="minorEastAsia" w:eastAsiaTheme="minorEastAsia"/>
          <w:color w:val="auto"/>
          <w:szCs w:val="24"/>
          <w:highlight w:val="none"/>
        </w:rPr>
        <w:t>、管沟每侧临时堆土或施加其他荷载时，应符合下列规定：不得影响建筑物、各种管线和其他设施的安全；不得掩埋消水栓、管道闸阀、雨水口、测量标志以及各种地下管道的井盖，且不得妨碍其正常使用。</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三、管道安装</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1、</w:t>
      </w:r>
      <w:r>
        <w:rPr>
          <w:rFonts w:asciiTheme="minorEastAsia" w:hAnsiTheme="minorEastAsia" w:eastAsiaTheme="minorEastAsia"/>
          <w:color w:val="auto"/>
          <w:szCs w:val="24"/>
          <w:highlight w:val="none"/>
        </w:rPr>
        <w:t>管材的接收、保管与外观检查。</w:t>
      </w:r>
    </w:p>
    <w:p>
      <w:pPr>
        <w:ind w:firstLine="480"/>
        <w:rPr>
          <w:rFonts w:asciiTheme="minorEastAsia" w:hAnsiTheme="minorEastAsia" w:eastAsiaTheme="minorEastAsia"/>
          <w:color w:val="auto"/>
          <w:szCs w:val="24"/>
          <w:highlight w:val="none"/>
        </w:rPr>
      </w:pPr>
      <w:r>
        <w:rPr>
          <w:rFonts w:asciiTheme="minorEastAsia" w:hAnsiTheme="minorEastAsia" w:eastAsiaTheme="minorEastAsia"/>
          <w:color w:val="auto"/>
          <w:szCs w:val="24"/>
          <w:highlight w:val="none"/>
        </w:rPr>
        <w:t>管子接收时，应该逐根进行外观检查，查看壁厚是否均匀合格，有无损伤、划痕，有无管沟和气泡、突出等，不合格管子应坚决剔除。管材合格接收后，由施工单位负责管护，并办理交接手续。</w:t>
      </w:r>
      <w:r>
        <w:rPr>
          <w:rFonts w:hint="eastAsia" w:asciiTheme="minorEastAsia" w:hAnsiTheme="minorEastAsia" w:eastAsiaTheme="minorEastAsia"/>
          <w:color w:val="auto"/>
          <w:szCs w:val="24"/>
          <w:highlight w:val="none"/>
        </w:rPr>
        <w:t>管道施工前应将管材、管件运抵现场并沿管沟排放在无堆土的一侧，安装前应对管材进行外观检查，发现有破损变形时应立即更换。</w:t>
      </w:r>
    </w:p>
    <w:p>
      <w:pPr>
        <w:ind w:firstLine="480"/>
        <w:rPr>
          <w:rFonts w:asciiTheme="minorEastAsia" w:hAnsiTheme="minorEastAsia" w:eastAsiaTheme="minorEastAsia"/>
          <w:color w:val="auto"/>
          <w:szCs w:val="24"/>
          <w:highlight w:val="none"/>
        </w:rPr>
      </w:pPr>
      <w:r>
        <w:rPr>
          <w:rFonts w:asciiTheme="minorEastAsia" w:hAnsiTheme="minorEastAsia" w:eastAsiaTheme="minorEastAsia"/>
          <w:color w:val="auto"/>
          <w:szCs w:val="24"/>
          <w:highlight w:val="none"/>
        </w:rPr>
        <w:t>管材、管件在装卸和搬运时，应小心轻放，排放整齐，避免油污，不得受剧烈撞击及尖锐物品碰触</w:t>
      </w:r>
      <w:r>
        <w:rPr>
          <w:rFonts w:hint="eastAsia" w:asciiTheme="minorEastAsia" w:hAnsiTheme="minorEastAsia" w:eastAsiaTheme="minorEastAsia"/>
          <w:color w:val="auto"/>
          <w:szCs w:val="24"/>
          <w:highlight w:val="none"/>
        </w:rPr>
        <w:t>。</w:t>
      </w:r>
      <w:r>
        <w:rPr>
          <w:rFonts w:asciiTheme="minorEastAsia" w:hAnsiTheme="minorEastAsia" w:eastAsiaTheme="minorEastAsia"/>
          <w:color w:val="auto"/>
          <w:szCs w:val="24"/>
          <w:highlight w:val="none"/>
        </w:rPr>
        <w:t>管材吊装时，不得采用金属绳索，不得抛、摔、滚、拖。管材堆放场地应平整，无突出尖棱物块，有遮阳网覆盖，远离热源，且应避免接触腐蚀性溶剂。直管堆放高度应不大于1.5m，带法兰的管材，交替排列存放，管件码放整齐，堆放高度不宜超过2.0m，堆放场地应设灭火器材。</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2、PE管道连接</w:t>
      </w:r>
    </w:p>
    <w:p>
      <w:pPr>
        <w:ind w:firstLine="480"/>
        <w:rPr>
          <w:rFonts w:asciiTheme="minorEastAsia" w:hAnsiTheme="minorEastAsia" w:eastAsiaTheme="minorEastAsia"/>
          <w:color w:val="auto"/>
          <w:szCs w:val="24"/>
          <w:highlight w:val="none"/>
        </w:rPr>
      </w:pPr>
      <w:r>
        <w:rPr>
          <w:rFonts w:asciiTheme="minorEastAsia" w:hAnsiTheme="minorEastAsia" w:eastAsiaTheme="minorEastAsia"/>
          <w:color w:val="auto"/>
          <w:szCs w:val="24"/>
          <w:highlight w:val="none"/>
        </w:rPr>
        <w:t>管材、管件及附件的连接应采用热熔连接或电熔连接及机械对接，管道各种连接应采用专用工具，严禁明火加热。管道连接断面应平整、光滑、无毛刺，并垂直于管轴线。连接后的接头，要及时检查外观质量，不合格的必须进行返工。</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热熔对接连接方式施工的主要步骤有：</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 xml:space="preserve">（1）材料准备：将管道或管件置于平坦位置，放于对接机上，留足10-20mm的切削余量。 </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（2）夹紧：根据所焊制的管材、管件选择合适的卡瓦夹具，夹紧管材，为切削做好准备。</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（3）切削：切削所焊管段、管件端面杂质和氧化层，保证两对接端面平整、光洁、无杂质。</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（4）对中：两焊管段端面要完全对中，错边越小越好，错边不能超过壁厚的10%，否则将影响对接质量。</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 xml:space="preserve">（5）加热：对接温度一般在210-230℃之间为宜，加热板加热时间冬夏有别，以两端面熔融长度为1-2mm为佳。 </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（6）切换：将加热板拿开，迅速让两熔接端面相粘并加压，为保证熔融对接质量，切换周期越短越好。</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 xml:space="preserve">（7）熔融对接：是焊接的关键，对接过程应始终处于熔融压力下进行，卷边宽度以2-4mm为宜。 </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（8）冷却：保持对接压力不变，让接口缓慢冷却，冷却时间长短以手摸卷边生硬，感觉不到热为准。</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（9）对接完成：冷却好后松开卡瓦，移开对接机，重新准备下一接口连接。</w:t>
      </w:r>
    </w:p>
    <w:p>
      <w:pPr>
        <w:ind w:firstLine="480"/>
        <w:rPr>
          <w:rFonts w:asciiTheme="minorEastAsia" w:hAnsiTheme="minorEastAsia" w:eastAsiaTheme="minorEastAsia"/>
          <w:color w:val="auto"/>
          <w:szCs w:val="24"/>
          <w:highlight w:val="none"/>
        </w:rPr>
      </w:pPr>
      <w:r>
        <w:rPr>
          <w:rFonts w:asciiTheme="minorEastAsia" w:hAnsiTheme="minorEastAsia" w:eastAsiaTheme="minorEastAsia"/>
          <w:color w:val="auto"/>
          <w:szCs w:val="24"/>
          <w:highlight w:val="none"/>
        </w:rPr>
        <w:t>管道同金属管件或辅助性设备连接时，必须在管沟内进行，严禁将管道和重型管件连接后其同下沟，所有重型管件或辅助性设备均需设置砼底座。法兰连接时，两法兰面要平行，螺栓与螺孔直径配套，长短一致，螺帽在同一侧，螺栓紧固时按对称顺序均匀紧固。法兰连接前要进行防腐处理，连接后，对整个连接部分进行防腐处理。钢管连接采用密封圈承插连接或法兰连接，连接需保证管道的机械性能、耐腐蚀性能和密封性能满足要求。</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w:t>
      </w:r>
      <w:r>
        <w:rPr>
          <w:rFonts w:asciiTheme="minorEastAsia" w:hAnsiTheme="minorEastAsia" w:eastAsiaTheme="minorEastAsia"/>
          <w:color w:val="auto"/>
          <w:szCs w:val="24"/>
          <w:highlight w:val="none"/>
        </w:rPr>
        <w:t>管道</w:t>
      </w:r>
      <w:r>
        <w:rPr>
          <w:rFonts w:hint="eastAsia" w:asciiTheme="minorEastAsia" w:hAnsiTheme="minorEastAsia" w:eastAsiaTheme="minorEastAsia"/>
          <w:color w:val="auto"/>
          <w:szCs w:val="24"/>
          <w:highlight w:val="none"/>
        </w:rPr>
        <w:t>安装施工</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（1）安装前检验管沟是否达到安装要求，管沟底面如有落石、落土应予清除，积水应事先排净并落干。安装管道时应防止砂石及其它杂物进入管道，如中断安装应封堵管口。</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（2）管道安装要与管床接触紧密，不得使用木材、砖石等衬垫。安装管道应按先干管后支管，自低处至高处的顺序进行。在管道弯头、三通等处均用C20砼设置混凝土支礅，法兰阀门用砖砌支礅加固。</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PE给水管与金属管道、阀门连接时，必须采用钢塑过渡接头或专门的法兰连接。管道和管件安装完毕后，应部分填土并夯实，使管道定位后再进行水压试验，否则极易造成管道移位甚至脱节。部分回填的高度应达到管顶高度的一半左右0.</w:t>
      </w:r>
      <w:r>
        <w:rPr>
          <w:rFonts w:asciiTheme="minorEastAsia" w:hAnsiTheme="minorEastAsia" w:eastAsiaTheme="minorEastAsia"/>
          <w:color w:val="auto"/>
          <w:szCs w:val="24"/>
          <w:highlight w:val="none"/>
        </w:rPr>
        <w:t>5</w:t>
      </w:r>
      <w:r>
        <w:rPr>
          <w:rFonts w:hint="eastAsia" w:asciiTheme="minorEastAsia" w:hAnsiTheme="minorEastAsia" w:eastAsiaTheme="minorEastAsia"/>
          <w:color w:val="auto"/>
          <w:szCs w:val="24"/>
          <w:highlight w:val="none"/>
        </w:rPr>
        <w:t>m。</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四、管道试压</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1、试压前的准备阶段</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（1）管道试压前应进行充水浸泡，时间不应小于12h。管道充水后应对未回填的外漏连接点（包括管道与管道附件连接部位）进行检查，发现渗漏应进行排除。</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（2）水压试验静水压力不应小于管道工作压力的1.5倍，且试验压力不应低于0.80MPa，不得将气压试验代替水压试验。</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（3）管道水压试验长度不宜大于1000m。对中间设有附件的管段，水压试验分段长度不宜大于500m，系统中有不同材质的管道应分别进行试验。</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（4）对试压管段端头支撑挡板应进行牢固胜和可靠性的检查，试验时其支撑设施严禁松动崩脱，不得将阀门作为封板。</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（5）加压宜采用带计量装置的机械设备，当采用弹簧压力表时，其精度不应低于1.5级，量程范围宜为试验压力1.3~1.5 倍，表盘直径不应小于 150mm。</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（6）试压管段不得包括水锤消除器，室外消防栓等管道附件。系统包含的各类阀门，应处于全开状态。</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2、管道试压</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（1）预试压阶段</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①将试验管道内的水压降至大气压，并持续60min，期间应确保空气不进入管道。</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②缓慢地将管道内水压升至试验压力并稳压30min，期间如有压力下降可注水补压，但不得高于试验压力。检查管道接口、配件等处有无渗漏现象。当有渗漏现象时应中止试验，并查明原因采取相应措施后重新组织试验。</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③停止注水补压并稳定60min。当60min后压力下降不超过试验压力的70%时，则预试压阶段的工作结束。当60min后压力下降低于试验压力的70%时，应停止试验，并应查明原因采取相应措施后再组织试验。</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（2）主试压阶段</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①在预试压阶段结束后，迅速将管道泄水降压，降压量为试验压力的10%~15%。</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②每隔3min记录一次管道剩余压力，应记录30min。当30min内管道剩余压力有上升趋势时，则水压试验结果合格。</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③30min内管道剩余压力无上升趋势时，则应再持续观察60min。当在整个90min内压力下降不超过0.02MPa，则水压试验结果合格。</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④当主试压阶段上述两条均不能满足时，则水压试验结果不合格。应查明原因并采取相应措施后再组织试验。</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⑤试验合格后应按要求，全面回填到与地面相平。</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3、试压时注意事项</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（1）试压时应把空气排除净，否则试压时压力表的反应较差。</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（2）管道的蔽口处应用管堵堵严，并加临时支撑，不得用阀门代替。</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（3）当管道有压时，严禁修整管道和紧固螺栓，检查管道时不得用手锤敲打管壁和接口，遇有缺陷时应做出标志，卸压后再修补。</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（4）试压泵安装在管道的低端，压力表每端装一个阀门控制。</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（5）水压试验时，管道两端严禁站人。</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五、管沟回填</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管道施工完毕并经检验合格后，管沟应及时回填。</w:t>
      </w:r>
    </w:p>
    <w:p>
      <w:pPr>
        <w:ind w:firstLine="480"/>
        <w:rPr>
          <w:rFonts w:asciiTheme="minorEastAsia" w:hAnsiTheme="minorEastAsia" w:eastAsiaTheme="minorEastAsia"/>
          <w:color w:val="auto"/>
          <w:szCs w:val="24"/>
          <w:highlight w:val="none"/>
        </w:rPr>
      </w:pPr>
      <w:r>
        <w:rPr>
          <w:rFonts w:asciiTheme="minorEastAsia" w:hAnsiTheme="minorEastAsia" w:eastAsiaTheme="minorEastAsia"/>
          <w:color w:val="auto"/>
          <w:szCs w:val="24"/>
          <w:highlight w:val="none"/>
        </w:rPr>
        <w:t>1</w:t>
      </w:r>
      <w:r>
        <w:rPr>
          <w:rFonts w:hint="eastAsia" w:asciiTheme="minorEastAsia" w:hAnsiTheme="minorEastAsia" w:eastAsiaTheme="minorEastAsia"/>
          <w:color w:val="auto"/>
          <w:szCs w:val="24"/>
          <w:highlight w:val="none"/>
        </w:rPr>
        <w:t>、压力管道管沟回填前应符合下列规定：水压试验前，除接口外，管道两侧及管顶以上回填高度不应小于0.5 m；水压试验合格后，应及时回填其余部分。</w:t>
      </w:r>
    </w:p>
    <w:p>
      <w:pPr>
        <w:ind w:firstLine="480"/>
        <w:rPr>
          <w:rFonts w:asciiTheme="minorEastAsia" w:hAnsiTheme="minorEastAsia" w:eastAsiaTheme="minorEastAsia"/>
          <w:color w:val="auto"/>
          <w:szCs w:val="24"/>
          <w:highlight w:val="none"/>
        </w:rPr>
      </w:pPr>
      <w:r>
        <w:rPr>
          <w:rFonts w:asciiTheme="minorEastAsia" w:hAnsiTheme="minorEastAsia" w:eastAsiaTheme="minorEastAsia"/>
          <w:color w:val="auto"/>
          <w:szCs w:val="24"/>
          <w:highlight w:val="none"/>
        </w:rPr>
        <w:t>2</w:t>
      </w:r>
      <w:r>
        <w:rPr>
          <w:rFonts w:hint="eastAsia" w:asciiTheme="minorEastAsia" w:hAnsiTheme="minorEastAsia" w:eastAsiaTheme="minorEastAsia"/>
          <w:color w:val="auto"/>
          <w:szCs w:val="24"/>
          <w:highlight w:val="none"/>
        </w:rPr>
        <w:t>、沟底至管顶以上50cm范围内，不得含有机物、冻土以及大于50</w:t>
      </w:r>
      <w:r>
        <w:rPr>
          <w:rFonts w:asciiTheme="minorEastAsia" w:hAnsiTheme="minorEastAsia" w:eastAsiaTheme="minorEastAsia"/>
          <w:color w:val="auto"/>
          <w:szCs w:val="24"/>
          <w:highlight w:val="none"/>
        </w:rPr>
        <w:t>mm</w:t>
      </w:r>
      <w:r>
        <w:rPr>
          <w:rFonts w:hint="eastAsia" w:asciiTheme="minorEastAsia" w:hAnsiTheme="minorEastAsia" w:eastAsiaTheme="minorEastAsia"/>
          <w:color w:val="auto"/>
          <w:szCs w:val="24"/>
          <w:highlight w:val="none"/>
        </w:rPr>
        <w:t>的砖、石等硬块；在抹带接口处、防腐绝缘层或电缆周围，应采用细粒土回填，冬期回填时管顶以上50cm范围以外可均匀掺入冻土，其数量不得超过填土总体积的15%，且冻块尺寸不得超过100mm。回填土的含水量，宜按土类和采用的压实工具控制在最佳含水量附近。回填土的每层虚铺厚度，应按采用的压实工具和要求的压实确定。对一般压实工具，铺土厚度可按下表的数值选用。</w:t>
      </w:r>
    </w:p>
    <w:p>
      <w:pPr>
        <w:pStyle w:val="156"/>
        <w:spacing w:line="360" w:lineRule="auto"/>
        <w:ind w:right="482"/>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表6.2-</w:t>
      </w:r>
      <w:r>
        <w:rPr>
          <w:rFonts w:asciiTheme="minorEastAsia" w:hAnsiTheme="minorEastAsia" w:eastAsiaTheme="minorEastAsia"/>
          <w:color w:val="auto"/>
          <w:highlight w:val="none"/>
        </w:rPr>
        <w:t>1</w:t>
      </w:r>
      <w:r>
        <w:rPr>
          <w:rFonts w:hint="eastAsia" w:asciiTheme="minorEastAsia" w:hAnsiTheme="minorEastAsia" w:eastAsiaTheme="minorEastAsia"/>
          <w:color w:val="auto"/>
          <w:highlight w:val="none"/>
        </w:rPr>
        <w:t xml:space="preserve">  </w:t>
      </w:r>
      <w:r>
        <w:rPr>
          <w:rFonts w:asciiTheme="minorEastAsia" w:hAnsiTheme="minorEastAsia" w:eastAsiaTheme="minorEastAsia"/>
          <w:color w:val="auto"/>
          <w:highlight w:val="none"/>
        </w:rPr>
        <w:t>回填土每层虚铺厚度</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8"/>
        <w:gridCol w:w="4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188" w:type="dxa"/>
            <w:vAlign w:val="center"/>
          </w:tcPr>
          <w:p>
            <w:pPr>
              <w:pStyle w:val="158"/>
              <w:spacing w:line="360" w:lineRule="auto"/>
              <w:rPr>
                <w:rFonts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压实工具</w:t>
            </w:r>
          </w:p>
        </w:tc>
        <w:tc>
          <w:tcPr>
            <w:tcW w:w="4188" w:type="dxa"/>
            <w:vAlign w:val="center"/>
          </w:tcPr>
          <w:p>
            <w:pPr>
              <w:pStyle w:val="158"/>
              <w:spacing w:line="360" w:lineRule="auto"/>
              <w:rPr>
                <w:rFonts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虚铺厚度（cm）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188" w:type="dxa"/>
            <w:vAlign w:val="center"/>
          </w:tcPr>
          <w:p>
            <w:pPr>
              <w:pStyle w:val="158"/>
              <w:spacing w:line="360" w:lineRule="auto"/>
              <w:rPr>
                <w:rFonts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木夯、铁夯</w:t>
            </w:r>
          </w:p>
        </w:tc>
        <w:tc>
          <w:tcPr>
            <w:tcW w:w="4188" w:type="dxa"/>
            <w:vAlign w:val="center"/>
          </w:tcPr>
          <w:p>
            <w:pPr>
              <w:pStyle w:val="158"/>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w:t>
            </w:r>
            <w:r>
              <w:rPr>
                <w:rFonts w:asciiTheme="minorEastAsia" w:hAnsiTheme="minorEastAsia" w:eastAsiaTheme="minorEastAsia"/>
                <w:color w:val="auto"/>
                <w:sz w:val="24"/>
                <w:szCs w:val="24"/>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188" w:type="dxa"/>
            <w:vAlign w:val="center"/>
          </w:tcPr>
          <w:p>
            <w:pPr>
              <w:pStyle w:val="158"/>
              <w:spacing w:line="360" w:lineRule="auto"/>
              <w:rPr>
                <w:rFonts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蛙式夯、火力夯</w:t>
            </w:r>
          </w:p>
        </w:tc>
        <w:tc>
          <w:tcPr>
            <w:tcW w:w="4188" w:type="dxa"/>
            <w:vAlign w:val="center"/>
          </w:tcPr>
          <w:p>
            <w:pPr>
              <w:pStyle w:val="158"/>
              <w:spacing w:line="360" w:lineRule="auto"/>
              <w:rPr>
                <w:rFonts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188" w:type="dxa"/>
            <w:vAlign w:val="center"/>
          </w:tcPr>
          <w:p>
            <w:pPr>
              <w:pStyle w:val="158"/>
              <w:spacing w:line="360" w:lineRule="auto"/>
              <w:rPr>
                <w:rFonts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压路机</w:t>
            </w:r>
          </w:p>
        </w:tc>
        <w:tc>
          <w:tcPr>
            <w:tcW w:w="4188" w:type="dxa"/>
            <w:vAlign w:val="center"/>
          </w:tcPr>
          <w:p>
            <w:pPr>
              <w:pStyle w:val="158"/>
              <w:spacing w:line="360" w:lineRule="auto"/>
              <w:rPr>
                <w:rFonts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20~30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188" w:type="dxa"/>
            <w:vAlign w:val="center"/>
          </w:tcPr>
          <w:p>
            <w:pPr>
              <w:pStyle w:val="158"/>
              <w:spacing w:line="360" w:lineRule="auto"/>
              <w:rPr>
                <w:rFonts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振动压路机</w:t>
            </w:r>
          </w:p>
        </w:tc>
        <w:tc>
          <w:tcPr>
            <w:tcW w:w="4188" w:type="dxa"/>
            <w:vAlign w:val="center"/>
          </w:tcPr>
          <w:p>
            <w:pPr>
              <w:pStyle w:val="158"/>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w:t>
            </w:r>
            <w:r>
              <w:rPr>
                <w:rFonts w:asciiTheme="minorEastAsia" w:hAnsiTheme="minorEastAsia" w:eastAsiaTheme="minorEastAsia"/>
                <w:color w:val="auto"/>
                <w:sz w:val="24"/>
                <w:szCs w:val="24"/>
                <w:highlight w:val="none"/>
              </w:rPr>
              <w:t>40</w:t>
            </w:r>
          </w:p>
        </w:tc>
      </w:tr>
    </w:tbl>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回填土每层的压实遍数，应按要求的压实度、压实工具、虚铺厚度和含水量，经现场试验确定。当采用重型压实机构压实或较重车辆在回填土上行驶时，管道顶部以上应有一定厚度的压实回填土，其最小厚度应按压实机械的规格和管道的设计承载力，通过计算确定。</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4、管沟回填时砖、石、木块等杂物应清除干净，回填土或其他回填材料运入沟内时不得损伤管节及其接口，根据一层虚铺厚度的用量将回填材料运至沟内，且不得在影响压实的范围内堆料；回填土料时，应均匀运入沟内，不得集中推入。</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5、管沟回填土或其他材料的压实实应逐层进行，且不得损伤管道，管顶以上50cm范围内，应采用轻夯压实。</w:t>
      </w:r>
    </w:p>
    <w:p>
      <w:pPr>
        <w:ind w:firstLine="480"/>
        <w:rPr>
          <w:rFonts w:asciiTheme="minorEastAsia" w:hAnsiTheme="minorEastAsia" w:eastAsiaTheme="minorEastAsia"/>
          <w:color w:val="auto"/>
          <w:szCs w:val="24"/>
          <w:highlight w:val="none"/>
        </w:rPr>
      </w:pPr>
      <w:r>
        <w:rPr>
          <w:rFonts w:asciiTheme="minorEastAsia" w:hAnsiTheme="minorEastAsia" w:eastAsiaTheme="minorEastAsia"/>
          <w:color w:val="auto"/>
          <w:szCs w:val="24"/>
          <w:highlight w:val="none"/>
        </w:rPr>
        <w:t>6</w:t>
      </w:r>
      <w:r>
        <w:rPr>
          <w:rFonts w:hint="eastAsia" w:asciiTheme="minorEastAsia" w:hAnsiTheme="minorEastAsia" w:eastAsiaTheme="minorEastAsia"/>
          <w:color w:val="auto"/>
          <w:szCs w:val="24"/>
          <w:highlight w:val="none"/>
        </w:rPr>
        <w:t>、分段回填压实时，相邻段的接茬应呈阶梯形，且不得漏夯；采用木夯、蛙式夯等压实工具时，应夯夯相连；采用压路机时，碾压的重叠宽度不得小于20cm；管顶以上25cm范围内回填土表层的压实度不应小于</w:t>
      </w:r>
      <w:r>
        <w:rPr>
          <w:rFonts w:asciiTheme="minorEastAsia" w:hAnsiTheme="minorEastAsia" w:eastAsiaTheme="minorEastAsia"/>
          <w:color w:val="auto"/>
          <w:szCs w:val="24"/>
          <w:highlight w:val="none"/>
        </w:rPr>
        <w:t>90</w:t>
      </w:r>
      <w:r>
        <w:rPr>
          <w:rFonts w:hint="eastAsia" w:asciiTheme="minorEastAsia" w:hAnsiTheme="minorEastAsia" w:eastAsiaTheme="minorEastAsia"/>
          <w:color w:val="auto"/>
          <w:szCs w:val="24"/>
          <w:highlight w:val="none"/>
        </w:rPr>
        <w:t>%。</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六、管道冲洗与消毒</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在压力试验合格后需进行管道清洗消毒，方法如下：</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1、首先对管道</w:t>
      </w:r>
      <w:r>
        <w:rPr>
          <w:rFonts w:asciiTheme="minorEastAsia" w:hAnsiTheme="minorEastAsia" w:eastAsiaTheme="minorEastAsia"/>
          <w:color w:val="auto"/>
          <w:szCs w:val="24"/>
          <w:highlight w:val="none"/>
        </w:rPr>
        <w:t>进行冲洗，冲洗水应清洁，浊度应小于</w:t>
      </w:r>
      <w:r>
        <w:rPr>
          <w:rFonts w:hint="eastAsia" w:asciiTheme="minorEastAsia" w:hAnsiTheme="minorEastAsia" w:eastAsiaTheme="minorEastAsia"/>
          <w:color w:val="auto"/>
          <w:szCs w:val="24"/>
          <w:highlight w:val="none"/>
        </w:rPr>
        <w:t>5NTU，</w:t>
      </w:r>
      <w:r>
        <w:rPr>
          <w:rFonts w:asciiTheme="minorEastAsia" w:hAnsiTheme="minorEastAsia" w:eastAsiaTheme="minorEastAsia"/>
          <w:color w:val="auto"/>
          <w:szCs w:val="24"/>
          <w:highlight w:val="none"/>
        </w:rPr>
        <w:t>冲洗流速</w:t>
      </w:r>
      <w:r>
        <w:rPr>
          <w:rFonts w:hint="eastAsia" w:asciiTheme="minorEastAsia" w:hAnsiTheme="minorEastAsia" w:eastAsiaTheme="minorEastAsia"/>
          <w:color w:val="auto"/>
          <w:szCs w:val="24"/>
          <w:highlight w:val="none"/>
        </w:rPr>
        <w:t>应大于1</w:t>
      </w:r>
      <w:r>
        <w:rPr>
          <w:rFonts w:asciiTheme="minorEastAsia" w:hAnsiTheme="minorEastAsia" w:eastAsiaTheme="minorEastAsia"/>
          <w:color w:val="auto"/>
          <w:szCs w:val="24"/>
          <w:highlight w:val="none"/>
        </w:rPr>
        <w:t>m/s，直到冲洗水的排放水与进水的浊度相一致</w:t>
      </w:r>
      <w:r>
        <w:rPr>
          <w:rFonts w:hint="eastAsia" w:asciiTheme="minorEastAsia" w:hAnsiTheme="minorEastAsia" w:eastAsiaTheme="minorEastAsia"/>
          <w:color w:val="auto"/>
          <w:szCs w:val="24"/>
          <w:highlight w:val="none"/>
        </w:rPr>
        <w:t>为止</w:t>
      </w:r>
      <w:r>
        <w:rPr>
          <w:rFonts w:asciiTheme="minorEastAsia" w:hAnsiTheme="minorEastAsia" w:eastAsiaTheme="minorEastAsia"/>
          <w:color w:val="auto"/>
          <w:szCs w:val="24"/>
          <w:highlight w:val="none"/>
        </w:rPr>
        <w:t>。</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2、将管道系统内存水放空，再灌注氯溶液（浓度≮20mg/L），让其在系统内静置不小于24小时进行消毒；</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3、放空消毒液，再用生活饮用水冲洗管道；由卫生部门检测，符合《生活饮用水卫生标准》，则清洗合格，可交付使用。否则应重复消毒和清洗，直至符合要求为止。</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七、竣工清理</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多余的回填土方，要随进程及时清除和外运至存放场地，并清理施工垃圾，回收剩余材料，恢复地貌，使施工现场整洁。</w:t>
      </w:r>
    </w:p>
    <w:p>
      <w:pPr>
        <w:pStyle w:val="4"/>
        <w:rPr>
          <w:color w:val="auto"/>
          <w:highlight w:val="none"/>
        </w:rPr>
      </w:pPr>
      <w:bookmarkStart w:id="125" w:name="_Toc470393436"/>
      <w:bookmarkStart w:id="126" w:name="_Toc470392871"/>
      <w:bookmarkStart w:id="127" w:name="_Toc470393119"/>
      <w:r>
        <w:rPr>
          <w:rFonts w:hint="eastAsia"/>
          <w:color w:val="auto"/>
          <w:highlight w:val="none"/>
        </w:rPr>
        <w:t>8.3.4拉管</w:t>
      </w:r>
      <w:r>
        <w:rPr>
          <w:color w:val="auto"/>
          <w:highlight w:val="none"/>
        </w:rPr>
        <w:t>施工</w:t>
      </w:r>
      <w:bookmarkEnd w:id="125"/>
      <w:bookmarkEnd w:id="126"/>
      <w:bookmarkEnd w:id="127"/>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一、</w:t>
      </w:r>
      <w:r>
        <w:rPr>
          <w:rFonts w:asciiTheme="minorEastAsia" w:hAnsiTheme="minorEastAsia" w:eastAsiaTheme="minorEastAsia"/>
          <w:color w:val="auto"/>
          <w:szCs w:val="24"/>
          <w:highlight w:val="none"/>
        </w:rPr>
        <w:t>施工</w:t>
      </w:r>
      <w:r>
        <w:rPr>
          <w:rFonts w:hint="eastAsia" w:asciiTheme="minorEastAsia" w:hAnsiTheme="minorEastAsia" w:eastAsiaTheme="minorEastAsia"/>
          <w:color w:val="auto"/>
          <w:szCs w:val="24"/>
          <w:highlight w:val="none"/>
        </w:rPr>
        <w:t>工艺流程</w:t>
      </w:r>
    </w:p>
    <w:p>
      <w:pPr>
        <w:ind w:firstLine="420"/>
        <w:rPr>
          <w:rFonts w:asciiTheme="minorEastAsia" w:hAnsiTheme="minorEastAsia" w:eastAsiaTheme="minorEastAsia"/>
          <w:color w:val="auto"/>
          <w:sz w:val="21"/>
          <w:szCs w:val="21"/>
          <w:highlight w:val="none"/>
        </w:rPr>
      </w:pPr>
      <w:r>
        <w:rPr>
          <w:rFonts w:asciiTheme="minorEastAsia" w:hAnsiTheme="minorEastAsia" w:eastAsiaTheme="minorEastAsia"/>
          <w:color w:val="auto"/>
          <w:sz w:val="21"/>
          <w:szCs w:val="21"/>
          <w:highlight w:val="none"/>
        </w:rPr>
        <mc:AlternateContent>
          <mc:Choice Requires="wps">
            <w:drawing>
              <wp:anchor distT="0" distB="0" distL="114300" distR="114300" simplePos="0" relativeHeight="251667456" behindDoc="0" locked="0" layoutInCell="1" allowOverlap="1">
                <wp:simplePos x="0" y="0"/>
                <wp:positionH relativeFrom="column">
                  <wp:posOffset>81280</wp:posOffset>
                </wp:positionH>
                <wp:positionV relativeFrom="paragraph">
                  <wp:posOffset>118745</wp:posOffset>
                </wp:positionV>
                <wp:extent cx="1024890" cy="291465"/>
                <wp:effectExtent l="0" t="0" r="3810" b="0"/>
                <wp:wrapNone/>
                <wp:docPr id="53" name="Text Box 7"/>
                <wp:cNvGraphicFramePr/>
                <a:graphic xmlns:a="http://schemas.openxmlformats.org/drawingml/2006/main">
                  <a:graphicData uri="http://schemas.microsoft.com/office/word/2010/wordprocessingShape">
                    <wps:wsp>
                      <wps:cNvSpPr txBox="1">
                        <a:spLocks noChangeArrowheads="1"/>
                      </wps:cNvSpPr>
                      <wps:spPr bwMode="auto">
                        <a:xfrm>
                          <a:off x="0" y="0"/>
                          <a:ext cx="1024890" cy="291465"/>
                        </a:xfrm>
                        <a:prstGeom prst="rect">
                          <a:avLst/>
                        </a:prstGeom>
                        <a:solidFill>
                          <a:srgbClr val="FFFFFF"/>
                        </a:solidFill>
                        <a:ln w="9525">
                          <a:solidFill>
                            <a:srgbClr val="000000"/>
                          </a:solidFill>
                          <a:miter lim="800000"/>
                        </a:ln>
                      </wps:spPr>
                      <wps:txbx>
                        <w:txbxContent>
                          <w:p>
                            <w:pPr>
                              <w:spacing w:line="240" w:lineRule="auto"/>
                              <w:ind w:firstLine="0" w:firstLineChars="0"/>
                              <w:jc w:val="center"/>
                              <w:rPr>
                                <w:sz w:val="21"/>
                                <w:szCs w:val="21"/>
                              </w:rPr>
                            </w:pPr>
                            <w:r>
                              <w:rPr>
                                <w:sz w:val="21"/>
                                <w:szCs w:val="21"/>
                              </w:rPr>
                              <w:t>施工前准备</w:t>
                            </w:r>
                          </w:p>
                        </w:txbxContent>
                      </wps:txbx>
                      <wps:bodyPr rot="0" vert="horz" wrap="square" lIns="91440" tIns="45720" rIns="91440" bIns="45720" anchor="t" anchorCtr="0" upright="1">
                        <a:noAutofit/>
                      </wps:bodyPr>
                    </wps:wsp>
                  </a:graphicData>
                </a:graphic>
              </wp:anchor>
            </w:drawing>
          </mc:Choice>
          <mc:Fallback>
            <w:pict>
              <v:shape id="Text Box 7" o:spid="_x0000_s1026" o:spt="202" type="#_x0000_t202" style="position:absolute;left:0pt;margin-left:6.4pt;margin-top:9.35pt;height:22.95pt;width:80.7pt;z-index:251667456;mso-width-relative:page;mso-height-relative:page;" fillcolor="#FFFFFF" filled="t" stroked="t" coordsize="21600,21600" o:gfxdata="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J9Z6zXAAAACAEAAA8AAAAAAAAAAQAgAAAAIgAAAGRycy9kb3ducmV2LnhtbFBL&#10;AQIUABQAAAAIAIdO4kDBW3nNMAIAAIcEAAAOAAAAAAAAAAEAIAAAACYBAABkcnMvZTJvRG9jLnht&#10;bFBLBQYAAAAABgAGAFkBAADIBQAAAAA=&#10;">
                <v:fill on="t" focussize="0,0"/>
                <v:stroke color="#000000" miterlimit="8" joinstyle="miter"/>
                <v:imagedata o:title=""/>
                <o:lock v:ext="edit" aspectratio="f"/>
                <v:textbox>
                  <w:txbxContent>
                    <w:p>
                      <w:pPr>
                        <w:spacing w:line="240" w:lineRule="auto"/>
                        <w:ind w:firstLine="0" w:firstLineChars="0"/>
                        <w:jc w:val="center"/>
                        <w:rPr>
                          <w:sz w:val="21"/>
                          <w:szCs w:val="21"/>
                        </w:rPr>
                      </w:pPr>
                      <w:r>
                        <w:rPr>
                          <w:sz w:val="21"/>
                          <w:szCs w:val="21"/>
                        </w:rPr>
                        <w:t>施工前准备</w:t>
                      </w:r>
                    </w:p>
                  </w:txbxContent>
                </v:textbox>
              </v:shape>
            </w:pict>
          </mc:Fallback>
        </mc:AlternateContent>
      </w:r>
      <w:r>
        <w:rPr>
          <w:rFonts w:asciiTheme="minorEastAsia" w:hAnsiTheme="minorEastAsia" w:eastAsiaTheme="minorEastAsia"/>
          <w:color w:val="auto"/>
          <w:sz w:val="21"/>
          <w:szCs w:val="21"/>
          <w:highlight w:val="none"/>
        </w:rPr>
        <mc:AlternateContent>
          <mc:Choice Requires="wps">
            <w:drawing>
              <wp:anchor distT="0" distB="0" distL="114300" distR="114300" simplePos="0" relativeHeight="251668480" behindDoc="0" locked="0" layoutInCell="1" allowOverlap="1">
                <wp:simplePos x="0" y="0"/>
                <wp:positionH relativeFrom="column">
                  <wp:posOffset>1106170</wp:posOffset>
                </wp:positionH>
                <wp:positionV relativeFrom="paragraph">
                  <wp:posOffset>239395</wp:posOffset>
                </wp:positionV>
                <wp:extent cx="492125" cy="10160"/>
                <wp:effectExtent l="0" t="76200" r="3175" b="66040"/>
                <wp:wrapNone/>
                <wp:docPr id="52" name="AutoShape 8"/>
                <wp:cNvGraphicFramePr/>
                <a:graphic xmlns:a="http://schemas.openxmlformats.org/drawingml/2006/main">
                  <a:graphicData uri="http://schemas.microsoft.com/office/word/2010/wordprocessingShape">
                    <wps:wsp>
                      <wps:cNvCnPr>
                        <a:cxnSpLocks noChangeShapeType="1"/>
                      </wps:cNvCnPr>
                      <wps:spPr bwMode="auto">
                        <a:xfrm flipV="1">
                          <a:off x="0" y="0"/>
                          <a:ext cx="492125" cy="10160"/>
                        </a:xfrm>
                        <a:prstGeom prst="straightConnector1">
                          <a:avLst/>
                        </a:prstGeom>
                        <a:noFill/>
                        <a:ln w="9525">
                          <a:solidFill>
                            <a:srgbClr val="000000"/>
                          </a:solidFill>
                          <a:round/>
                          <a:tailEnd type="triangle" w="med" len="med"/>
                        </a:ln>
                      </wps:spPr>
                      <wps:bodyPr/>
                    </wps:wsp>
                  </a:graphicData>
                </a:graphic>
              </wp:anchor>
            </w:drawing>
          </mc:Choice>
          <mc:Fallback>
            <w:pict>
              <v:shape id="AutoShape 8" o:spid="_x0000_s1026" o:spt="32" type="#_x0000_t32" style="position:absolute;left:0pt;flip:y;margin-left:87.1pt;margin-top:18.85pt;height:0.8pt;width:38.75pt;z-index:251668480;mso-width-relative:page;mso-height-relative:page;" filled="f" stroked="t" coordsize="21600,21600" o:gfxdata="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Hi88NkAAAAJAQAADwAAAAAAAAABACAAAAAiAAAAZHJzL2Rvd25yZXYueG1s&#10;UEsBAhQAFAAAAAgAh07iQImJK1L3AQAA7gMAAA4AAAAAAAAAAQAgAAAAKAEAAGRycy9lMm9Eb2Mu&#10;eG1sUEsFBgAAAAAGAAYAWQEAAJEFAAAAAA==&#10;">
                <v:fill on="f" focussize="0,0"/>
                <v:stroke color="#000000" joinstyle="round" endarrow="block"/>
                <v:imagedata o:title=""/>
                <o:lock v:ext="edit" aspectratio="f"/>
              </v:shape>
            </w:pict>
          </mc:Fallback>
        </mc:AlternateContent>
      </w:r>
      <w:r>
        <w:rPr>
          <w:rFonts w:asciiTheme="minorEastAsia" w:hAnsiTheme="minorEastAsia" w:eastAsiaTheme="minorEastAsia"/>
          <w:color w:val="auto"/>
          <w:sz w:val="21"/>
          <w:szCs w:val="21"/>
          <w:highlight w:val="none"/>
        </w:rPr>
        <mc:AlternateContent>
          <mc:Choice Requires="wps">
            <w:drawing>
              <wp:anchor distT="0" distB="0" distL="114300" distR="114300" simplePos="0" relativeHeight="251669504" behindDoc="0" locked="0" layoutInCell="1" allowOverlap="1">
                <wp:simplePos x="0" y="0"/>
                <wp:positionH relativeFrom="column">
                  <wp:posOffset>1598295</wp:posOffset>
                </wp:positionH>
                <wp:positionV relativeFrom="paragraph">
                  <wp:posOffset>99060</wp:posOffset>
                </wp:positionV>
                <wp:extent cx="922655" cy="291465"/>
                <wp:effectExtent l="0" t="0" r="0" b="0"/>
                <wp:wrapNone/>
                <wp:docPr id="51" name="Text Box 9"/>
                <wp:cNvGraphicFramePr/>
                <a:graphic xmlns:a="http://schemas.openxmlformats.org/drawingml/2006/main">
                  <a:graphicData uri="http://schemas.microsoft.com/office/word/2010/wordprocessingShape">
                    <wps:wsp>
                      <wps:cNvSpPr txBox="1">
                        <a:spLocks noChangeArrowheads="1"/>
                      </wps:cNvSpPr>
                      <wps:spPr bwMode="auto">
                        <a:xfrm>
                          <a:off x="0" y="0"/>
                          <a:ext cx="922655" cy="291465"/>
                        </a:xfrm>
                        <a:prstGeom prst="rect">
                          <a:avLst/>
                        </a:prstGeom>
                        <a:solidFill>
                          <a:srgbClr val="FFFFFF"/>
                        </a:solidFill>
                        <a:ln w="9525">
                          <a:solidFill>
                            <a:srgbClr val="000000"/>
                          </a:solidFill>
                          <a:miter lim="800000"/>
                        </a:ln>
                      </wps:spPr>
                      <wps:txbx>
                        <w:txbxContent>
                          <w:p>
                            <w:pPr>
                              <w:spacing w:line="240" w:lineRule="auto"/>
                              <w:ind w:firstLine="0" w:firstLineChars="0"/>
                              <w:jc w:val="center"/>
                              <w:rPr>
                                <w:sz w:val="21"/>
                                <w:szCs w:val="21"/>
                              </w:rPr>
                            </w:pPr>
                            <w:r>
                              <w:rPr>
                                <w:rFonts w:hint="eastAsia"/>
                                <w:sz w:val="21"/>
                                <w:szCs w:val="21"/>
                              </w:rPr>
                              <w:t>测量放线</w:t>
                            </w:r>
                          </w:p>
                        </w:txbxContent>
                      </wps:txbx>
                      <wps:bodyPr rot="0" vert="horz" wrap="square" lIns="91440" tIns="45720" rIns="91440" bIns="45720" anchor="t" anchorCtr="0" upright="1">
                        <a:noAutofit/>
                      </wps:bodyPr>
                    </wps:wsp>
                  </a:graphicData>
                </a:graphic>
              </wp:anchor>
            </w:drawing>
          </mc:Choice>
          <mc:Fallback>
            <w:pict>
              <v:shape id="Text Box 9" o:spid="_x0000_s1026" o:spt="202" type="#_x0000_t202" style="position:absolute;left:0pt;margin-left:125.85pt;margin-top:7.8pt;height:22.95pt;width:72.65pt;z-index:251669504;mso-width-relative:page;mso-height-relative:page;" fillcolor="#FFFFFF" filled="t" stroked="t" coordsize="21600,21600" o:gfxdata="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TrEFc2QAAAAkBAAAPAAAAAAAAAAEAIAAAACIAAABkcnMvZG93bnJldi54bWxQ&#10;SwECFAAUAAAACACHTuJAOZ5Coi8CAACGBAAADgAAAAAAAAABACAAAAAoAQAAZHJzL2Uyb0RvYy54&#10;bWxQSwUGAAAAAAYABgBZAQAAyQUAAAAA&#10;">
                <v:fill on="t" focussize="0,0"/>
                <v:stroke color="#000000" miterlimit="8" joinstyle="miter"/>
                <v:imagedata o:title=""/>
                <o:lock v:ext="edit" aspectratio="f"/>
                <v:textbox>
                  <w:txbxContent>
                    <w:p>
                      <w:pPr>
                        <w:spacing w:line="240" w:lineRule="auto"/>
                        <w:ind w:firstLine="0" w:firstLineChars="0"/>
                        <w:jc w:val="center"/>
                        <w:rPr>
                          <w:sz w:val="21"/>
                          <w:szCs w:val="21"/>
                        </w:rPr>
                      </w:pPr>
                      <w:r>
                        <w:rPr>
                          <w:rFonts w:hint="eastAsia"/>
                          <w:sz w:val="21"/>
                          <w:szCs w:val="21"/>
                        </w:rPr>
                        <w:t>测量放线</w:t>
                      </w:r>
                    </w:p>
                  </w:txbxContent>
                </v:textbox>
              </v:shape>
            </w:pict>
          </mc:Fallback>
        </mc:AlternateContent>
      </w:r>
      <w:r>
        <w:rPr>
          <w:rFonts w:asciiTheme="minorEastAsia" w:hAnsiTheme="minorEastAsia" w:eastAsiaTheme="minorEastAsia"/>
          <w:color w:val="auto"/>
          <w:sz w:val="21"/>
          <w:szCs w:val="21"/>
          <w:highlight w:val="none"/>
        </w:rPr>
        <mc:AlternateContent>
          <mc:Choice Requires="wps">
            <w:drawing>
              <wp:anchor distT="0" distB="0" distL="114300" distR="114300" simplePos="0" relativeHeight="251670528" behindDoc="0" locked="0" layoutInCell="1" allowOverlap="1">
                <wp:simplePos x="0" y="0"/>
                <wp:positionH relativeFrom="column">
                  <wp:posOffset>2520950</wp:posOffset>
                </wp:positionH>
                <wp:positionV relativeFrom="paragraph">
                  <wp:posOffset>239395</wp:posOffset>
                </wp:positionV>
                <wp:extent cx="492125" cy="10160"/>
                <wp:effectExtent l="0" t="76200" r="3175" b="66040"/>
                <wp:wrapNone/>
                <wp:docPr id="50" name="AutoShape 10"/>
                <wp:cNvGraphicFramePr/>
                <a:graphic xmlns:a="http://schemas.openxmlformats.org/drawingml/2006/main">
                  <a:graphicData uri="http://schemas.microsoft.com/office/word/2010/wordprocessingShape">
                    <wps:wsp>
                      <wps:cNvCnPr>
                        <a:cxnSpLocks noChangeShapeType="1"/>
                      </wps:cNvCnPr>
                      <wps:spPr bwMode="auto">
                        <a:xfrm flipV="1">
                          <a:off x="0" y="0"/>
                          <a:ext cx="492125" cy="10160"/>
                        </a:xfrm>
                        <a:prstGeom prst="straightConnector1">
                          <a:avLst/>
                        </a:prstGeom>
                        <a:noFill/>
                        <a:ln w="9525">
                          <a:solidFill>
                            <a:srgbClr val="000000"/>
                          </a:solidFill>
                          <a:round/>
                          <a:tailEnd type="triangle" w="med" len="med"/>
                        </a:ln>
                      </wps:spPr>
                      <wps:bodyPr/>
                    </wps:wsp>
                  </a:graphicData>
                </a:graphic>
              </wp:anchor>
            </w:drawing>
          </mc:Choice>
          <mc:Fallback>
            <w:pict>
              <v:shape id="AutoShape 10" o:spid="_x0000_s1026" o:spt="32" type="#_x0000_t32" style="position:absolute;left:0pt;flip:y;margin-left:198.5pt;margin-top:18.85pt;height:0.8pt;width:38.75pt;z-index:251670528;mso-width-relative:page;mso-height-relative:page;" filled="f" stroked="t" coordsize="21600,21600" o:gfxdata="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SiIT9kAAAAJAQAADwAAAAAAAAABACAAAAAiAAAAZHJzL2Rvd25yZXYueG1s&#10;UEsBAhQAFAAAAAgAh07iQDzl69X3AQAA7wMAAA4AAAAAAAAAAQAgAAAAKAEAAGRycy9lMm9Eb2Mu&#10;eG1sUEsFBgAAAAAGAAYAWQEAAJEFAAAAAA==&#10;">
                <v:fill on="f" focussize="0,0"/>
                <v:stroke color="#000000" joinstyle="round" endarrow="block"/>
                <v:imagedata o:title=""/>
                <o:lock v:ext="edit" aspectratio="f"/>
              </v:shape>
            </w:pict>
          </mc:Fallback>
        </mc:AlternateContent>
      </w:r>
      <w:r>
        <w:rPr>
          <w:rFonts w:asciiTheme="minorEastAsia" w:hAnsiTheme="minorEastAsia" w:eastAsiaTheme="minorEastAsia"/>
          <w:color w:val="auto"/>
          <w:sz w:val="21"/>
          <w:szCs w:val="21"/>
          <w:highlight w:val="none"/>
        </w:rPr>
        <mc:AlternateContent>
          <mc:Choice Requires="wps">
            <w:drawing>
              <wp:anchor distT="0" distB="0" distL="114300" distR="114300" simplePos="0" relativeHeight="251671552" behindDoc="0" locked="0" layoutInCell="1" allowOverlap="1">
                <wp:simplePos x="0" y="0"/>
                <wp:positionH relativeFrom="column">
                  <wp:posOffset>2992755</wp:posOffset>
                </wp:positionH>
                <wp:positionV relativeFrom="paragraph">
                  <wp:posOffset>88900</wp:posOffset>
                </wp:positionV>
                <wp:extent cx="1163955" cy="291465"/>
                <wp:effectExtent l="0" t="0" r="0" b="0"/>
                <wp:wrapNone/>
                <wp:docPr id="49" name="Text Box 11"/>
                <wp:cNvGraphicFramePr/>
                <a:graphic xmlns:a="http://schemas.openxmlformats.org/drawingml/2006/main">
                  <a:graphicData uri="http://schemas.microsoft.com/office/word/2010/wordprocessingShape">
                    <wps:wsp>
                      <wps:cNvSpPr txBox="1">
                        <a:spLocks noChangeArrowheads="1"/>
                      </wps:cNvSpPr>
                      <wps:spPr bwMode="auto">
                        <a:xfrm>
                          <a:off x="0" y="0"/>
                          <a:ext cx="1163955" cy="291465"/>
                        </a:xfrm>
                        <a:prstGeom prst="rect">
                          <a:avLst/>
                        </a:prstGeom>
                        <a:solidFill>
                          <a:srgbClr val="FFFFFF"/>
                        </a:solidFill>
                        <a:ln w="9525">
                          <a:solidFill>
                            <a:srgbClr val="000000"/>
                          </a:solidFill>
                          <a:miter lim="800000"/>
                        </a:ln>
                      </wps:spPr>
                      <wps:txbx>
                        <w:txbxContent>
                          <w:p>
                            <w:pPr>
                              <w:spacing w:line="240" w:lineRule="auto"/>
                              <w:ind w:firstLine="0" w:firstLineChars="0"/>
                              <w:jc w:val="center"/>
                            </w:pPr>
                            <w:r>
                              <w:rPr>
                                <w:rFonts w:hint="eastAsia"/>
                              </w:rPr>
                              <w:t>确</w:t>
                            </w:r>
                            <w:r>
                              <w:rPr>
                                <w:rFonts w:hint="eastAsia"/>
                                <w:sz w:val="21"/>
                                <w:szCs w:val="21"/>
                              </w:rPr>
                              <w:t>定穿越路线</w:t>
                            </w:r>
                          </w:p>
                        </w:txbxContent>
                      </wps:txbx>
                      <wps:bodyPr rot="0" vert="horz" wrap="square" lIns="91440" tIns="45720" rIns="91440" bIns="45720" anchor="t" anchorCtr="0" upright="1">
                        <a:noAutofit/>
                      </wps:bodyPr>
                    </wps:wsp>
                  </a:graphicData>
                </a:graphic>
              </wp:anchor>
            </w:drawing>
          </mc:Choice>
          <mc:Fallback>
            <w:pict>
              <v:shape id="Text Box 11" o:spid="_x0000_s1026" o:spt="202" type="#_x0000_t202" style="position:absolute;left:0pt;margin-left:235.65pt;margin-top:7pt;height:22.95pt;width:91.65pt;z-index:251671552;mso-width-relative:page;mso-height-relative:page;" fillcolor="#FFFFFF" filled="t" stroked="t" coordsize="21600,21600" o:gfxdata="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xx/2LZAAAACQEAAA8AAAAAAAAAAQAgAAAAIgAAAGRycy9kb3ducmV2Lnht&#10;bFBLAQIUABQAAAAIAIdO4kDwSLRmMQIAAIgEAAAOAAAAAAAAAAEAIAAAACgBAABkcnMvZTJvRG9j&#10;LnhtbFBLBQYAAAAABgAGAFkBAADLBQAAAAA=&#10;">
                <v:fill on="t" focussize="0,0"/>
                <v:stroke color="#000000" miterlimit="8" joinstyle="miter"/>
                <v:imagedata o:title=""/>
                <o:lock v:ext="edit" aspectratio="f"/>
                <v:textbox>
                  <w:txbxContent>
                    <w:p>
                      <w:pPr>
                        <w:spacing w:line="240" w:lineRule="auto"/>
                        <w:ind w:firstLine="0" w:firstLineChars="0"/>
                        <w:jc w:val="center"/>
                      </w:pPr>
                      <w:r>
                        <w:rPr>
                          <w:rFonts w:hint="eastAsia"/>
                        </w:rPr>
                        <w:t>确</w:t>
                      </w:r>
                      <w:r>
                        <w:rPr>
                          <w:rFonts w:hint="eastAsia"/>
                          <w:sz w:val="21"/>
                          <w:szCs w:val="21"/>
                        </w:rPr>
                        <w:t>定穿越路线</w:t>
                      </w:r>
                    </w:p>
                  </w:txbxContent>
                </v:textbox>
              </v:shape>
            </w:pict>
          </mc:Fallback>
        </mc:AlternateContent>
      </w:r>
      <w:r>
        <w:rPr>
          <w:rFonts w:asciiTheme="minorEastAsia" w:hAnsiTheme="minorEastAsia" w:eastAsiaTheme="minorEastAsia"/>
          <w:color w:val="auto"/>
          <w:sz w:val="21"/>
          <w:szCs w:val="21"/>
          <w:highlight w:val="none"/>
        </w:rPr>
        <mc:AlternateContent>
          <mc:Choice Requires="wps">
            <w:drawing>
              <wp:anchor distT="0" distB="0" distL="114300" distR="114300" simplePos="0" relativeHeight="251672576" behindDoc="0" locked="0" layoutInCell="1" allowOverlap="1">
                <wp:simplePos x="0" y="0"/>
                <wp:positionH relativeFrom="column">
                  <wp:posOffset>4170045</wp:posOffset>
                </wp:positionH>
                <wp:positionV relativeFrom="paragraph">
                  <wp:posOffset>208915</wp:posOffset>
                </wp:positionV>
                <wp:extent cx="492125" cy="10160"/>
                <wp:effectExtent l="0" t="76200" r="3175" b="66040"/>
                <wp:wrapNone/>
                <wp:docPr id="48" name="AutoShape 12"/>
                <wp:cNvGraphicFramePr/>
                <a:graphic xmlns:a="http://schemas.openxmlformats.org/drawingml/2006/main">
                  <a:graphicData uri="http://schemas.microsoft.com/office/word/2010/wordprocessingShape">
                    <wps:wsp>
                      <wps:cNvCnPr>
                        <a:cxnSpLocks noChangeShapeType="1"/>
                      </wps:cNvCnPr>
                      <wps:spPr bwMode="auto">
                        <a:xfrm flipV="1">
                          <a:off x="0" y="0"/>
                          <a:ext cx="492125" cy="10160"/>
                        </a:xfrm>
                        <a:prstGeom prst="straightConnector1">
                          <a:avLst/>
                        </a:prstGeom>
                        <a:noFill/>
                        <a:ln w="9525">
                          <a:solidFill>
                            <a:srgbClr val="000000"/>
                          </a:solidFill>
                          <a:round/>
                          <a:tailEnd type="triangle" w="med" len="med"/>
                        </a:ln>
                      </wps:spPr>
                      <wps:bodyPr/>
                    </wps:wsp>
                  </a:graphicData>
                </a:graphic>
              </wp:anchor>
            </w:drawing>
          </mc:Choice>
          <mc:Fallback>
            <w:pict>
              <v:shape id="AutoShape 12" o:spid="_x0000_s1026" o:spt="32" type="#_x0000_t32" style="position:absolute;left:0pt;flip:y;margin-left:328.35pt;margin-top:16.45pt;height:0.8pt;width:38.75pt;z-index:251672576;mso-width-relative:page;mso-height-relative:page;" filled="f" stroked="t" coordsize="21600,21600" o:gfxdata="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zqH/NkAAAAJAQAADwAAAAAAAAABACAAAAAiAAAAZHJzL2Rvd25yZXYueG1s&#10;UEsBAhQAFAAAAAgAh07iQJyTs4H3AQAA7wMAAA4AAAAAAAAAAQAgAAAAKAEAAGRycy9lMm9Eb2Mu&#10;eG1sUEsFBgAAAAAGAAYAWQEAAJEFAAAAAA==&#10;">
                <v:fill on="f" focussize="0,0"/>
                <v:stroke color="#000000" joinstyle="round" endarrow="block"/>
                <v:imagedata o:title=""/>
                <o:lock v:ext="edit" aspectratio="f"/>
              </v:shape>
            </w:pict>
          </mc:Fallback>
        </mc:AlternateContent>
      </w:r>
      <w:r>
        <w:rPr>
          <w:rFonts w:asciiTheme="minorEastAsia" w:hAnsiTheme="minorEastAsia" w:eastAsiaTheme="minorEastAsia"/>
          <w:color w:val="auto"/>
          <w:sz w:val="21"/>
          <w:szCs w:val="21"/>
          <w:highlight w:val="none"/>
        </w:rPr>
        <mc:AlternateContent>
          <mc:Choice Requires="wps">
            <w:drawing>
              <wp:anchor distT="0" distB="0" distL="114300" distR="114300" simplePos="0" relativeHeight="251673600" behindDoc="0" locked="0" layoutInCell="1" allowOverlap="1">
                <wp:simplePos x="0" y="0"/>
                <wp:positionH relativeFrom="column">
                  <wp:posOffset>4662170</wp:posOffset>
                </wp:positionH>
                <wp:positionV relativeFrom="paragraph">
                  <wp:posOffset>72390</wp:posOffset>
                </wp:positionV>
                <wp:extent cx="872490" cy="291465"/>
                <wp:effectExtent l="0" t="0" r="3810" b="0"/>
                <wp:wrapNone/>
                <wp:docPr id="47" name="Text Box 13"/>
                <wp:cNvGraphicFramePr/>
                <a:graphic xmlns:a="http://schemas.openxmlformats.org/drawingml/2006/main">
                  <a:graphicData uri="http://schemas.microsoft.com/office/word/2010/wordprocessingShape">
                    <wps:wsp>
                      <wps:cNvSpPr txBox="1">
                        <a:spLocks noChangeArrowheads="1"/>
                      </wps:cNvSpPr>
                      <wps:spPr bwMode="auto">
                        <a:xfrm>
                          <a:off x="0" y="0"/>
                          <a:ext cx="872490" cy="291465"/>
                        </a:xfrm>
                        <a:prstGeom prst="rect">
                          <a:avLst/>
                        </a:prstGeom>
                        <a:solidFill>
                          <a:srgbClr val="FFFFFF"/>
                        </a:solidFill>
                        <a:ln w="9525">
                          <a:solidFill>
                            <a:srgbClr val="000000"/>
                          </a:solidFill>
                          <a:miter lim="800000"/>
                        </a:ln>
                      </wps:spPr>
                      <wps:txbx>
                        <w:txbxContent>
                          <w:p>
                            <w:pPr>
                              <w:spacing w:line="240" w:lineRule="auto"/>
                              <w:ind w:firstLine="0" w:firstLineChars="0"/>
                              <w:jc w:val="center"/>
                              <w:rPr>
                                <w:sz w:val="21"/>
                                <w:szCs w:val="21"/>
                              </w:rPr>
                            </w:pPr>
                            <w:r>
                              <w:rPr>
                                <w:rFonts w:hint="eastAsia"/>
                                <w:sz w:val="21"/>
                                <w:szCs w:val="21"/>
                              </w:rPr>
                              <w:t>设备就位</w:t>
                            </w:r>
                          </w:p>
                        </w:txbxContent>
                      </wps:txbx>
                      <wps:bodyPr rot="0" vert="horz" wrap="square" lIns="91440" tIns="45720" rIns="91440" bIns="45720" anchor="t" anchorCtr="0" upright="1">
                        <a:noAutofit/>
                      </wps:bodyPr>
                    </wps:wsp>
                  </a:graphicData>
                </a:graphic>
              </wp:anchor>
            </w:drawing>
          </mc:Choice>
          <mc:Fallback>
            <w:pict>
              <v:shape id="Text Box 13" o:spid="_x0000_s1026" o:spt="202" type="#_x0000_t202" style="position:absolute;left:0pt;margin-left:367.1pt;margin-top:5.7pt;height:22.95pt;width:68.7pt;z-index:251673600;mso-width-relative:page;mso-height-relative:page;" fillcolor="#FFFFFF" filled="t" stroked="t" coordsize="21600,21600" o:gfxdata="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xkRVdkAAAAJAQAADwAAAAAAAAABACAAAAAiAAAAZHJzL2Rvd25yZXYueG1s&#10;UEsBAhQAFAAAAAgAh07iQP7KxogwAgAAhwQAAA4AAAAAAAAAAQAgAAAAKAEAAGRycy9lMm9Eb2Mu&#10;eG1sUEsFBgAAAAAGAAYAWQEAAMoFAAAAAA==&#10;">
                <v:fill on="t" focussize="0,0"/>
                <v:stroke color="#000000" miterlimit="8" joinstyle="miter"/>
                <v:imagedata o:title=""/>
                <o:lock v:ext="edit" aspectratio="f"/>
                <v:textbox>
                  <w:txbxContent>
                    <w:p>
                      <w:pPr>
                        <w:spacing w:line="240" w:lineRule="auto"/>
                        <w:ind w:firstLine="0" w:firstLineChars="0"/>
                        <w:jc w:val="center"/>
                        <w:rPr>
                          <w:sz w:val="21"/>
                          <w:szCs w:val="21"/>
                        </w:rPr>
                      </w:pPr>
                      <w:r>
                        <w:rPr>
                          <w:rFonts w:hint="eastAsia"/>
                          <w:sz w:val="21"/>
                          <w:szCs w:val="21"/>
                        </w:rPr>
                        <w:t>设备就位</w:t>
                      </w:r>
                    </w:p>
                  </w:txbxContent>
                </v:textbox>
              </v:shape>
            </w:pict>
          </mc:Fallback>
        </mc:AlternateContent>
      </w:r>
    </w:p>
    <w:p>
      <w:pPr>
        <w:ind w:firstLine="0" w:firstLineChars="0"/>
        <w:rPr>
          <w:rFonts w:asciiTheme="minorEastAsia" w:hAnsiTheme="minorEastAsia" w:eastAsiaTheme="minorEastAsia"/>
          <w:color w:val="auto"/>
          <w:sz w:val="21"/>
          <w:szCs w:val="21"/>
          <w:highlight w:val="none"/>
        </w:rPr>
      </w:pPr>
      <w:r>
        <w:rPr>
          <w:rFonts w:asciiTheme="minorEastAsia" w:hAnsiTheme="minorEastAsia" w:eastAsiaTheme="minorEastAsia"/>
          <w:color w:val="auto"/>
          <w:sz w:val="21"/>
          <w:szCs w:val="21"/>
          <w:highlight w:val="none"/>
        </w:rPr>
        <mc:AlternateContent>
          <mc:Choice Requires="wps">
            <w:drawing>
              <wp:anchor distT="0" distB="0" distL="114300" distR="114300" simplePos="0" relativeHeight="251678720" behindDoc="0" locked="0" layoutInCell="1" allowOverlap="1">
                <wp:simplePos x="0" y="0"/>
                <wp:positionH relativeFrom="column">
                  <wp:posOffset>3323590</wp:posOffset>
                </wp:positionH>
                <wp:positionV relativeFrom="paragraph">
                  <wp:posOffset>287020</wp:posOffset>
                </wp:positionV>
                <wp:extent cx="833120" cy="291465"/>
                <wp:effectExtent l="0" t="0" r="5080" b="0"/>
                <wp:wrapNone/>
                <wp:docPr id="46" name="Text Box 23"/>
                <wp:cNvGraphicFramePr/>
                <a:graphic xmlns:a="http://schemas.openxmlformats.org/drawingml/2006/main">
                  <a:graphicData uri="http://schemas.microsoft.com/office/word/2010/wordprocessingShape">
                    <wps:wsp>
                      <wps:cNvSpPr txBox="1">
                        <a:spLocks noChangeArrowheads="1"/>
                      </wps:cNvSpPr>
                      <wps:spPr bwMode="auto">
                        <a:xfrm>
                          <a:off x="0" y="0"/>
                          <a:ext cx="833120" cy="291465"/>
                        </a:xfrm>
                        <a:prstGeom prst="rect">
                          <a:avLst/>
                        </a:prstGeom>
                        <a:solidFill>
                          <a:srgbClr val="FFFFFF"/>
                        </a:solidFill>
                        <a:ln w="9525">
                          <a:solidFill>
                            <a:srgbClr val="000000"/>
                          </a:solidFill>
                          <a:miter lim="800000"/>
                        </a:ln>
                      </wps:spPr>
                      <wps:txbx>
                        <w:txbxContent>
                          <w:p>
                            <w:pPr>
                              <w:spacing w:line="240" w:lineRule="auto"/>
                              <w:ind w:firstLine="0" w:firstLineChars="0"/>
                              <w:jc w:val="center"/>
                              <w:rPr>
                                <w:sz w:val="21"/>
                                <w:szCs w:val="21"/>
                              </w:rPr>
                            </w:pPr>
                            <w:r>
                              <w:rPr>
                                <w:rFonts w:hint="eastAsia"/>
                                <w:sz w:val="21"/>
                                <w:szCs w:val="21"/>
                              </w:rPr>
                              <w:t>扩孔</w:t>
                            </w:r>
                          </w:p>
                        </w:txbxContent>
                      </wps:txbx>
                      <wps:bodyPr rot="0" vert="horz" wrap="square" lIns="91440" tIns="45720" rIns="91440" bIns="45720" anchor="t" anchorCtr="0" upright="1">
                        <a:noAutofit/>
                      </wps:bodyPr>
                    </wps:wsp>
                  </a:graphicData>
                </a:graphic>
              </wp:anchor>
            </w:drawing>
          </mc:Choice>
          <mc:Fallback>
            <w:pict>
              <v:shape id="Text Box 23" o:spid="_x0000_s1026" o:spt="202" type="#_x0000_t202" style="position:absolute;left:0pt;margin-left:261.7pt;margin-top:22.6pt;height:22.95pt;width:65.6pt;z-index:251678720;mso-width-relative:page;mso-height-relative:page;" fillcolor="#FFFFFF" filled="t" stroked="t" coordsize="21600,21600" o:gfxdata="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nCLQe2QAAAAkBAAAPAAAAAAAAAAEAIAAAACIAAABkcnMvZG93bnJldi54bWxQ&#10;SwECFAAUAAAACACHTuJA7K8p+i8CAACHBAAADgAAAAAAAAABACAAAAAoAQAAZHJzL2Uyb0RvYy54&#10;bWxQSwUGAAAAAAYABgBZAQAAyQUAAAAA&#10;">
                <v:fill on="t" focussize="0,0"/>
                <v:stroke color="#000000" miterlimit="8" joinstyle="miter"/>
                <v:imagedata o:title=""/>
                <o:lock v:ext="edit" aspectratio="f"/>
                <v:textbox>
                  <w:txbxContent>
                    <w:p>
                      <w:pPr>
                        <w:spacing w:line="240" w:lineRule="auto"/>
                        <w:ind w:firstLine="0" w:firstLineChars="0"/>
                        <w:jc w:val="center"/>
                        <w:rPr>
                          <w:sz w:val="21"/>
                          <w:szCs w:val="21"/>
                        </w:rPr>
                      </w:pPr>
                      <w:r>
                        <w:rPr>
                          <w:rFonts w:hint="eastAsia"/>
                          <w:sz w:val="21"/>
                          <w:szCs w:val="21"/>
                        </w:rPr>
                        <w:t>扩孔</w:t>
                      </w:r>
                    </w:p>
                  </w:txbxContent>
                </v:textbox>
              </v:shape>
            </w:pict>
          </mc:Fallback>
        </mc:AlternateContent>
      </w:r>
      <w:r>
        <w:rPr>
          <w:rFonts w:asciiTheme="minorEastAsia" w:hAnsiTheme="minorEastAsia" w:eastAsiaTheme="minorEastAsia"/>
          <w:color w:val="auto"/>
          <w:sz w:val="21"/>
          <w:szCs w:val="21"/>
          <w:highlight w:val="none"/>
        </w:rPr>
        <mc:AlternateContent>
          <mc:Choice Requires="wps">
            <w:drawing>
              <wp:anchor distT="0" distB="0" distL="113665" distR="113665" simplePos="0" relativeHeight="251674624" behindDoc="0" locked="0" layoutInCell="1" allowOverlap="1">
                <wp:simplePos x="0" y="0"/>
                <wp:positionH relativeFrom="column">
                  <wp:posOffset>5110480</wp:posOffset>
                </wp:positionH>
                <wp:positionV relativeFrom="paragraph">
                  <wp:posOffset>73660</wp:posOffset>
                </wp:positionV>
                <wp:extent cx="0" cy="382270"/>
                <wp:effectExtent l="76200" t="0" r="76200" b="36830"/>
                <wp:wrapNone/>
                <wp:docPr id="45" name="AutoShape 14"/>
                <wp:cNvGraphicFramePr/>
                <a:graphic xmlns:a="http://schemas.openxmlformats.org/drawingml/2006/main">
                  <a:graphicData uri="http://schemas.microsoft.com/office/word/2010/wordprocessingShape">
                    <wps:wsp>
                      <wps:cNvCnPr>
                        <a:cxnSpLocks noChangeShapeType="1"/>
                      </wps:cNvCnPr>
                      <wps:spPr bwMode="auto">
                        <a:xfrm>
                          <a:off x="0" y="0"/>
                          <a:ext cx="0" cy="382270"/>
                        </a:xfrm>
                        <a:prstGeom prst="straightConnector1">
                          <a:avLst/>
                        </a:prstGeom>
                        <a:noFill/>
                        <a:ln w="9525">
                          <a:solidFill>
                            <a:srgbClr val="000000"/>
                          </a:solidFill>
                          <a:round/>
                          <a:tailEnd type="triangle" w="med" len="med"/>
                        </a:ln>
                      </wps:spPr>
                      <wps:bodyPr/>
                    </wps:wsp>
                  </a:graphicData>
                </a:graphic>
              </wp:anchor>
            </w:drawing>
          </mc:Choice>
          <mc:Fallback>
            <w:pict>
              <v:shape id="AutoShape 14" o:spid="_x0000_s1026" o:spt="32" type="#_x0000_t32" style="position:absolute;left:0pt;margin-left:402.4pt;margin-top:5.8pt;height:30.1pt;width:0pt;z-index:251674624;mso-width-relative:page;mso-height-relative:page;" filled="f" stroked="t" coordsize="21600,21600" o:gfxdata="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b6rFfXAAAACQEAAA8AAAAAAAAAAQAgAAAAIgAAAGRycy9kb3ducmV2LnhtbFBLAQIUABQA&#10;AAAIAIdO4kCrtrVK8QEAAOEDAAAOAAAAAAAAAAEAIAAAACYBAABkcnMvZTJvRG9jLnhtbFBLBQYA&#10;AAAABgAGAFkBAACJBQAAAAA=&#10;">
                <v:fill on="f" focussize="0,0"/>
                <v:stroke color="#000000" joinstyle="round" endarrow="block"/>
                <v:imagedata o:title=""/>
                <o:lock v:ext="edit" aspectratio="f"/>
              </v:shape>
            </w:pict>
          </mc:Fallback>
        </mc:AlternateContent>
      </w:r>
    </w:p>
    <w:p>
      <w:pPr>
        <w:ind w:firstLine="420"/>
        <w:rPr>
          <w:rFonts w:asciiTheme="minorEastAsia" w:hAnsiTheme="minorEastAsia" w:eastAsiaTheme="minorEastAsia"/>
          <w:color w:val="auto"/>
          <w:sz w:val="21"/>
          <w:szCs w:val="21"/>
          <w:highlight w:val="none"/>
        </w:rPr>
      </w:pPr>
      <w:r>
        <w:rPr>
          <w:rFonts w:asciiTheme="minorEastAsia" w:hAnsiTheme="minorEastAsia" w:eastAsiaTheme="minorEastAsia"/>
          <w:color w:val="auto"/>
          <w:sz w:val="21"/>
          <w:szCs w:val="21"/>
          <w:highlight w:val="none"/>
        </w:rPr>
        <mc:AlternateContent>
          <mc:Choice Requires="wps">
            <w:drawing>
              <wp:anchor distT="0" distB="0" distL="114300" distR="114300" simplePos="0" relativeHeight="251684864" behindDoc="0" locked="0" layoutInCell="1" allowOverlap="1">
                <wp:simplePos x="0" y="0"/>
                <wp:positionH relativeFrom="column">
                  <wp:posOffset>173355</wp:posOffset>
                </wp:positionH>
                <wp:positionV relativeFrom="paragraph">
                  <wp:posOffset>219075</wp:posOffset>
                </wp:positionV>
                <wp:extent cx="1024890" cy="291465"/>
                <wp:effectExtent l="0" t="0" r="3810" b="0"/>
                <wp:wrapNone/>
                <wp:docPr id="44" name="Text Box 30"/>
                <wp:cNvGraphicFramePr/>
                <a:graphic xmlns:a="http://schemas.openxmlformats.org/drawingml/2006/main">
                  <a:graphicData uri="http://schemas.microsoft.com/office/word/2010/wordprocessingShape">
                    <wps:wsp>
                      <wps:cNvSpPr txBox="1">
                        <a:spLocks noChangeArrowheads="1"/>
                      </wps:cNvSpPr>
                      <wps:spPr bwMode="auto">
                        <a:xfrm>
                          <a:off x="0" y="0"/>
                          <a:ext cx="1024890" cy="291465"/>
                        </a:xfrm>
                        <a:prstGeom prst="rect">
                          <a:avLst/>
                        </a:prstGeom>
                        <a:solidFill>
                          <a:srgbClr val="FFFFFF"/>
                        </a:solidFill>
                        <a:ln w="9525">
                          <a:solidFill>
                            <a:srgbClr val="000000"/>
                          </a:solidFill>
                          <a:miter lim="800000"/>
                        </a:ln>
                      </wps:spPr>
                      <wps:txbx>
                        <w:txbxContent>
                          <w:p>
                            <w:pPr>
                              <w:spacing w:line="240" w:lineRule="auto"/>
                              <w:ind w:firstLine="0" w:firstLineChars="0"/>
                              <w:jc w:val="center"/>
                              <w:rPr>
                                <w:sz w:val="21"/>
                                <w:szCs w:val="21"/>
                              </w:rPr>
                            </w:pPr>
                            <w:r>
                              <w:rPr>
                                <w:rFonts w:hint="eastAsia"/>
                                <w:sz w:val="21"/>
                                <w:szCs w:val="21"/>
                              </w:rPr>
                              <w:t>拉管道穿越</w:t>
                            </w:r>
                          </w:p>
                        </w:txbxContent>
                      </wps:txbx>
                      <wps:bodyPr rot="0" vert="horz" wrap="square" lIns="91440" tIns="45720" rIns="91440" bIns="45720" anchor="t" anchorCtr="0" upright="1">
                        <a:noAutofit/>
                      </wps:bodyPr>
                    </wps:wsp>
                  </a:graphicData>
                </a:graphic>
              </wp:anchor>
            </w:drawing>
          </mc:Choice>
          <mc:Fallback>
            <w:pict>
              <v:shape id="Text Box 30" o:spid="_x0000_s1026" o:spt="202" type="#_x0000_t202" style="position:absolute;left:0pt;margin-left:13.65pt;margin-top:17.25pt;height:22.95pt;width:80.7pt;z-index:251684864;mso-width-relative:page;mso-height-relative:page;" fillcolor="#FFFFFF" filled="t" stroked="t" coordsize="21600,21600" o:gfxdata="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Lze0qtcAAAAIAQAADwAAAAAAAAABACAAAAAiAAAAZHJzL2Rvd25yZXYueG1s&#10;UEsBAhQAFAAAAAgAh07iQIheJDkyAgAAiAQAAA4AAAAAAAAAAQAgAAAAJgEAAGRycy9lMm9Eb2Mu&#10;eG1sUEsFBgAAAAAGAAYAWQEAAMoFAAAAAA==&#10;">
                <v:fill on="t" focussize="0,0"/>
                <v:stroke color="#000000" miterlimit="8" joinstyle="miter"/>
                <v:imagedata o:title=""/>
                <o:lock v:ext="edit" aspectratio="f"/>
                <v:textbox>
                  <w:txbxContent>
                    <w:p>
                      <w:pPr>
                        <w:spacing w:line="240" w:lineRule="auto"/>
                        <w:ind w:firstLine="0" w:firstLineChars="0"/>
                        <w:jc w:val="center"/>
                        <w:rPr>
                          <w:sz w:val="21"/>
                          <w:szCs w:val="21"/>
                        </w:rPr>
                      </w:pPr>
                      <w:r>
                        <w:rPr>
                          <w:rFonts w:hint="eastAsia"/>
                          <w:sz w:val="21"/>
                          <w:szCs w:val="21"/>
                        </w:rPr>
                        <w:t>拉管道穿越</w:t>
                      </w:r>
                    </w:p>
                  </w:txbxContent>
                </v:textbox>
              </v:shape>
            </w:pict>
          </mc:Fallback>
        </mc:AlternateContent>
      </w:r>
      <w:r>
        <w:rPr>
          <w:rFonts w:asciiTheme="minorEastAsia" w:hAnsiTheme="minorEastAsia" w:eastAsiaTheme="minorEastAsia"/>
          <w:color w:val="auto"/>
          <w:sz w:val="21"/>
          <w:szCs w:val="21"/>
          <w:highlight w:val="none"/>
        </w:rPr>
        <mc:AlternateContent>
          <mc:Choice Requires="wps">
            <w:drawing>
              <wp:anchor distT="0" distB="0" distL="114300" distR="114300" simplePos="0" relativeHeight="251682816" behindDoc="0" locked="0" layoutInCell="1" allowOverlap="1">
                <wp:simplePos x="0" y="0"/>
                <wp:positionH relativeFrom="column">
                  <wp:posOffset>1713230</wp:posOffset>
                </wp:positionH>
                <wp:positionV relativeFrom="paragraph">
                  <wp:posOffset>198755</wp:posOffset>
                </wp:positionV>
                <wp:extent cx="922655" cy="291465"/>
                <wp:effectExtent l="0" t="0" r="0" b="0"/>
                <wp:wrapNone/>
                <wp:docPr id="43" name="Text Box 28"/>
                <wp:cNvGraphicFramePr/>
                <a:graphic xmlns:a="http://schemas.openxmlformats.org/drawingml/2006/main">
                  <a:graphicData uri="http://schemas.microsoft.com/office/word/2010/wordprocessingShape">
                    <wps:wsp>
                      <wps:cNvSpPr txBox="1">
                        <a:spLocks noChangeArrowheads="1"/>
                      </wps:cNvSpPr>
                      <wps:spPr bwMode="auto">
                        <a:xfrm>
                          <a:off x="0" y="0"/>
                          <a:ext cx="922655" cy="291465"/>
                        </a:xfrm>
                        <a:prstGeom prst="rect">
                          <a:avLst/>
                        </a:prstGeom>
                        <a:solidFill>
                          <a:srgbClr val="FFFFFF"/>
                        </a:solidFill>
                        <a:ln w="9525">
                          <a:solidFill>
                            <a:srgbClr val="000000"/>
                          </a:solidFill>
                          <a:miter lim="800000"/>
                        </a:ln>
                      </wps:spPr>
                      <wps:txbx>
                        <w:txbxContent>
                          <w:p>
                            <w:pPr>
                              <w:spacing w:line="240" w:lineRule="auto"/>
                              <w:ind w:firstLine="0" w:firstLineChars="0"/>
                              <w:jc w:val="center"/>
                              <w:rPr>
                                <w:sz w:val="21"/>
                                <w:szCs w:val="21"/>
                              </w:rPr>
                            </w:pPr>
                            <w:r>
                              <w:rPr>
                                <w:rFonts w:hint="eastAsia"/>
                                <w:sz w:val="21"/>
                                <w:szCs w:val="21"/>
                              </w:rPr>
                              <w:t>管道焊接</w:t>
                            </w:r>
                          </w:p>
                        </w:txbxContent>
                      </wps:txbx>
                      <wps:bodyPr rot="0" vert="horz" wrap="square" lIns="91440" tIns="45720" rIns="91440" bIns="45720" anchor="t" anchorCtr="0" upright="1">
                        <a:noAutofit/>
                      </wps:bodyPr>
                    </wps:wsp>
                  </a:graphicData>
                </a:graphic>
              </wp:anchor>
            </w:drawing>
          </mc:Choice>
          <mc:Fallback>
            <w:pict>
              <v:shape id="Text Box 28" o:spid="_x0000_s1026" o:spt="202" type="#_x0000_t202" style="position:absolute;left:0pt;margin-left:134.9pt;margin-top:15.65pt;height:22.95pt;width:72.65pt;z-index:251682816;mso-width-relative:page;mso-height-relative:page;" fillcolor="#FFFFFF" filled="t" stroked="t" coordsize="21600,21600" o:gfxdata="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ZwLYuNkAAAAJAQAADwAAAAAAAAABACAAAAAiAAAAZHJzL2Rvd25yZXYueG1s&#10;UEsBAhQAFAAAAAgAh07iQNoOunowAgAAhwQAAA4AAAAAAAAAAQAgAAAAKAEAAGRycy9lMm9Eb2Mu&#10;eG1sUEsFBgAAAAAGAAYAWQEAAMoFAAAAAA==&#10;">
                <v:fill on="t" focussize="0,0"/>
                <v:stroke color="#000000" miterlimit="8" joinstyle="miter"/>
                <v:imagedata o:title=""/>
                <o:lock v:ext="edit" aspectratio="f"/>
                <v:textbox>
                  <w:txbxContent>
                    <w:p>
                      <w:pPr>
                        <w:spacing w:line="240" w:lineRule="auto"/>
                        <w:ind w:firstLine="0" w:firstLineChars="0"/>
                        <w:jc w:val="center"/>
                        <w:rPr>
                          <w:sz w:val="21"/>
                          <w:szCs w:val="21"/>
                        </w:rPr>
                      </w:pPr>
                      <w:r>
                        <w:rPr>
                          <w:rFonts w:hint="eastAsia"/>
                          <w:sz w:val="21"/>
                          <w:szCs w:val="21"/>
                        </w:rPr>
                        <w:t>管道焊接</w:t>
                      </w:r>
                    </w:p>
                  </w:txbxContent>
                </v:textbox>
              </v:shape>
            </w:pict>
          </mc:Fallback>
        </mc:AlternateContent>
      </w:r>
      <w:r>
        <w:rPr>
          <w:rFonts w:asciiTheme="minorEastAsia" w:hAnsiTheme="minorEastAsia" w:eastAsiaTheme="minorEastAsia"/>
          <w:color w:val="auto"/>
          <w:sz w:val="21"/>
          <w:szCs w:val="21"/>
          <w:highlight w:val="none"/>
        </w:rPr>
        <mc:AlternateContent>
          <mc:Choice Requires="wps">
            <w:drawing>
              <wp:anchor distT="0" distB="0" distL="114300" distR="114300" simplePos="0" relativeHeight="251680768" behindDoc="0" locked="0" layoutInCell="1" allowOverlap="1">
                <wp:simplePos x="0" y="0"/>
                <wp:positionH relativeFrom="column">
                  <wp:posOffset>3192145</wp:posOffset>
                </wp:positionH>
                <wp:positionV relativeFrom="paragraph">
                  <wp:posOffset>98425</wp:posOffset>
                </wp:positionV>
                <wp:extent cx="65405" cy="412115"/>
                <wp:effectExtent l="0" t="0" r="0" b="6985"/>
                <wp:wrapNone/>
                <wp:docPr id="42" name="AutoShape 25"/>
                <wp:cNvGraphicFramePr/>
                <a:graphic xmlns:a="http://schemas.openxmlformats.org/drawingml/2006/main">
                  <a:graphicData uri="http://schemas.microsoft.com/office/word/2010/wordprocessingShape">
                    <wps:wsp>
                      <wps:cNvSpPr/>
                      <wps:spPr bwMode="auto">
                        <a:xfrm>
                          <a:off x="0" y="0"/>
                          <a:ext cx="65405" cy="412115"/>
                        </a:xfrm>
                        <a:prstGeom prst="leftBracket">
                          <a:avLst>
                            <a:gd name="adj" fmla="val 52508"/>
                          </a:avLst>
                        </a:prstGeom>
                        <a:noFill/>
                        <a:ln w="9525">
                          <a:solidFill>
                            <a:srgbClr val="000000"/>
                          </a:solidFill>
                          <a:round/>
                        </a:ln>
                      </wps:spPr>
                      <wps:txbx>
                        <w:txbxContent>
                          <w:p>
                            <w:pPr>
                              <w:ind w:firstLine="480"/>
                              <w:jc w:val="center"/>
                            </w:pPr>
                          </w:p>
                        </w:txbxContent>
                      </wps:txbx>
                      <wps:bodyPr rot="0" vert="horz" wrap="square" lIns="91440" tIns="45720" rIns="91440" bIns="45720" anchor="t" anchorCtr="0" upright="1">
                        <a:noAutofit/>
                      </wps:bodyPr>
                    </wps:wsp>
                  </a:graphicData>
                </a:graphic>
              </wp:anchor>
            </w:drawing>
          </mc:Choice>
          <mc:Fallback>
            <w:pict>
              <v:shape id="AutoShape 25" o:spid="_x0000_s1026" o:spt="85" type="#_x0000_t85" style="position:absolute;left:0pt;margin-left:251.35pt;margin-top:7.75pt;height:32.45pt;width:5.15pt;z-index:251680768;mso-width-relative:page;mso-height-relative:page;" filled="f" stroked="t" coordsize="21600,21600" o:gfxdata="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weWi9UA&#10;AAAJAQAADwAAAAAAAAABACAAAAAiAAAAZHJzL2Rvd25yZXYueG1sUEsBAhQAFAAAAAgAh07iQA0X&#10;AWUiAgAASgQAAA4AAAAAAAAAAQAgAAAAJAEAAGRycy9lMm9Eb2MueG1sUEsFBgAAAAAGAAYAWQEA&#10;ALgFAAAAAA==&#10;" adj="1799">
                <v:fill on="f" focussize="0,0"/>
                <v:stroke color="#000000" joinstyle="round"/>
                <v:imagedata o:title=""/>
                <o:lock v:ext="edit" aspectratio="f"/>
                <v:textbox>
                  <w:txbxContent>
                    <w:p>
                      <w:pPr>
                        <w:ind w:firstLine="480"/>
                        <w:jc w:val="center"/>
                      </w:pPr>
                    </w:p>
                  </w:txbxContent>
                </v:textbox>
              </v:shape>
            </w:pict>
          </mc:Fallback>
        </mc:AlternateContent>
      </w:r>
      <w:r>
        <w:rPr>
          <w:rFonts w:asciiTheme="minorEastAsia" w:hAnsiTheme="minorEastAsia" w:eastAsiaTheme="minorEastAsia"/>
          <w:color w:val="auto"/>
          <w:sz w:val="21"/>
          <w:szCs w:val="21"/>
          <w:highlight w:val="none"/>
        </w:rPr>
        <mc:AlternateContent>
          <mc:Choice Requires="wps">
            <w:drawing>
              <wp:anchor distT="0" distB="0" distL="114300" distR="114300" simplePos="0" relativeHeight="251677696" behindDoc="0" locked="0" layoutInCell="1" allowOverlap="1">
                <wp:simplePos x="0" y="0"/>
                <wp:positionH relativeFrom="column">
                  <wp:posOffset>4206875</wp:posOffset>
                </wp:positionH>
                <wp:positionV relativeFrom="paragraph">
                  <wp:posOffset>118745</wp:posOffset>
                </wp:positionV>
                <wp:extent cx="76200" cy="391795"/>
                <wp:effectExtent l="0" t="0" r="0" b="8255"/>
                <wp:wrapNone/>
                <wp:docPr id="41" name="AutoShape 22"/>
                <wp:cNvGraphicFramePr/>
                <a:graphic xmlns:a="http://schemas.openxmlformats.org/drawingml/2006/main">
                  <a:graphicData uri="http://schemas.microsoft.com/office/word/2010/wordprocessingShape">
                    <wps:wsp>
                      <wps:cNvSpPr/>
                      <wps:spPr bwMode="auto">
                        <a:xfrm>
                          <a:off x="0" y="0"/>
                          <a:ext cx="76200" cy="391795"/>
                        </a:xfrm>
                        <a:prstGeom prst="rightBracket">
                          <a:avLst>
                            <a:gd name="adj" fmla="val 42847"/>
                          </a:avLst>
                        </a:prstGeom>
                        <a:noFill/>
                        <a:ln w="9525">
                          <a:solidFill>
                            <a:srgbClr val="000000"/>
                          </a:solidFill>
                          <a:round/>
                        </a:ln>
                      </wps:spPr>
                      <wps:txbx>
                        <w:txbxContent>
                          <w:p>
                            <w:pPr>
                              <w:ind w:firstLine="480"/>
                              <w:jc w:val="center"/>
                            </w:pPr>
                          </w:p>
                        </w:txbxContent>
                      </wps:txbx>
                      <wps:bodyPr rot="0" vert="horz" wrap="square" lIns="91440" tIns="45720" rIns="91440" bIns="45720" anchor="t" anchorCtr="0" upright="1">
                        <a:noAutofit/>
                      </wps:bodyPr>
                    </wps:wsp>
                  </a:graphicData>
                </a:graphic>
              </wp:anchor>
            </w:drawing>
          </mc:Choice>
          <mc:Fallback>
            <w:pict>
              <v:shape id="AutoShape 22" o:spid="_x0000_s1026" o:spt="86" type="#_x0000_t86" style="position:absolute;left:0pt;margin-left:331.25pt;margin-top:9.35pt;height:30.85pt;width:6pt;z-index:251677696;mso-width-relative:page;mso-height-relative:page;" filled="f" stroked="t" coordsize="21600,21600" o:gfxdata="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Dl/J1AAA&#10;AAkBAAAPAAAAAAAAAAEAIAAAACIAAABkcnMvZG93bnJldi54bWxQSwECFAAUAAAACACHTuJA/iL5&#10;FCICAABLBAAADgAAAAAAAAABACAAAAAjAQAAZHJzL2Uyb0RvYy54bWxQSwUGAAAAAAYABgBZAQAA&#10;twUAAAAA&#10;" adj="1799">
                <v:fill on="f" focussize="0,0"/>
                <v:stroke color="#000000" joinstyle="round"/>
                <v:imagedata o:title=""/>
                <o:lock v:ext="edit" aspectratio="f"/>
                <v:textbox>
                  <w:txbxContent>
                    <w:p>
                      <w:pPr>
                        <w:ind w:firstLine="480"/>
                        <w:jc w:val="center"/>
                      </w:pPr>
                    </w:p>
                  </w:txbxContent>
                </v:textbox>
              </v:shape>
            </w:pict>
          </mc:Fallback>
        </mc:AlternateContent>
      </w:r>
      <w:r>
        <w:rPr>
          <w:rFonts w:asciiTheme="minorEastAsia" w:hAnsiTheme="minorEastAsia" w:eastAsiaTheme="minorEastAsia"/>
          <w:color w:val="auto"/>
          <w:sz w:val="21"/>
          <w:szCs w:val="21"/>
          <w:highlight w:val="none"/>
        </w:rPr>
        <mc:AlternateContent>
          <mc:Choice Requires="wps">
            <w:drawing>
              <wp:anchor distT="0" distB="0" distL="114300" distR="114300" simplePos="0" relativeHeight="251675648" behindDoc="0" locked="0" layoutInCell="1" allowOverlap="1">
                <wp:simplePos x="0" y="0"/>
                <wp:positionH relativeFrom="column">
                  <wp:posOffset>4701540</wp:posOffset>
                </wp:positionH>
                <wp:positionV relativeFrom="paragraph">
                  <wp:posOffset>159385</wp:posOffset>
                </wp:positionV>
                <wp:extent cx="833120" cy="291465"/>
                <wp:effectExtent l="0" t="0" r="5080" b="0"/>
                <wp:wrapNone/>
                <wp:docPr id="40" name="Text Box 18"/>
                <wp:cNvGraphicFramePr/>
                <a:graphic xmlns:a="http://schemas.openxmlformats.org/drawingml/2006/main">
                  <a:graphicData uri="http://schemas.microsoft.com/office/word/2010/wordprocessingShape">
                    <wps:wsp>
                      <wps:cNvSpPr txBox="1">
                        <a:spLocks noChangeArrowheads="1"/>
                      </wps:cNvSpPr>
                      <wps:spPr bwMode="auto">
                        <a:xfrm>
                          <a:off x="0" y="0"/>
                          <a:ext cx="833120" cy="291465"/>
                        </a:xfrm>
                        <a:prstGeom prst="rect">
                          <a:avLst/>
                        </a:prstGeom>
                        <a:solidFill>
                          <a:srgbClr val="FFFFFF"/>
                        </a:solidFill>
                        <a:ln w="9525">
                          <a:solidFill>
                            <a:srgbClr val="000000"/>
                          </a:solidFill>
                          <a:miter lim="800000"/>
                        </a:ln>
                      </wps:spPr>
                      <wps:txbx>
                        <w:txbxContent>
                          <w:p>
                            <w:pPr>
                              <w:spacing w:line="240" w:lineRule="auto"/>
                              <w:ind w:firstLine="0" w:firstLineChars="0"/>
                              <w:jc w:val="center"/>
                              <w:rPr>
                                <w:sz w:val="21"/>
                                <w:szCs w:val="21"/>
                              </w:rPr>
                            </w:pPr>
                            <w:r>
                              <w:rPr>
                                <w:rFonts w:hint="eastAsia"/>
                                <w:sz w:val="21"/>
                                <w:szCs w:val="21"/>
                              </w:rPr>
                              <w:t>导向钻孔</w:t>
                            </w:r>
                          </w:p>
                        </w:txbxContent>
                      </wps:txbx>
                      <wps:bodyPr rot="0" vert="horz" wrap="square" lIns="91440" tIns="45720" rIns="91440" bIns="45720" anchor="t" anchorCtr="0" upright="1">
                        <a:noAutofit/>
                      </wps:bodyPr>
                    </wps:wsp>
                  </a:graphicData>
                </a:graphic>
              </wp:anchor>
            </w:drawing>
          </mc:Choice>
          <mc:Fallback>
            <w:pict>
              <v:shape id="Text Box 18" o:spid="_x0000_s1026" o:spt="202" type="#_x0000_t202" style="position:absolute;left:0pt;margin-left:370.2pt;margin-top:12.55pt;height:22.95pt;width:65.6pt;z-index:251675648;mso-width-relative:page;mso-height-relative:page;" fillcolor="#FFFFFF" filled="t" stroked="t" coordsize="21600,21600" o:gfxdata="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snDaPYAAAACQEAAA8AAAAAAAAAAQAgAAAAIgAAAGRycy9kb3ducmV2LnhtbFBL&#10;AQIUABQAAAAIAIdO4kAuqFVoLwIAAIcEAAAOAAAAAAAAAAEAIAAAACcBAABkcnMvZTJvRG9jLnht&#10;bFBLBQYAAAAABgAGAFkBAADIBQAAAAA=&#10;">
                <v:fill on="t" focussize="0,0"/>
                <v:stroke color="#000000" miterlimit="8" joinstyle="miter"/>
                <v:imagedata o:title=""/>
                <o:lock v:ext="edit" aspectratio="f"/>
                <v:textbox>
                  <w:txbxContent>
                    <w:p>
                      <w:pPr>
                        <w:spacing w:line="240" w:lineRule="auto"/>
                        <w:ind w:firstLine="0" w:firstLineChars="0"/>
                        <w:jc w:val="center"/>
                        <w:rPr>
                          <w:sz w:val="21"/>
                          <w:szCs w:val="21"/>
                        </w:rPr>
                      </w:pPr>
                      <w:r>
                        <w:rPr>
                          <w:rFonts w:hint="eastAsia"/>
                          <w:sz w:val="21"/>
                          <w:szCs w:val="21"/>
                        </w:rPr>
                        <w:t>导向钻孔</w:t>
                      </w:r>
                    </w:p>
                  </w:txbxContent>
                </v:textbox>
              </v:shape>
            </w:pict>
          </mc:Fallback>
        </mc:AlternateContent>
      </w:r>
    </w:p>
    <w:p>
      <w:pPr>
        <w:ind w:firstLine="420"/>
        <w:rPr>
          <w:rFonts w:asciiTheme="minorEastAsia" w:hAnsiTheme="minorEastAsia" w:eastAsiaTheme="minorEastAsia"/>
          <w:color w:val="auto"/>
          <w:sz w:val="21"/>
          <w:szCs w:val="21"/>
          <w:highlight w:val="none"/>
        </w:rPr>
      </w:pPr>
      <w:r>
        <w:rPr>
          <w:rFonts w:asciiTheme="minorEastAsia" w:hAnsiTheme="minorEastAsia" w:eastAsiaTheme="minorEastAsia"/>
          <w:color w:val="auto"/>
          <w:sz w:val="21"/>
          <w:szCs w:val="21"/>
          <w:highlight w:val="none"/>
        </w:rPr>
        <mc:AlternateContent>
          <mc:Choice Requires="wps">
            <w:drawing>
              <wp:anchor distT="0" distB="0" distL="114300" distR="114300" simplePos="0" relativeHeight="251676672" behindDoc="0" locked="0" layoutInCell="1" allowOverlap="1">
                <wp:simplePos x="0" y="0"/>
                <wp:positionH relativeFrom="column">
                  <wp:posOffset>4301490</wp:posOffset>
                </wp:positionH>
                <wp:positionV relativeFrom="paragraph">
                  <wp:posOffset>25400</wp:posOffset>
                </wp:positionV>
                <wp:extent cx="360680" cy="635"/>
                <wp:effectExtent l="38100" t="76200" r="0" b="75565"/>
                <wp:wrapNone/>
                <wp:docPr id="39" name="AutoShape 19"/>
                <wp:cNvGraphicFramePr/>
                <a:graphic xmlns:a="http://schemas.openxmlformats.org/drawingml/2006/main">
                  <a:graphicData uri="http://schemas.microsoft.com/office/word/2010/wordprocessingShape">
                    <wps:wsp>
                      <wps:cNvCnPr>
                        <a:cxnSpLocks noChangeShapeType="1"/>
                      </wps:cNvCnPr>
                      <wps:spPr bwMode="auto">
                        <a:xfrm flipH="1">
                          <a:off x="0" y="0"/>
                          <a:ext cx="360680" cy="635"/>
                        </a:xfrm>
                        <a:prstGeom prst="straightConnector1">
                          <a:avLst/>
                        </a:prstGeom>
                        <a:noFill/>
                        <a:ln w="9525">
                          <a:solidFill>
                            <a:srgbClr val="000000"/>
                          </a:solidFill>
                          <a:round/>
                          <a:tailEnd type="triangle" w="med" len="med"/>
                        </a:ln>
                      </wps:spPr>
                      <wps:bodyPr/>
                    </wps:wsp>
                  </a:graphicData>
                </a:graphic>
              </wp:anchor>
            </w:drawing>
          </mc:Choice>
          <mc:Fallback>
            <w:pict>
              <v:shape id="AutoShape 19" o:spid="_x0000_s1026" o:spt="32" type="#_x0000_t32" style="position:absolute;left:0pt;flip:x;margin-left:338.7pt;margin-top:2pt;height:0.05pt;width:28.4pt;z-index:251676672;mso-width-relative:page;mso-height-relative:page;" filled="f" stroked="t" coordsize="21600,21600" o:gfxdata="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f6zkrWAAAABwEAAA8AAAAAAAAAAQAgAAAAIgAAAGRycy9kb3ducmV2LnhtbFBL&#10;AQIUABQAAAAIAIdO4kDkrkhr+AEAAO0DAAAOAAAAAAAAAAEAIAAAACUBAABkcnMvZTJvRG9jLnht&#10;bFBLBQYAAAAABgAGAFkBAACPBQAAAAA=&#10;">
                <v:fill on="f" focussize="0,0"/>
                <v:stroke color="#000000" joinstyle="round" endarrow="block"/>
                <v:imagedata o:title=""/>
                <o:lock v:ext="edit" aspectratio="f"/>
              </v:shape>
            </w:pict>
          </mc:Fallback>
        </mc:AlternateContent>
      </w:r>
      <w:r>
        <w:rPr>
          <w:rFonts w:asciiTheme="minorEastAsia" w:hAnsiTheme="minorEastAsia" w:eastAsiaTheme="minorEastAsia"/>
          <w:color w:val="auto"/>
          <w:sz w:val="21"/>
          <w:szCs w:val="21"/>
          <w:highlight w:val="none"/>
        </w:rPr>
        <mc:AlternateContent>
          <mc:Choice Requires="wps">
            <w:drawing>
              <wp:anchor distT="0" distB="0" distL="114300" distR="114300" simplePos="0" relativeHeight="251679744" behindDoc="0" locked="0" layoutInCell="1" allowOverlap="1">
                <wp:simplePos x="0" y="0"/>
                <wp:positionH relativeFrom="column">
                  <wp:posOffset>3312160</wp:posOffset>
                </wp:positionH>
                <wp:positionV relativeFrom="paragraph">
                  <wp:posOffset>41910</wp:posOffset>
                </wp:positionV>
                <wp:extent cx="833120" cy="291465"/>
                <wp:effectExtent l="0" t="0" r="5080" b="0"/>
                <wp:wrapNone/>
                <wp:docPr id="38" name="Text Box 24"/>
                <wp:cNvGraphicFramePr/>
                <a:graphic xmlns:a="http://schemas.openxmlformats.org/drawingml/2006/main">
                  <a:graphicData uri="http://schemas.microsoft.com/office/word/2010/wordprocessingShape">
                    <wps:wsp>
                      <wps:cNvSpPr txBox="1">
                        <a:spLocks noChangeArrowheads="1"/>
                      </wps:cNvSpPr>
                      <wps:spPr bwMode="auto">
                        <a:xfrm>
                          <a:off x="0" y="0"/>
                          <a:ext cx="833120" cy="291465"/>
                        </a:xfrm>
                        <a:prstGeom prst="rect">
                          <a:avLst/>
                        </a:prstGeom>
                        <a:solidFill>
                          <a:srgbClr val="FFFFFF"/>
                        </a:solidFill>
                        <a:ln w="9525">
                          <a:solidFill>
                            <a:srgbClr val="000000"/>
                          </a:solidFill>
                          <a:miter lim="800000"/>
                        </a:ln>
                      </wps:spPr>
                      <wps:txbx>
                        <w:txbxContent>
                          <w:p>
                            <w:pPr>
                              <w:spacing w:line="240" w:lineRule="auto"/>
                              <w:ind w:firstLine="0" w:firstLineChars="0"/>
                              <w:jc w:val="center"/>
                              <w:rPr>
                                <w:sz w:val="21"/>
                                <w:szCs w:val="21"/>
                              </w:rPr>
                            </w:pPr>
                            <w:r>
                              <w:rPr>
                                <w:rFonts w:hint="eastAsia"/>
                                <w:sz w:val="21"/>
                                <w:szCs w:val="21"/>
                              </w:rPr>
                              <w:t>泥浆护壁</w:t>
                            </w:r>
                          </w:p>
                        </w:txbxContent>
                      </wps:txbx>
                      <wps:bodyPr rot="0" vert="horz" wrap="square" lIns="91440" tIns="45720" rIns="91440" bIns="45720" anchor="t" anchorCtr="0" upright="1">
                        <a:noAutofit/>
                      </wps:bodyPr>
                    </wps:wsp>
                  </a:graphicData>
                </a:graphic>
              </wp:anchor>
            </w:drawing>
          </mc:Choice>
          <mc:Fallback>
            <w:pict>
              <v:shape id="Text Box 24" o:spid="_x0000_s1026" o:spt="202" type="#_x0000_t202" style="position:absolute;left:0pt;margin-left:260.8pt;margin-top:3.3pt;height:22.95pt;width:65.6pt;z-index:251679744;mso-width-relative:page;mso-height-relative:page;" fillcolor="#FFFFFF" filled="t" stroked="t" coordsize="21600,21600" o:gfxdata="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yUMbjXAAAACAEAAA8AAAAAAAAAAQAgAAAAIgAAAGRycy9kb3ducmV2LnhtbFBL&#10;AQIUABQAAAAIAIdO4kBSAnwzMAIAAIcEAAAOAAAAAAAAAAEAIAAAACYBAABkcnMvZTJvRG9jLnht&#10;bFBLBQYAAAAABgAGAFkBAADIBQAAAAA=&#10;">
                <v:fill on="t" focussize="0,0"/>
                <v:stroke color="#000000" miterlimit="8" joinstyle="miter"/>
                <v:imagedata o:title=""/>
                <o:lock v:ext="edit" aspectratio="f"/>
                <v:textbox>
                  <w:txbxContent>
                    <w:p>
                      <w:pPr>
                        <w:spacing w:line="240" w:lineRule="auto"/>
                        <w:ind w:firstLine="0" w:firstLineChars="0"/>
                        <w:jc w:val="center"/>
                        <w:rPr>
                          <w:sz w:val="21"/>
                          <w:szCs w:val="21"/>
                        </w:rPr>
                      </w:pPr>
                      <w:r>
                        <w:rPr>
                          <w:rFonts w:hint="eastAsia"/>
                          <w:sz w:val="21"/>
                          <w:szCs w:val="21"/>
                        </w:rPr>
                        <w:t>泥浆护壁</w:t>
                      </w:r>
                    </w:p>
                  </w:txbxContent>
                </v:textbox>
              </v:shape>
            </w:pict>
          </mc:Fallback>
        </mc:AlternateContent>
      </w:r>
      <w:r>
        <w:rPr>
          <w:rFonts w:asciiTheme="minorEastAsia" w:hAnsiTheme="minorEastAsia" w:eastAsiaTheme="minorEastAsia"/>
          <w:color w:val="auto"/>
          <w:sz w:val="21"/>
          <w:szCs w:val="21"/>
          <w:highlight w:val="none"/>
        </w:rPr>
        <mc:AlternateContent>
          <mc:Choice Requires="wps">
            <w:drawing>
              <wp:anchor distT="0" distB="0" distL="113665" distR="113665" simplePos="0" relativeHeight="251685888" behindDoc="0" locked="0" layoutInCell="1" allowOverlap="1">
                <wp:simplePos x="0" y="0"/>
                <wp:positionH relativeFrom="column">
                  <wp:posOffset>628650</wp:posOffset>
                </wp:positionH>
                <wp:positionV relativeFrom="paragraph">
                  <wp:posOffset>229235</wp:posOffset>
                </wp:positionV>
                <wp:extent cx="0" cy="382270"/>
                <wp:effectExtent l="76200" t="0" r="76200" b="36830"/>
                <wp:wrapNone/>
                <wp:docPr id="37" name="AutoShape 31"/>
                <wp:cNvGraphicFramePr/>
                <a:graphic xmlns:a="http://schemas.openxmlformats.org/drawingml/2006/main">
                  <a:graphicData uri="http://schemas.microsoft.com/office/word/2010/wordprocessingShape">
                    <wps:wsp>
                      <wps:cNvCnPr>
                        <a:cxnSpLocks noChangeShapeType="1"/>
                      </wps:cNvCnPr>
                      <wps:spPr bwMode="auto">
                        <a:xfrm>
                          <a:off x="0" y="0"/>
                          <a:ext cx="0" cy="382270"/>
                        </a:xfrm>
                        <a:prstGeom prst="straightConnector1">
                          <a:avLst/>
                        </a:prstGeom>
                        <a:noFill/>
                        <a:ln w="9525">
                          <a:solidFill>
                            <a:srgbClr val="000000"/>
                          </a:solidFill>
                          <a:round/>
                          <a:tailEnd type="triangle" w="med" len="med"/>
                        </a:ln>
                      </wps:spPr>
                      <wps:bodyPr/>
                    </wps:wsp>
                  </a:graphicData>
                </a:graphic>
              </wp:anchor>
            </w:drawing>
          </mc:Choice>
          <mc:Fallback>
            <w:pict>
              <v:shape id="AutoShape 31" o:spid="_x0000_s1026" o:spt="32" type="#_x0000_t32" style="position:absolute;left:0pt;margin-left:49.5pt;margin-top:18.05pt;height:30.1pt;width:0pt;z-index:251685888;mso-width-relative:page;mso-height-relative:page;" filled="f" stroked="t" coordsize="21600,21600" o:gfxdata="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gV+XldYAAAAHAQAADwAAAAAAAAABACAAAAAiAAAAZHJzL2Rvd25yZXYueG1sUEsBAhQAFAAAAAgA&#10;h07iQMSrW83uAQAA4QMAAA4AAAAAAAAAAQAgAAAAJQEAAGRycy9lMm9Eb2MueG1sUEsFBgAAAAAG&#10;AAYAWQEAAIUFAAAAAA==&#10;">
                <v:fill on="f" focussize="0,0"/>
                <v:stroke color="#000000" joinstyle="round" endarrow="block"/>
                <v:imagedata o:title=""/>
                <o:lock v:ext="edit" aspectratio="f"/>
              </v:shape>
            </w:pict>
          </mc:Fallback>
        </mc:AlternateContent>
      </w:r>
      <w:r>
        <w:rPr>
          <w:rFonts w:asciiTheme="minorEastAsia" w:hAnsiTheme="minorEastAsia" w:eastAsiaTheme="minorEastAsia"/>
          <w:color w:val="auto"/>
          <w:sz w:val="21"/>
          <w:szCs w:val="21"/>
          <w:highlight w:val="none"/>
        </w:rPr>
        <mc:AlternateContent>
          <mc:Choice Requires="wps">
            <w:drawing>
              <wp:anchor distT="0" distB="0" distL="114300" distR="114300" simplePos="0" relativeHeight="251683840" behindDoc="0" locked="0" layoutInCell="1" allowOverlap="1">
                <wp:simplePos x="0" y="0"/>
                <wp:positionH relativeFrom="column">
                  <wp:posOffset>1244600</wp:posOffset>
                </wp:positionH>
                <wp:positionV relativeFrom="paragraph">
                  <wp:posOffset>56515</wp:posOffset>
                </wp:positionV>
                <wp:extent cx="421640" cy="0"/>
                <wp:effectExtent l="38100" t="76200" r="0" b="76200"/>
                <wp:wrapNone/>
                <wp:docPr id="36" name="AutoShape 29"/>
                <wp:cNvGraphicFramePr/>
                <a:graphic xmlns:a="http://schemas.openxmlformats.org/drawingml/2006/main">
                  <a:graphicData uri="http://schemas.microsoft.com/office/word/2010/wordprocessingShape">
                    <wps:wsp>
                      <wps:cNvCnPr>
                        <a:cxnSpLocks noChangeShapeType="1"/>
                      </wps:cNvCnPr>
                      <wps:spPr bwMode="auto">
                        <a:xfrm flipH="1">
                          <a:off x="0" y="0"/>
                          <a:ext cx="421640" cy="0"/>
                        </a:xfrm>
                        <a:prstGeom prst="straightConnector1">
                          <a:avLst/>
                        </a:prstGeom>
                        <a:noFill/>
                        <a:ln w="9525">
                          <a:solidFill>
                            <a:srgbClr val="000000"/>
                          </a:solidFill>
                          <a:round/>
                          <a:tailEnd type="triangle" w="med" len="med"/>
                        </a:ln>
                      </wps:spPr>
                      <wps:bodyPr/>
                    </wps:wsp>
                  </a:graphicData>
                </a:graphic>
              </wp:anchor>
            </w:drawing>
          </mc:Choice>
          <mc:Fallback>
            <w:pict>
              <v:shape id="AutoShape 29" o:spid="_x0000_s1026" o:spt="32" type="#_x0000_t32" style="position:absolute;left:0pt;flip:x;margin-left:98pt;margin-top:4.45pt;height:0pt;width:33.2pt;z-index:251683840;mso-width-relative:page;mso-height-relative:page;" filled="f" stroked="t" coordsize="21600,21600" o:gfxdata="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82Vhp1gAAAAcBAAAPAAAAAAAAAAEAIAAAACIAAABkcnMvZG93bnJldi54bWxQSwEC&#10;FAAUAAAACACHTuJAB2g7ZfYBAADrAwAADgAAAAAAAAABACAAAAAlAQAAZHJzL2Uyb0RvYy54bWxQ&#10;SwUGAAAAAAYABgBZAQAAjQUAAAAA&#10;">
                <v:fill on="f" focussize="0,0"/>
                <v:stroke color="#000000" joinstyle="round" endarrow="block"/>
                <v:imagedata o:title=""/>
                <o:lock v:ext="edit" aspectratio="f"/>
              </v:shape>
            </w:pict>
          </mc:Fallback>
        </mc:AlternateContent>
      </w:r>
      <w:r>
        <w:rPr>
          <w:rFonts w:asciiTheme="minorEastAsia" w:hAnsiTheme="minorEastAsia" w:eastAsiaTheme="minorEastAsia"/>
          <w:color w:val="auto"/>
          <w:sz w:val="21"/>
          <w:szCs w:val="21"/>
          <w:highlight w:val="none"/>
        </w:rPr>
        <mc:AlternateContent>
          <mc:Choice Requires="wps">
            <w:drawing>
              <wp:anchor distT="0" distB="0" distL="114300" distR="114300" simplePos="0" relativeHeight="251681792" behindDoc="0" locked="0" layoutInCell="1" allowOverlap="1">
                <wp:simplePos x="0" y="0"/>
                <wp:positionH relativeFrom="column">
                  <wp:posOffset>2721610</wp:posOffset>
                </wp:positionH>
                <wp:positionV relativeFrom="paragraph">
                  <wp:posOffset>24765</wp:posOffset>
                </wp:positionV>
                <wp:extent cx="421640" cy="0"/>
                <wp:effectExtent l="38100" t="76200" r="0" b="76200"/>
                <wp:wrapNone/>
                <wp:docPr id="35" name="AutoShape 26"/>
                <wp:cNvGraphicFramePr/>
                <a:graphic xmlns:a="http://schemas.openxmlformats.org/drawingml/2006/main">
                  <a:graphicData uri="http://schemas.microsoft.com/office/word/2010/wordprocessingShape">
                    <wps:wsp>
                      <wps:cNvCnPr>
                        <a:cxnSpLocks noChangeShapeType="1"/>
                      </wps:cNvCnPr>
                      <wps:spPr bwMode="auto">
                        <a:xfrm flipH="1">
                          <a:off x="0" y="0"/>
                          <a:ext cx="421640" cy="0"/>
                        </a:xfrm>
                        <a:prstGeom prst="straightConnector1">
                          <a:avLst/>
                        </a:prstGeom>
                        <a:noFill/>
                        <a:ln w="9525">
                          <a:solidFill>
                            <a:srgbClr val="000000"/>
                          </a:solidFill>
                          <a:round/>
                          <a:tailEnd type="triangle" w="med" len="med"/>
                        </a:ln>
                      </wps:spPr>
                      <wps:bodyPr/>
                    </wps:wsp>
                  </a:graphicData>
                </a:graphic>
              </wp:anchor>
            </w:drawing>
          </mc:Choice>
          <mc:Fallback>
            <w:pict>
              <v:shape id="AutoShape 26" o:spid="_x0000_s1026" o:spt="32" type="#_x0000_t32" style="position:absolute;left:0pt;flip:x;margin-left:214.3pt;margin-top:1.95pt;height:0pt;width:33.2pt;z-index:251681792;mso-width-relative:page;mso-height-relative:page;" filled="f" stroked="t" coordsize="21600,21600" o:gfxdata="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ABpv31gAAAAcBAAAPAAAAAAAAAAEAIAAAACIAAABkcnMvZG93bnJldi54bWxQSwEC&#10;FAAUAAAACACHTuJAxcVCGvYBAADrAwAADgAAAAAAAAABACAAAAAlAQAAZHJzL2Uyb0RvYy54bWxQ&#10;SwUGAAAAAAYABgBZAQAAjQUAAAAA&#10;">
                <v:fill on="f" focussize="0,0"/>
                <v:stroke color="#000000" joinstyle="round" endarrow="block"/>
                <v:imagedata o:title=""/>
                <o:lock v:ext="edit" aspectratio="f"/>
              </v:shape>
            </w:pict>
          </mc:Fallback>
        </mc:AlternateContent>
      </w:r>
    </w:p>
    <w:p>
      <w:pPr>
        <w:ind w:firstLine="420"/>
        <w:rPr>
          <w:rFonts w:asciiTheme="minorEastAsia" w:hAnsiTheme="minorEastAsia" w:eastAsiaTheme="minorEastAsia"/>
          <w:color w:val="auto"/>
          <w:sz w:val="21"/>
          <w:szCs w:val="21"/>
          <w:highlight w:val="none"/>
        </w:rPr>
      </w:pPr>
      <w:r>
        <w:rPr>
          <w:rFonts w:asciiTheme="minorEastAsia" w:hAnsiTheme="minorEastAsia" w:eastAsiaTheme="minorEastAsia"/>
          <w:color w:val="auto"/>
          <w:sz w:val="21"/>
          <w:szCs w:val="21"/>
          <w:highlight w:val="none"/>
        </w:rPr>
        <mc:AlternateContent>
          <mc:Choice Requires="wps">
            <w:drawing>
              <wp:anchor distT="0" distB="0" distL="114300" distR="114300" simplePos="0" relativeHeight="251691008" behindDoc="0" locked="0" layoutInCell="1" allowOverlap="1">
                <wp:simplePos x="0" y="0"/>
                <wp:positionH relativeFrom="column">
                  <wp:posOffset>3040380</wp:posOffset>
                </wp:positionH>
                <wp:positionV relativeFrom="paragraph">
                  <wp:posOffset>289560</wp:posOffset>
                </wp:positionV>
                <wp:extent cx="922655" cy="291465"/>
                <wp:effectExtent l="0" t="0" r="0" b="0"/>
                <wp:wrapNone/>
                <wp:docPr id="34" name="Text Box 36"/>
                <wp:cNvGraphicFramePr/>
                <a:graphic xmlns:a="http://schemas.openxmlformats.org/drawingml/2006/main">
                  <a:graphicData uri="http://schemas.microsoft.com/office/word/2010/wordprocessingShape">
                    <wps:wsp>
                      <wps:cNvSpPr txBox="1">
                        <a:spLocks noChangeArrowheads="1"/>
                      </wps:cNvSpPr>
                      <wps:spPr bwMode="auto">
                        <a:xfrm>
                          <a:off x="0" y="0"/>
                          <a:ext cx="922655" cy="291465"/>
                        </a:xfrm>
                        <a:prstGeom prst="rect">
                          <a:avLst/>
                        </a:prstGeom>
                        <a:solidFill>
                          <a:srgbClr val="FFFFFF"/>
                        </a:solidFill>
                        <a:ln w="9525">
                          <a:solidFill>
                            <a:srgbClr val="000000"/>
                          </a:solidFill>
                          <a:miter lim="800000"/>
                        </a:ln>
                      </wps:spPr>
                      <wps:txbx>
                        <w:txbxContent>
                          <w:p>
                            <w:pPr>
                              <w:spacing w:line="240" w:lineRule="auto"/>
                              <w:ind w:firstLine="0" w:firstLineChars="0"/>
                              <w:jc w:val="center"/>
                              <w:rPr>
                                <w:sz w:val="21"/>
                                <w:szCs w:val="21"/>
                              </w:rPr>
                            </w:pPr>
                            <w:r>
                              <w:rPr>
                                <w:rFonts w:hint="eastAsia"/>
                                <w:sz w:val="21"/>
                                <w:szCs w:val="21"/>
                              </w:rPr>
                              <w:t>土方回填</w:t>
                            </w:r>
                          </w:p>
                        </w:txbxContent>
                      </wps:txbx>
                      <wps:bodyPr rot="0" vert="horz" wrap="square" lIns="91440" tIns="45720" rIns="91440" bIns="45720" anchor="t" anchorCtr="0" upright="1">
                        <a:noAutofit/>
                      </wps:bodyPr>
                    </wps:wsp>
                  </a:graphicData>
                </a:graphic>
              </wp:anchor>
            </w:drawing>
          </mc:Choice>
          <mc:Fallback>
            <w:pict>
              <v:shape id="Text Box 36" o:spid="_x0000_s1026" o:spt="202" type="#_x0000_t202" style="position:absolute;left:0pt;margin-left:239.4pt;margin-top:22.8pt;height:22.95pt;width:72.65pt;z-index:251691008;mso-width-relative:page;mso-height-relative:page;" fillcolor="#FFFFFF" filled="t" stroked="t" coordsize="21600,21600" o:gfxdata="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nhZdzZAAAACQEAAA8AAAAAAAAAAQAgAAAAIgAAAGRycy9kb3ducmV2Lnht&#10;bFBLAQIUABQAAAAIAIdO4kD82W1cMQIAAIcEAAAOAAAAAAAAAAEAIAAAACgBAABkcnMvZTJvRG9j&#10;LnhtbFBLBQYAAAAABgAGAFkBAADLBQAAAAA=&#10;">
                <v:fill on="t" focussize="0,0"/>
                <v:stroke color="#000000" miterlimit="8" joinstyle="miter"/>
                <v:imagedata o:title=""/>
                <o:lock v:ext="edit" aspectratio="f"/>
                <v:textbox>
                  <w:txbxContent>
                    <w:p>
                      <w:pPr>
                        <w:spacing w:line="240" w:lineRule="auto"/>
                        <w:ind w:firstLine="0" w:firstLineChars="0"/>
                        <w:jc w:val="center"/>
                        <w:rPr>
                          <w:sz w:val="21"/>
                          <w:szCs w:val="21"/>
                        </w:rPr>
                      </w:pPr>
                      <w:r>
                        <w:rPr>
                          <w:rFonts w:hint="eastAsia"/>
                          <w:sz w:val="21"/>
                          <w:szCs w:val="21"/>
                        </w:rPr>
                        <w:t>土方回填</w:t>
                      </w:r>
                    </w:p>
                  </w:txbxContent>
                </v:textbox>
              </v:shape>
            </w:pict>
          </mc:Fallback>
        </mc:AlternateContent>
      </w:r>
      <w:r>
        <w:rPr>
          <w:rFonts w:asciiTheme="minorEastAsia" w:hAnsiTheme="minorEastAsia" w:eastAsiaTheme="minorEastAsia"/>
          <w:color w:val="auto"/>
          <w:sz w:val="21"/>
          <w:szCs w:val="21"/>
          <w:highlight w:val="none"/>
        </w:rPr>
        <mc:AlternateContent>
          <mc:Choice Requires="wps">
            <w:drawing>
              <wp:anchor distT="0" distB="0" distL="114300" distR="114300" simplePos="0" relativeHeight="251688960" behindDoc="0" locked="0" layoutInCell="1" allowOverlap="1">
                <wp:simplePos x="0" y="0"/>
                <wp:positionH relativeFrom="column">
                  <wp:posOffset>1598295</wp:posOffset>
                </wp:positionH>
                <wp:positionV relativeFrom="paragraph">
                  <wp:posOffset>289560</wp:posOffset>
                </wp:positionV>
                <wp:extent cx="922655" cy="291465"/>
                <wp:effectExtent l="0" t="0" r="0" b="0"/>
                <wp:wrapNone/>
                <wp:docPr id="33" name="Text Box 34"/>
                <wp:cNvGraphicFramePr/>
                <a:graphic xmlns:a="http://schemas.openxmlformats.org/drawingml/2006/main">
                  <a:graphicData uri="http://schemas.microsoft.com/office/word/2010/wordprocessingShape">
                    <wps:wsp>
                      <wps:cNvSpPr txBox="1">
                        <a:spLocks noChangeArrowheads="1"/>
                      </wps:cNvSpPr>
                      <wps:spPr bwMode="auto">
                        <a:xfrm>
                          <a:off x="0" y="0"/>
                          <a:ext cx="922655" cy="291465"/>
                        </a:xfrm>
                        <a:prstGeom prst="rect">
                          <a:avLst/>
                        </a:prstGeom>
                        <a:solidFill>
                          <a:srgbClr val="FFFFFF"/>
                        </a:solidFill>
                        <a:ln w="9525">
                          <a:solidFill>
                            <a:srgbClr val="000000"/>
                          </a:solidFill>
                          <a:miter lim="800000"/>
                        </a:ln>
                      </wps:spPr>
                      <wps:txbx>
                        <w:txbxContent>
                          <w:p>
                            <w:pPr>
                              <w:spacing w:line="240" w:lineRule="auto"/>
                              <w:ind w:firstLine="0" w:firstLineChars="0"/>
                              <w:jc w:val="center"/>
                              <w:rPr>
                                <w:sz w:val="21"/>
                                <w:szCs w:val="21"/>
                              </w:rPr>
                            </w:pPr>
                            <w:r>
                              <w:rPr>
                                <w:rFonts w:hint="eastAsia"/>
                                <w:sz w:val="21"/>
                                <w:szCs w:val="21"/>
                              </w:rPr>
                              <w:t>试压冲洗</w:t>
                            </w:r>
                          </w:p>
                        </w:txbxContent>
                      </wps:txbx>
                      <wps:bodyPr rot="0" vert="horz" wrap="square" lIns="91440" tIns="45720" rIns="91440" bIns="45720" anchor="t" anchorCtr="0" upright="1">
                        <a:noAutofit/>
                      </wps:bodyPr>
                    </wps:wsp>
                  </a:graphicData>
                </a:graphic>
              </wp:anchor>
            </w:drawing>
          </mc:Choice>
          <mc:Fallback>
            <w:pict>
              <v:shape id="Text Box 34" o:spid="_x0000_s1026" o:spt="202" type="#_x0000_t202" style="position:absolute;left:0pt;margin-left:125.85pt;margin-top:22.8pt;height:22.95pt;width:72.65pt;z-index:251688960;mso-width-relative:page;mso-height-relative:page;" fillcolor="#FFFFFF" filled="t" stroked="t" coordsize="21600,21600" o:gfxdata="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UI2zG2gAAAAkBAAAPAAAAAAAAAAEAIAAAACIAAABkcnMvZG93bnJldi54&#10;bWxQSwECFAAUAAAACACHTuJA7M3wzTECAACHBAAADgAAAAAAAAABACAAAAApAQAAZHJzL2Uyb0Rv&#10;Yy54bWxQSwUGAAAAAAYABgBZAQAAzAUAAAAA&#10;">
                <v:fill on="t" focussize="0,0"/>
                <v:stroke color="#000000" miterlimit="8" joinstyle="miter"/>
                <v:imagedata o:title=""/>
                <o:lock v:ext="edit" aspectratio="f"/>
                <v:textbox>
                  <w:txbxContent>
                    <w:p>
                      <w:pPr>
                        <w:spacing w:line="240" w:lineRule="auto"/>
                        <w:ind w:firstLine="0" w:firstLineChars="0"/>
                        <w:jc w:val="center"/>
                        <w:rPr>
                          <w:sz w:val="21"/>
                          <w:szCs w:val="21"/>
                        </w:rPr>
                      </w:pPr>
                      <w:r>
                        <w:rPr>
                          <w:rFonts w:hint="eastAsia"/>
                          <w:sz w:val="21"/>
                          <w:szCs w:val="21"/>
                        </w:rPr>
                        <w:t>试压冲洗</w:t>
                      </w:r>
                    </w:p>
                  </w:txbxContent>
                </v:textbox>
              </v:shape>
            </w:pict>
          </mc:Fallback>
        </mc:AlternateContent>
      </w:r>
      <w:r>
        <w:rPr>
          <w:rFonts w:asciiTheme="minorEastAsia" w:hAnsiTheme="minorEastAsia" w:eastAsiaTheme="minorEastAsia"/>
          <w:color w:val="auto"/>
          <w:sz w:val="21"/>
          <w:szCs w:val="21"/>
          <w:highlight w:val="none"/>
        </w:rPr>
        <mc:AlternateContent>
          <mc:Choice Requires="wps">
            <w:drawing>
              <wp:anchor distT="0" distB="0" distL="114300" distR="114300" simplePos="0" relativeHeight="251686912" behindDoc="0" locked="0" layoutInCell="1" allowOverlap="1">
                <wp:simplePos x="0" y="0"/>
                <wp:positionH relativeFrom="column">
                  <wp:posOffset>173355</wp:posOffset>
                </wp:positionH>
                <wp:positionV relativeFrom="paragraph">
                  <wp:posOffset>304800</wp:posOffset>
                </wp:positionV>
                <wp:extent cx="922655" cy="291465"/>
                <wp:effectExtent l="0" t="0" r="0" b="0"/>
                <wp:wrapNone/>
                <wp:docPr id="32" name="Text Box 32"/>
                <wp:cNvGraphicFramePr/>
                <a:graphic xmlns:a="http://schemas.openxmlformats.org/drawingml/2006/main">
                  <a:graphicData uri="http://schemas.microsoft.com/office/word/2010/wordprocessingShape">
                    <wps:wsp>
                      <wps:cNvSpPr txBox="1">
                        <a:spLocks noChangeArrowheads="1"/>
                      </wps:cNvSpPr>
                      <wps:spPr bwMode="auto">
                        <a:xfrm>
                          <a:off x="0" y="0"/>
                          <a:ext cx="922655" cy="291465"/>
                        </a:xfrm>
                        <a:prstGeom prst="rect">
                          <a:avLst/>
                        </a:prstGeom>
                        <a:solidFill>
                          <a:srgbClr val="FFFFFF"/>
                        </a:solidFill>
                        <a:ln w="9525">
                          <a:solidFill>
                            <a:srgbClr val="000000"/>
                          </a:solidFill>
                          <a:miter lim="800000"/>
                        </a:ln>
                      </wps:spPr>
                      <wps:txbx>
                        <w:txbxContent>
                          <w:p>
                            <w:pPr>
                              <w:spacing w:line="240" w:lineRule="auto"/>
                              <w:ind w:firstLine="0" w:firstLineChars="0"/>
                              <w:jc w:val="center"/>
                              <w:rPr>
                                <w:sz w:val="21"/>
                                <w:szCs w:val="21"/>
                              </w:rPr>
                            </w:pPr>
                            <w:r>
                              <w:rPr>
                                <w:rFonts w:hint="eastAsia"/>
                                <w:sz w:val="21"/>
                                <w:szCs w:val="21"/>
                              </w:rPr>
                              <w:t>管件焊接</w:t>
                            </w:r>
                          </w:p>
                        </w:txbxContent>
                      </wps:txbx>
                      <wps:bodyPr rot="0" vert="horz" wrap="square" lIns="91440" tIns="45720" rIns="91440" bIns="45720" anchor="t" anchorCtr="0" upright="1">
                        <a:noAutofit/>
                      </wps:bodyPr>
                    </wps:wsp>
                  </a:graphicData>
                </a:graphic>
              </wp:anchor>
            </w:drawing>
          </mc:Choice>
          <mc:Fallback>
            <w:pict>
              <v:shape id="Text Box 32" o:spid="_x0000_s1026" o:spt="202" type="#_x0000_t202" style="position:absolute;left:0pt;margin-left:13.65pt;margin-top:24pt;height:22.95pt;width:72.65pt;z-index:251686912;mso-width-relative:page;mso-height-relative:page;" fillcolor="#FFFFFF" filled="t" stroked="t" coordsize="21600,21600" o:gfxdata="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cmk5jXAAAACAEAAA8AAAAAAAAAAQAgAAAAIgAAAGRycy9kb3ducmV2LnhtbFBL&#10;AQIUABQAAAAIAIdO4kCpE9TpMAIAAIcEAAAOAAAAAAAAAAEAIAAAACYBAABkcnMvZTJvRG9jLnht&#10;bFBLBQYAAAAABgAGAFkBAADIBQAAAAA=&#10;">
                <v:fill on="t" focussize="0,0"/>
                <v:stroke color="#000000" miterlimit="8" joinstyle="miter"/>
                <v:imagedata o:title=""/>
                <o:lock v:ext="edit" aspectratio="f"/>
                <v:textbox>
                  <w:txbxContent>
                    <w:p>
                      <w:pPr>
                        <w:spacing w:line="240" w:lineRule="auto"/>
                        <w:ind w:firstLine="0" w:firstLineChars="0"/>
                        <w:jc w:val="center"/>
                        <w:rPr>
                          <w:sz w:val="21"/>
                          <w:szCs w:val="21"/>
                        </w:rPr>
                      </w:pPr>
                      <w:r>
                        <w:rPr>
                          <w:rFonts w:hint="eastAsia"/>
                          <w:sz w:val="21"/>
                          <w:szCs w:val="21"/>
                        </w:rPr>
                        <w:t>管件焊接</w:t>
                      </w:r>
                    </w:p>
                  </w:txbxContent>
                </v:textbox>
              </v:shape>
            </w:pict>
          </mc:Fallback>
        </mc:AlternateContent>
      </w:r>
    </w:p>
    <w:p>
      <w:pPr>
        <w:ind w:firstLine="420"/>
        <w:rPr>
          <w:rFonts w:asciiTheme="minorEastAsia" w:hAnsiTheme="minorEastAsia" w:eastAsiaTheme="minorEastAsia"/>
          <w:color w:val="auto"/>
          <w:sz w:val="21"/>
          <w:szCs w:val="21"/>
          <w:highlight w:val="none"/>
        </w:rPr>
      </w:pPr>
      <w:r>
        <w:rPr>
          <w:rFonts w:asciiTheme="minorEastAsia" w:hAnsiTheme="minorEastAsia" w:eastAsiaTheme="minorEastAsia"/>
          <w:color w:val="auto"/>
          <w:sz w:val="21"/>
          <w:szCs w:val="21"/>
          <w:highlight w:val="none"/>
        </w:rPr>
        <mc:AlternateContent>
          <mc:Choice Requires="wps">
            <w:drawing>
              <wp:anchor distT="0" distB="0" distL="114300" distR="114300" simplePos="0" relativeHeight="251687936" behindDoc="0" locked="0" layoutInCell="1" allowOverlap="1">
                <wp:simplePos x="0" y="0"/>
                <wp:positionH relativeFrom="column">
                  <wp:posOffset>1120775</wp:posOffset>
                </wp:positionH>
                <wp:positionV relativeFrom="paragraph">
                  <wp:posOffset>125095</wp:posOffset>
                </wp:positionV>
                <wp:extent cx="459105" cy="10160"/>
                <wp:effectExtent l="0" t="76200" r="0" b="66040"/>
                <wp:wrapNone/>
                <wp:docPr id="31" name="AutoShape 33"/>
                <wp:cNvGraphicFramePr/>
                <a:graphic xmlns:a="http://schemas.openxmlformats.org/drawingml/2006/main">
                  <a:graphicData uri="http://schemas.microsoft.com/office/word/2010/wordprocessingShape">
                    <wps:wsp>
                      <wps:cNvCnPr>
                        <a:cxnSpLocks noChangeShapeType="1"/>
                      </wps:cNvCnPr>
                      <wps:spPr bwMode="auto">
                        <a:xfrm flipV="1">
                          <a:off x="0" y="0"/>
                          <a:ext cx="459105" cy="10160"/>
                        </a:xfrm>
                        <a:prstGeom prst="straightConnector1">
                          <a:avLst/>
                        </a:prstGeom>
                        <a:noFill/>
                        <a:ln w="9525">
                          <a:solidFill>
                            <a:srgbClr val="000000"/>
                          </a:solidFill>
                          <a:round/>
                          <a:tailEnd type="triangle" w="med" len="med"/>
                        </a:ln>
                      </wps:spPr>
                      <wps:bodyPr/>
                    </wps:wsp>
                  </a:graphicData>
                </a:graphic>
              </wp:anchor>
            </w:drawing>
          </mc:Choice>
          <mc:Fallback>
            <w:pict>
              <v:shape id="AutoShape 33" o:spid="_x0000_s1026" o:spt="32" type="#_x0000_t32" style="position:absolute;left:0pt;flip:y;margin-left:88.25pt;margin-top:9.85pt;height:0.8pt;width:36.15pt;z-index:251687936;mso-width-relative:page;mso-height-relative:page;" filled="f" stroked="t" coordsize="21600,21600" o:gfxdata="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aB2b9gAAAAJAQAADwAAAAAAAAABACAAAAAiAAAAZHJzL2Rvd25yZXYu&#10;eG1sUEsBAhQAFAAAAAgAh07iQKp3a7H7AQAA7wMAAA4AAAAAAAAAAQAgAAAAJwEAAGRycy9lMm9E&#10;b2MueG1sUEsFBgAAAAAGAAYAWQEAAJQFAAAAAA==&#10;">
                <v:fill on="f" focussize="0,0"/>
                <v:stroke color="#000000" joinstyle="round" endarrow="block"/>
                <v:imagedata o:title=""/>
                <o:lock v:ext="edit" aspectratio="f"/>
              </v:shape>
            </w:pict>
          </mc:Fallback>
        </mc:AlternateContent>
      </w:r>
      <w:r>
        <w:rPr>
          <w:rFonts w:asciiTheme="minorEastAsia" w:hAnsiTheme="minorEastAsia" w:eastAsiaTheme="minorEastAsia"/>
          <w:color w:val="auto"/>
          <w:sz w:val="21"/>
          <w:szCs w:val="21"/>
          <w:highlight w:val="none"/>
        </w:rPr>
        <mc:AlternateContent>
          <mc:Choice Requires="wps">
            <w:drawing>
              <wp:anchor distT="0" distB="0" distL="114300" distR="114300" simplePos="0" relativeHeight="251689984" behindDoc="0" locked="0" layoutInCell="1" allowOverlap="1">
                <wp:simplePos x="0" y="0"/>
                <wp:positionH relativeFrom="column">
                  <wp:posOffset>2548255</wp:posOffset>
                </wp:positionH>
                <wp:positionV relativeFrom="paragraph">
                  <wp:posOffset>135255</wp:posOffset>
                </wp:positionV>
                <wp:extent cx="492125" cy="10160"/>
                <wp:effectExtent l="0" t="76200" r="3175" b="66040"/>
                <wp:wrapNone/>
                <wp:docPr id="6" name="AutoShape 35"/>
                <wp:cNvGraphicFramePr/>
                <a:graphic xmlns:a="http://schemas.openxmlformats.org/drawingml/2006/main">
                  <a:graphicData uri="http://schemas.microsoft.com/office/word/2010/wordprocessingShape">
                    <wps:wsp>
                      <wps:cNvCnPr>
                        <a:cxnSpLocks noChangeShapeType="1"/>
                      </wps:cNvCnPr>
                      <wps:spPr bwMode="auto">
                        <a:xfrm flipV="1">
                          <a:off x="0" y="0"/>
                          <a:ext cx="492125" cy="10160"/>
                        </a:xfrm>
                        <a:prstGeom prst="straightConnector1">
                          <a:avLst/>
                        </a:prstGeom>
                        <a:noFill/>
                        <a:ln w="9525">
                          <a:solidFill>
                            <a:srgbClr val="000000"/>
                          </a:solidFill>
                          <a:round/>
                          <a:tailEnd type="triangle" w="med" len="med"/>
                        </a:ln>
                      </wps:spPr>
                      <wps:bodyPr/>
                    </wps:wsp>
                  </a:graphicData>
                </a:graphic>
              </wp:anchor>
            </w:drawing>
          </mc:Choice>
          <mc:Fallback>
            <w:pict>
              <v:shape id="AutoShape 35" o:spid="_x0000_s1026" o:spt="32" type="#_x0000_t32" style="position:absolute;left:0pt;flip:y;margin-left:200.65pt;margin-top:10.65pt;height:0.8pt;width:38.75pt;z-index:251689984;mso-width-relative:page;mso-height-relative:page;" filled="f" stroked="t" coordsize="21600,21600" o:gfxdata="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N4KPq9kAAAAJAQAADwAAAAAAAAABACAAAAAiAAAAZHJzL2Rvd25yZXYueG1s&#10;UEsBAhQAFAAAAAgAh07iQNuziXX3AQAA7gMAAA4AAAAAAAAAAQAgAAAAKAEAAGRycy9lMm9Eb2Mu&#10;eG1sUEsFBgAAAAAGAAYAWQEAAJEFAAAAAA==&#10;">
                <v:fill on="f" focussize="0,0"/>
                <v:stroke color="#000000" joinstyle="round" endarrow="block"/>
                <v:imagedata o:title=""/>
                <o:lock v:ext="edit" aspectratio="f"/>
              </v:shape>
            </w:pict>
          </mc:Fallback>
        </mc:AlternateConten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二、</w:t>
      </w:r>
      <w:r>
        <w:rPr>
          <w:rFonts w:asciiTheme="minorEastAsia" w:hAnsiTheme="minorEastAsia" w:eastAsiaTheme="minorEastAsia"/>
          <w:color w:val="auto"/>
          <w:szCs w:val="24"/>
          <w:highlight w:val="none"/>
        </w:rPr>
        <w:t>施工准备</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1、</w:t>
      </w:r>
      <w:r>
        <w:rPr>
          <w:rFonts w:asciiTheme="minorEastAsia" w:hAnsiTheme="minorEastAsia" w:eastAsiaTheme="minorEastAsia"/>
          <w:color w:val="auto"/>
          <w:szCs w:val="24"/>
          <w:highlight w:val="none"/>
        </w:rPr>
        <w:t>施工前先将牵引管工作井位置的绿化进行迁移，在拉管施工结束后再按原样</w:t>
      </w:r>
      <w:r>
        <w:rPr>
          <w:rFonts w:hint="eastAsia" w:asciiTheme="minorEastAsia" w:hAnsiTheme="minorEastAsia" w:eastAsiaTheme="minorEastAsia"/>
          <w:color w:val="auto"/>
          <w:szCs w:val="24"/>
          <w:highlight w:val="none"/>
        </w:rPr>
        <w:t>恢复</w:t>
      </w:r>
      <w:r>
        <w:rPr>
          <w:rFonts w:asciiTheme="minorEastAsia" w:hAnsiTheme="minorEastAsia" w:eastAsiaTheme="minorEastAsia"/>
          <w:color w:val="auto"/>
          <w:szCs w:val="24"/>
          <w:highlight w:val="none"/>
        </w:rPr>
        <w:t>。</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2、</w:t>
      </w:r>
      <w:r>
        <w:rPr>
          <w:rFonts w:asciiTheme="minorEastAsia" w:hAnsiTheme="minorEastAsia" w:eastAsiaTheme="minorEastAsia"/>
          <w:color w:val="auto"/>
          <w:szCs w:val="24"/>
          <w:highlight w:val="none"/>
        </w:rPr>
        <w:t>为了使施工过程中尽量不给交通安全、城市环境及周围群众正常生活带来影响</w:t>
      </w:r>
      <w:r>
        <w:rPr>
          <w:rFonts w:hint="eastAsia" w:asciiTheme="minorEastAsia" w:hAnsiTheme="minorEastAsia" w:eastAsiaTheme="minorEastAsia"/>
          <w:color w:val="auto"/>
          <w:szCs w:val="24"/>
          <w:highlight w:val="none"/>
        </w:rPr>
        <w:t>，</w:t>
      </w:r>
      <w:r>
        <w:rPr>
          <w:rFonts w:asciiTheme="minorEastAsia" w:hAnsiTheme="minorEastAsia" w:eastAsiaTheme="minorEastAsia"/>
          <w:color w:val="auto"/>
          <w:szCs w:val="24"/>
          <w:highlight w:val="none"/>
        </w:rPr>
        <w:t>在不影响正常施工的前提下在施工现场周围(即出、入口和泥浆池周围)用砖基</w:t>
      </w:r>
      <w:r>
        <w:rPr>
          <w:rFonts w:hint="eastAsia" w:asciiTheme="minorEastAsia" w:hAnsiTheme="minorEastAsia" w:eastAsiaTheme="minorEastAsia"/>
          <w:color w:val="auto"/>
          <w:szCs w:val="24"/>
          <w:highlight w:val="none"/>
        </w:rPr>
        <w:t>础</w:t>
      </w:r>
      <w:r>
        <w:rPr>
          <w:rFonts w:asciiTheme="minorEastAsia" w:hAnsiTheme="minorEastAsia" w:eastAsiaTheme="minorEastAsia"/>
          <w:color w:val="auto"/>
          <w:szCs w:val="24"/>
          <w:highlight w:val="none"/>
        </w:rPr>
        <w:t>彩钢瓦加以保护和隔离。</w:t>
      </w:r>
    </w:p>
    <w:p>
      <w:pPr>
        <w:ind w:firstLine="480"/>
        <w:rPr>
          <w:rFonts w:asciiTheme="minorEastAsia" w:hAnsiTheme="minorEastAsia" w:eastAsiaTheme="minorEastAsia"/>
          <w:color w:val="auto"/>
          <w:szCs w:val="24"/>
          <w:highlight w:val="none"/>
        </w:rPr>
      </w:pPr>
      <w:r>
        <w:rPr>
          <w:rFonts w:asciiTheme="minorEastAsia" w:hAnsiTheme="minorEastAsia" w:eastAsiaTheme="minorEastAsia"/>
          <w:color w:val="auto"/>
          <w:szCs w:val="24"/>
          <w:highlight w:val="none"/>
        </w:rPr>
        <w:t>3</w:t>
      </w:r>
      <w:r>
        <w:rPr>
          <w:rFonts w:hint="eastAsia" w:asciiTheme="minorEastAsia" w:hAnsiTheme="minorEastAsia" w:eastAsiaTheme="minorEastAsia"/>
          <w:color w:val="auto"/>
          <w:szCs w:val="24"/>
          <w:highlight w:val="none"/>
        </w:rPr>
        <w:t>、</w:t>
      </w:r>
      <w:r>
        <w:rPr>
          <w:rFonts w:asciiTheme="minorEastAsia" w:hAnsiTheme="minorEastAsia" w:eastAsiaTheme="minorEastAsia"/>
          <w:color w:val="auto"/>
          <w:szCs w:val="24"/>
          <w:highlight w:val="none"/>
        </w:rPr>
        <w:t>导向孔施工前应对导向仪进行标定或复检，以保证探头精度</w:t>
      </w:r>
      <w:r>
        <w:rPr>
          <w:rFonts w:hint="eastAsia" w:asciiTheme="minorEastAsia" w:hAnsiTheme="minorEastAsia" w:eastAsiaTheme="minorEastAsia"/>
          <w:color w:val="auto"/>
          <w:szCs w:val="24"/>
          <w:highlight w:val="none"/>
        </w:rPr>
        <w:t>；</w:t>
      </w:r>
      <w:r>
        <w:rPr>
          <w:rFonts w:asciiTheme="minorEastAsia" w:hAnsiTheme="minorEastAsia" w:eastAsiaTheme="minorEastAsia"/>
          <w:color w:val="auto"/>
          <w:szCs w:val="24"/>
          <w:highlight w:val="none"/>
        </w:rPr>
        <w:t>精确调整钻机</w:t>
      </w:r>
      <w:r>
        <w:rPr>
          <w:rFonts w:hint="eastAsia" w:asciiTheme="minorEastAsia" w:hAnsiTheme="minorEastAsia" w:eastAsiaTheme="minorEastAsia"/>
          <w:color w:val="auto"/>
          <w:szCs w:val="24"/>
          <w:highlight w:val="none"/>
        </w:rPr>
        <w:t>的</w:t>
      </w:r>
      <w:r>
        <w:rPr>
          <w:rFonts w:asciiTheme="minorEastAsia" w:hAnsiTheme="minorEastAsia" w:eastAsiaTheme="minorEastAsia"/>
          <w:color w:val="auto"/>
          <w:szCs w:val="24"/>
          <w:highlight w:val="none"/>
        </w:rPr>
        <w:t>位置和角度，以保证入孔位置。</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三</w:t>
      </w:r>
      <w:r>
        <w:rPr>
          <w:rFonts w:asciiTheme="minorEastAsia" w:hAnsiTheme="minorEastAsia" w:eastAsiaTheme="minorEastAsia"/>
          <w:color w:val="auto"/>
          <w:szCs w:val="24"/>
          <w:highlight w:val="none"/>
        </w:rPr>
        <w:t>、导向孔钻</w:t>
      </w:r>
    </w:p>
    <w:p>
      <w:pPr>
        <w:ind w:firstLine="480"/>
        <w:rPr>
          <w:rFonts w:asciiTheme="minorEastAsia" w:hAnsiTheme="minorEastAsia" w:eastAsiaTheme="minorEastAsia"/>
          <w:color w:val="auto"/>
          <w:szCs w:val="24"/>
          <w:highlight w:val="none"/>
        </w:rPr>
      </w:pPr>
      <w:r>
        <w:rPr>
          <w:rFonts w:asciiTheme="minorEastAsia" w:hAnsiTheme="minorEastAsia" w:eastAsiaTheme="minorEastAsia"/>
          <w:color w:val="auto"/>
          <w:szCs w:val="24"/>
          <w:highlight w:val="none"/>
        </w:rPr>
        <w:t>准备工作完成后，钻机定位，开始施工</w:t>
      </w:r>
      <w:r>
        <w:rPr>
          <w:rFonts w:hint="eastAsia" w:asciiTheme="minorEastAsia" w:hAnsiTheme="minorEastAsia" w:eastAsiaTheme="minorEastAsia"/>
          <w:color w:val="auto"/>
          <w:szCs w:val="24"/>
          <w:highlight w:val="none"/>
        </w:rPr>
        <w:t>，</w:t>
      </w:r>
      <w:r>
        <w:rPr>
          <w:rFonts w:asciiTheme="minorEastAsia" w:hAnsiTheme="minorEastAsia" w:eastAsiaTheme="minorEastAsia"/>
          <w:color w:val="auto"/>
          <w:szCs w:val="24"/>
          <w:highlight w:val="none"/>
        </w:rPr>
        <w:t>尽可能缩短减少钻进和回扩、回施时间。利用导向钻机及导向仪，通过检测和控制手段使导向钻头按设计轨道钻进。</w:t>
      </w:r>
    </w:p>
    <w:p>
      <w:pPr>
        <w:ind w:firstLine="480"/>
        <w:rPr>
          <w:rFonts w:asciiTheme="minorEastAsia" w:hAnsiTheme="minorEastAsia" w:eastAsiaTheme="minorEastAsia"/>
          <w:color w:val="auto"/>
          <w:szCs w:val="24"/>
          <w:highlight w:val="none"/>
        </w:rPr>
      </w:pPr>
      <w:r>
        <w:rPr>
          <w:rFonts w:asciiTheme="minorEastAsia" w:hAnsiTheme="minorEastAsia" w:eastAsiaTheme="minorEastAsia"/>
          <w:color w:val="auto"/>
          <w:szCs w:val="24"/>
          <w:highlight w:val="none"/>
        </w:rPr>
        <w:t>导向孔钻进一般采用小直径全面钻头，进行全孔底破碎钻进，在钻头底唇面上或钻具上，安装有专门的控制钻进方向的机构，在钻具内或紧接其后部位，安装有测量探头。钻进过程中，探头连续或是间隔测量钻孔位置参数，并通过无线数据或有线方式将测量数据发送到地表接收器。操作者根据这些数据及其处理这些数据得到的图表，采取适当的技术措施调整空内控制钻进方向的机构，从而人工控制钻孔的轨迹，达到设计要求。</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四、</w:t>
      </w:r>
      <w:r>
        <w:rPr>
          <w:rFonts w:asciiTheme="minorEastAsia" w:hAnsiTheme="minorEastAsia" w:eastAsiaTheme="minorEastAsia"/>
          <w:color w:val="auto"/>
          <w:szCs w:val="24"/>
          <w:highlight w:val="none"/>
        </w:rPr>
        <w:t>回扩孔</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导向孔钻进完毕后，装上各种回扩器，将原孔扩大到原来管径的1.5倍。一般在钻机对面的出口坑将回扩钻头连接于钻杆上，再回拉进行回扩，在其后不断地加接钻杆。根据导向孔与适合生产管铺设孔的直径大小和地层情况，回扩可一次或多次进行。推荐最终回扩直径按下式计算：</w:t>
      </w:r>
    </w:p>
    <w:p>
      <w:pPr>
        <w:ind w:firstLine="0" w:firstLineChars="0"/>
        <w:jc w:val="center"/>
        <w:rPr>
          <w:rFonts w:asciiTheme="minorEastAsia" w:hAnsiTheme="minorEastAsia" w:eastAsiaTheme="minorEastAsia"/>
          <w:color w:val="auto"/>
          <w:szCs w:val="24"/>
          <w:highlight w:val="none"/>
        </w:rPr>
      </w:pPr>
      <w:r>
        <w:rPr>
          <w:rFonts w:asciiTheme="minorEastAsia" w:hAnsiTheme="minorEastAsia" w:eastAsiaTheme="minorEastAsia"/>
          <w:color w:val="auto"/>
          <w:szCs w:val="24"/>
          <w:highlight w:val="none"/>
        </w:rPr>
        <w:t>D</w:t>
      </w:r>
      <w:r>
        <w:rPr>
          <w:rFonts w:asciiTheme="minorEastAsia" w:hAnsiTheme="minorEastAsia" w:eastAsiaTheme="minorEastAsia"/>
          <w:color w:val="auto"/>
          <w:szCs w:val="24"/>
          <w:highlight w:val="none"/>
          <w:vertAlign w:val="subscript"/>
        </w:rPr>
        <w:t>1</w:t>
      </w:r>
      <w:r>
        <w:rPr>
          <w:rFonts w:asciiTheme="minorEastAsia" w:hAnsiTheme="minorEastAsia" w:eastAsiaTheme="minorEastAsia"/>
          <w:color w:val="auto"/>
          <w:szCs w:val="24"/>
          <w:highlight w:val="none"/>
        </w:rPr>
        <w:t>=K</w:t>
      </w:r>
      <w:r>
        <w:rPr>
          <w:rFonts w:asciiTheme="minorEastAsia" w:hAnsiTheme="minorEastAsia" w:eastAsiaTheme="minorEastAsia"/>
          <w:color w:val="auto"/>
          <w:szCs w:val="24"/>
          <w:highlight w:val="none"/>
          <w:vertAlign w:val="subscript"/>
        </w:rPr>
        <w:t>1</w:t>
      </w:r>
      <w:r>
        <w:rPr>
          <w:rFonts w:asciiTheme="minorEastAsia" w:hAnsiTheme="minorEastAsia" w:eastAsiaTheme="minorEastAsia"/>
          <w:color w:val="auto"/>
          <w:szCs w:val="24"/>
          <w:highlight w:val="none"/>
        </w:rPr>
        <w:t>D</w:t>
      </w:r>
    </w:p>
    <w:p>
      <w:pPr>
        <w:ind w:firstLine="0" w:firstLineChars="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式中</w:t>
      </w:r>
      <w:r>
        <w:rPr>
          <w:rFonts w:asciiTheme="minorEastAsia" w:hAnsiTheme="minorEastAsia" w:eastAsiaTheme="minorEastAsia"/>
          <w:color w:val="auto"/>
          <w:szCs w:val="24"/>
          <w:highlight w:val="none"/>
        </w:rPr>
        <w:t>：</w:t>
      </w:r>
      <w:r>
        <w:rPr>
          <w:rFonts w:hint="eastAsia" w:asciiTheme="minorEastAsia" w:hAnsiTheme="minorEastAsia" w:eastAsiaTheme="minorEastAsia"/>
          <w:color w:val="auto"/>
          <w:szCs w:val="24"/>
          <w:highlight w:val="none"/>
        </w:rPr>
        <w:t>D</w:t>
      </w:r>
      <w:r>
        <w:rPr>
          <w:rFonts w:asciiTheme="minorEastAsia" w:hAnsiTheme="minorEastAsia" w:eastAsiaTheme="minorEastAsia"/>
          <w:color w:val="auto"/>
          <w:szCs w:val="24"/>
          <w:highlight w:val="none"/>
          <w:vertAlign w:val="subscript"/>
        </w:rPr>
        <w:t>1</w:t>
      </w:r>
      <w:r>
        <w:rPr>
          <w:rFonts w:hint="eastAsia" w:asciiTheme="minorEastAsia" w:hAnsiTheme="minorEastAsia" w:eastAsiaTheme="minorEastAsia"/>
          <w:color w:val="auto"/>
          <w:szCs w:val="24"/>
          <w:highlight w:val="none"/>
        </w:rPr>
        <w:t>—适合生产管铺设的钻孔直径</w:t>
      </w:r>
    </w:p>
    <w:p>
      <w:pPr>
        <w:ind w:firstLine="720" w:firstLineChars="300"/>
        <w:rPr>
          <w:rFonts w:asciiTheme="minorEastAsia" w:hAnsiTheme="minorEastAsia" w:eastAsiaTheme="minorEastAsia"/>
          <w:color w:val="auto"/>
          <w:szCs w:val="24"/>
          <w:highlight w:val="none"/>
        </w:rPr>
      </w:pPr>
      <w:r>
        <w:rPr>
          <w:rFonts w:asciiTheme="minorEastAsia" w:hAnsiTheme="minorEastAsia" w:eastAsiaTheme="minorEastAsia"/>
          <w:color w:val="auto"/>
          <w:szCs w:val="24"/>
          <w:highlight w:val="none"/>
        </w:rPr>
        <w:t>D</w:t>
      </w:r>
      <w:r>
        <w:rPr>
          <w:rFonts w:hint="eastAsia" w:asciiTheme="minorEastAsia" w:hAnsiTheme="minorEastAsia" w:eastAsiaTheme="minorEastAsia"/>
          <w:color w:val="auto"/>
          <w:szCs w:val="24"/>
          <w:highlight w:val="none"/>
        </w:rPr>
        <w:t>—</w:t>
      </w:r>
      <w:r>
        <w:rPr>
          <w:rFonts w:asciiTheme="minorEastAsia" w:hAnsiTheme="minorEastAsia" w:eastAsiaTheme="minorEastAsia"/>
          <w:color w:val="auto"/>
          <w:szCs w:val="24"/>
          <w:highlight w:val="none"/>
        </w:rPr>
        <w:t>生产管外径</w:t>
      </w:r>
    </w:p>
    <w:p>
      <w:pPr>
        <w:ind w:firstLine="720" w:firstLineChars="300"/>
        <w:rPr>
          <w:rFonts w:asciiTheme="minorEastAsia" w:hAnsiTheme="minorEastAsia" w:eastAsiaTheme="minorEastAsia"/>
          <w:color w:val="auto"/>
          <w:szCs w:val="24"/>
          <w:highlight w:val="none"/>
        </w:rPr>
      </w:pPr>
      <w:r>
        <w:rPr>
          <w:rFonts w:asciiTheme="minorEastAsia" w:hAnsiTheme="minorEastAsia" w:eastAsiaTheme="minorEastAsia"/>
          <w:color w:val="auto"/>
          <w:szCs w:val="24"/>
          <w:highlight w:val="none"/>
        </w:rPr>
        <w:t>K</w:t>
      </w:r>
      <w:r>
        <w:rPr>
          <w:rFonts w:asciiTheme="minorEastAsia" w:hAnsiTheme="minorEastAsia" w:eastAsiaTheme="minorEastAsia"/>
          <w:color w:val="auto"/>
          <w:szCs w:val="24"/>
          <w:highlight w:val="none"/>
          <w:vertAlign w:val="subscript"/>
        </w:rPr>
        <w:t>1</w:t>
      </w:r>
      <w:r>
        <w:rPr>
          <w:rFonts w:hint="eastAsia" w:asciiTheme="minorEastAsia" w:hAnsiTheme="minorEastAsia" w:eastAsiaTheme="minorEastAsia"/>
          <w:color w:val="auto"/>
          <w:szCs w:val="24"/>
          <w:highlight w:val="none"/>
        </w:rPr>
        <w:t>—</w:t>
      </w:r>
      <w:r>
        <w:rPr>
          <w:rFonts w:asciiTheme="minorEastAsia" w:hAnsiTheme="minorEastAsia" w:eastAsiaTheme="minorEastAsia"/>
          <w:color w:val="auto"/>
          <w:szCs w:val="24"/>
          <w:highlight w:val="none"/>
        </w:rPr>
        <w:t>经验系数，一般K</w:t>
      </w:r>
      <w:r>
        <w:rPr>
          <w:rFonts w:asciiTheme="minorEastAsia" w:hAnsiTheme="minorEastAsia" w:eastAsiaTheme="minorEastAsia"/>
          <w:color w:val="auto"/>
          <w:szCs w:val="24"/>
          <w:highlight w:val="none"/>
          <w:vertAlign w:val="subscript"/>
        </w:rPr>
        <w:t>1</w:t>
      </w:r>
      <w:r>
        <w:rPr>
          <w:rFonts w:hint="eastAsia" w:asciiTheme="minorEastAsia" w:hAnsiTheme="minorEastAsia" w:eastAsiaTheme="minorEastAsia"/>
          <w:color w:val="auto"/>
          <w:szCs w:val="24"/>
          <w:highlight w:val="none"/>
        </w:rPr>
        <w:t>=</w:t>
      </w:r>
      <w:r>
        <w:rPr>
          <w:rFonts w:asciiTheme="minorEastAsia" w:hAnsiTheme="minorEastAsia" w:eastAsiaTheme="minorEastAsia"/>
          <w:color w:val="auto"/>
          <w:szCs w:val="24"/>
          <w:highlight w:val="none"/>
        </w:rPr>
        <w:t>1.2-1.5，当地层均质完整时，K</w:t>
      </w:r>
      <w:r>
        <w:rPr>
          <w:rFonts w:asciiTheme="minorEastAsia" w:hAnsiTheme="minorEastAsia" w:eastAsiaTheme="minorEastAsia"/>
          <w:color w:val="auto"/>
          <w:szCs w:val="24"/>
          <w:highlight w:val="none"/>
          <w:vertAlign w:val="subscript"/>
        </w:rPr>
        <w:t>1</w:t>
      </w:r>
      <w:r>
        <w:rPr>
          <w:rFonts w:asciiTheme="minorEastAsia" w:hAnsiTheme="minorEastAsia" w:eastAsiaTheme="minorEastAsia"/>
          <w:color w:val="auto"/>
          <w:szCs w:val="24"/>
          <w:highlight w:val="none"/>
        </w:rPr>
        <w:t>取小值，当地层复杂时，K</w:t>
      </w:r>
      <w:r>
        <w:rPr>
          <w:rFonts w:asciiTheme="minorEastAsia" w:hAnsiTheme="minorEastAsia" w:eastAsiaTheme="minorEastAsia"/>
          <w:color w:val="auto"/>
          <w:szCs w:val="24"/>
          <w:highlight w:val="none"/>
          <w:vertAlign w:val="subscript"/>
        </w:rPr>
        <w:t>1</w:t>
      </w:r>
      <w:r>
        <w:rPr>
          <w:rFonts w:asciiTheme="minorEastAsia" w:hAnsiTheme="minorEastAsia" w:eastAsiaTheme="minorEastAsia"/>
          <w:color w:val="auto"/>
          <w:szCs w:val="24"/>
          <w:highlight w:val="none"/>
        </w:rPr>
        <w:t>取大值。</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五</w:t>
      </w:r>
      <w:r>
        <w:rPr>
          <w:rFonts w:asciiTheme="minorEastAsia" w:hAnsiTheme="minorEastAsia" w:eastAsiaTheme="minorEastAsia"/>
          <w:color w:val="auto"/>
          <w:szCs w:val="24"/>
          <w:highlight w:val="none"/>
        </w:rPr>
        <w:t>、敷设管线</w:t>
      </w:r>
    </w:p>
    <w:p>
      <w:pPr>
        <w:ind w:firstLine="480"/>
        <w:rPr>
          <w:rFonts w:asciiTheme="minorEastAsia" w:hAnsiTheme="minorEastAsia" w:eastAsiaTheme="minorEastAsia"/>
          <w:color w:val="auto"/>
          <w:szCs w:val="24"/>
          <w:highlight w:val="none"/>
        </w:rPr>
      </w:pPr>
      <w:r>
        <w:rPr>
          <w:rFonts w:asciiTheme="minorEastAsia" w:hAnsiTheme="minorEastAsia" w:eastAsiaTheme="minorEastAsia"/>
          <w:color w:val="auto"/>
          <w:szCs w:val="24"/>
          <w:highlight w:val="none"/>
        </w:rPr>
        <w:t>回拉完成后，即可拉入待铺设的生产管。管子最好预先全部连接妥当，以利于一次接入。当地层情况复杂，如</w:t>
      </w:r>
      <w:r>
        <w:rPr>
          <w:rFonts w:hint="eastAsia" w:asciiTheme="minorEastAsia" w:hAnsiTheme="minorEastAsia" w:eastAsiaTheme="minorEastAsia"/>
          <w:color w:val="auto"/>
          <w:szCs w:val="24"/>
          <w:highlight w:val="none"/>
        </w:rPr>
        <w:t>：</w:t>
      </w:r>
      <w:r>
        <w:rPr>
          <w:rFonts w:asciiTheme="minorEastAsia" w:hAnsiTheme="minorEastAsia" w:eastAsiaTheme="minorEastAsia"/>
          <w:color w:val="auto"/>
          <w:szCs w:val="24"/>
          <w:highlight w:val="none"/>
        </w:rPr>
        <w:t>钻孔缩径或孔壁塌，可能对分段拉管造成困难。回拉时，应将回扩钻头接在钻杆上，然后通过单动接头连接到管子的拉头上，单动接头可防止管线与回扩头一起回转，保证管线能够平滑地回拉成功。</w:t>
      </w:r>
    </w:p>
    <w:p>
      <w:pPr>
        <w:ind w:firstLine="480"/>
        <w:rPr>
          <w:rFonts w:asciiTheme="minorEastAsia" w:hAnsiTheme="minorEastAsia" w:eastAsiaTheme="minorEastAsia"/>
          <w:color w:val="auto"/>
          <w:szCs w:val="24"/>
          <w:highlight w:val="none"/>
        </w:rPr>
      </w:pPr>
      <w:r>
        <w:rPr>
          <w:rFonts w:asciiTheme="minorEastAsia" w:hAnsiTheme="minorEastAsia" w:eastAsiaTheme="minorEastAsia"/>
          <w:color w:val="auto"/>
          <w:szCs w:val="24"/>
          <w:highlight w:val="none"/>
        </w:rPr>
        <w:t>将最后一次扩孔的回扩器接上待铺管道，最后用钻机将管道拖入洞中，一次性敷设成功。</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六</w:t>
      </w:r>
      <w:r>
        <w:rPr>
          <w:rFonts w:asciiTheme="minorEastAsia" w:hAnsiTheme="minorEastAsia" w:eastAsiaTheme="minorEastAsia"/>
          <w:color w:val="auto"/>
          <w:szCs w:val="24"/>
          <w:highlight w:val="none"/>
        </w:rPr>
        <w:t>、钻进液、泥浆</w:t>
      </w:r>
    </w:p>
    <w:p>
      <w:pPr>
        <w:ind w:firstLine="480"/>
        <w:rPr>
          <w:rFonts w:asciiTheme="minorEastAsia" w:hAnsiTheme="minorEastAsia" w:eastAsiaTheme="minorEastAsia"/>
          <w:color w:val="auto"/>
          <w:szCs w:val="24"/>
          <w:highlight w:val="none"/>
        </w:rPr>
      </w:pPr>
      <w:r>
        <w:rPr>
          <w:rFonts w:asciiTheme="minorEastAsia" w:hAnsiTheme="minorEastAsia" w:eastAsiaTheme="minorEastAsia"/>
          <w:color w:val="auto"/>
          <w:szCs w:val="24"/>
          <w:highlight w:val="none"/>
        </w:rPr>
        <w:t>多数定向钻机采用泥浆钻进液。钻进液可冷却、润滑钻头、软化地层、辅助破碎地层、调整钻进方向、携带碎屑、稳定孔壁、回扩和回拉时润滑管道；还可以在钻进硬地层时为泥浆马达提供动力。常用的钻进液、泥浆是膨润土和水的混合物。导向孔施工完成后，泥浆可稳定孔壁，便于回扩。钻进岩石或其它硬地层时，可用钻进液驱动孔底“泥浆马达”。</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七</w:t>
      </w:r>
      <w:r>
        <w:rPr>
          <w:rFonts w:asciiTheme="minorEastAsia" w:hAnsiTheme="minorEastAsia" w:eastAsiaTheme="minorEastAsia"/>
          <w:color w:val="auto"/>
          <w:szCs w:val="24"/>
          <w:highlight w:val="none"/>
        </w:rPr>
        <w:t>、标高保证措施</w:t>
      </w:r>
    </w:p>
    <w:p>
      <w:pPr>
        <w:ind w:firstLine="480"/>
        <w:rPr>
          <w:rFonts w:asciiTheme="minorEastAsia" w:hAnsiTheme="minorEastAsia" w:eastAsiaTheme="minorEastAsia"/>
          <w:color w:val="auto"/>
          <w:szCs w:val="24"/>
          <w:highlight w:val="none"/>
        </w:rPr>
      </w:pPr>
      <w:r>
        <w:rPr>
          <w:rFonts w:asciiTheme="minorEastAsia" w:hAnsiTheme="minorEastAsia" w:eastAsiaTheme="minorEastAsia"/>
          <w:color w:val="auto"/>
          <w:szCs w:val="24"/>
          <w:highlight w:val="none"/>
        </w:rPr>
        <w:t>在设施工曲线时</w:t>
      </w:r>
      <w:r>
        <w:rPr>
          <w:rFonts w:hint="eastAsia" w:asciiTheme="minorEastAsia" w:hAnsiTheme="minorEastAsia" w:eastAsiaTheme="minorEastAsia"/>
          <w:color w:val="auto"/>
          <w:szCs w:val="24"/>
          <w:highlight w:val="none"/>
        </w:rPr>
        <w:t>，</w:t>
      </w:r>
      <w:r>
        <w:rPr>
          <w:rFonts w:asciiTheme="minorEastAsia" w:hAnsiTheme="minorEastAsia" w:eastAsiaTheme="minorEastAsia"/>
          <w:color w:val="auto"/>
          <w:szCs w:val="24"/>
          <w:highlight w:val="none"/>
        </w:rPr>
        <w:t>每隔6</w:t>
      </w:r>
      <w:r>
        <w:rPr>
          <w:rFonts w:hint="eastAsia" w:asciiTheme="minorEastAsia" w:hAnsiTheme="minorEastAsia" w:eastAsiaTheme="minorEastAsia"/>
          <w:color w:val="auto"/>
          <w:szCs w:val="24"/>
          <w:highlight w:val="none"/>
        </w:rPr>
        <w:t>m</w:t>
      </w:r>
      <w:r>
        <w:rPr>
          <w:rFonts w:asciiTheme="minorEastAsia" w:hAnsiTheme="minorEastAsia" w:eastAsiaTheme="minorEastAsia"/>
          <w:color w:val="auto"/>
          <w:szCs w:val="24"/>
          <w:highlight w:val="none"/>
        </w:rPr>
        <w:t>在该处地表点测量该点地标高并标示出，要求测量前先清除地表杂物</w:t>
      </w:r>
      <w:r>
        <w:rPr>
          <w:rFonts w:hint="eastAsia" w:asciiTheme="minorEastAsia" w:hAnsiTheme="minorEastAsia" w:eastAsiaTheme="minorEastAsia"/>
          <w:color w:val="auto"/>
          <w:szCs w:val="24"/>
          <w:highlight w:val="none"/>
        </w:rPr>
        <w:t>。</w:t>
      </w:r>
    </w:p>
    <w:p>
      <w:pPr>
        <w:ind w:firstLine="480"/>
        <w:rPr>
          <w:rFonts w:asciiTheme="minorEastAsia" w:hAnsiTheme="minorEastAsia" w:eastAsiaTheme="minorEastAsia"/>
          <w:color w:val="auto"/>
          <w:szCs w:val="24"/>
          <w:highlight w:val="none"/>
        </w:rPr>
      </w:pPr>
      <w:r>
        <w:rPr>
          <w:rFonts w:asciiTheme="minorEastAsia" w:hAnsiTheme="minorEastAsia" w:eastAsiaTheme="minorEastAsia"/>
          <w:color w:val="auto"/>
          <w:szCs w:val="24"/>
          <w:highlight w:val="none"/>
        </w:rPr>
        <w:t>导向孔每3</w:t>
      </w:r>
      <w:r>
        <w:rPr>
          <w:rFonts w:hint="eastAsia" w:asciiTheme="minorEastAsia" w:hAnsiTheme="minorEastAsia" w:eastAsiaTheme="minorEastAsia"/>
          <w:color w:val="auto"/>
          <w:szCs w:val="24"/>
          <w:highlight w:val="none"/>
        </w:rPr>
        <w:t>m</w:t>
      </w:r>
      <w:r>
        <w:rPr>
          <w:rFonts w:asciiTheme="minorEastAsia" w:hAnsiTheme="minorEastAsia" w:eastAsiaTheme="minorEastAsia"/>
          <w:color w:val="auto"/>
          <w:szCs w:val="24"/>
          <w:highlight w:val="none"/>
        </w:rPr>
        <w:t>测一次深度，如发现偏差应及时调整，以确保导向孔偏差在设计范围内</w:t>
      </w:r>
      <w:r>
        <w:rPr>
          <w:rFonts w:hint="eastAsia" w:asciiTheme="minorEastAsia" w:hAnsiTheme="minorEastAsia" w:eastAsiaTheme="minorEastAsia"/>
          <w:color w:val="auto"/>
          <w:szCs w:val="24"/>
          <w:highlight w:val="none"/>
        </w:rPr>
        <w:t>；</w:t>
      </w:r>
      <w:r>
        <w:rPr>
          <w:rFonts w:asciiTheme="minorEastAsia" w:hAnsiTheme="minorEastAsia" w:eastAsiaTheme="minorEastAsia"/>
          <w:color w:val="auto"/>
          <w:szCs w:val="24"/>
          <w:highlight w:val="none"/>
        </w:rPr>
        <w:t>钻机应严格按照测量员的指令进行操作。</w:t>
      </w:r>
    </w:p>
    <w:p>
      <w:pPr>
        <w:pStyle w:val="4"/>
        <w:rPr>
          <w:color w:val="auto"/>
          <w:highlight w:val="none"/>
        </w:rPr>
      </w:pPr>
      <w:bookmarkStart w:id="128" w:name="_Toc470393120"/>
      <w:bookmarkStart w:id="129" w:name="_Toc470392872"/>
      <w:bookmarkStart w:id="130" w:name="_Toc470393437"/>
      <w:r>
        <w:rPr>
          <w:rFonts w:hint="eastAsia"/>
          <w:color w:val="auto"/>
          <w:highlight w:val="none"/>
        </w:rPr>
        <w:t>8.3.7管道</w:t>
      </w:r>
      <w:bookmarkEnd w:id="128"/>
      <w:bookmarkEnd w:id="129"/>
      <w:bookmarkEnd w:id="130"/>
      <w:r>
        <w:rPr>
          <w:rFonts w:hint="eastAsia"/>
          <w:color w:val="auto"/>
          <w:highlight w:val="none"/>
        </w:rPr>
        <w:t>附属建筑物</w:t>
      </w:r>
    </w:p>
    <w:p>
      <w:pPr>
        <w:ind w:firstLine="480"/>
        <w:rPr>
          <w:rFonts w:asciiTheme="minorEastAsia" w:hAnsiTheme="minorEastAsia" w:eastAsiaTheme="minorEastAsia"/>
          <w:color w:val="auto"/>
          <w:szCs w:val="24"/>
          <w:highlight w:val="none"/>
        </w:rPr>
      </w:pPr>
      <w:r>
        <w:rPr>
          <w:rFonts w:asciiTheme="minorEastAsia" w:hAnsiTheme="minorEastAsia" w:eastAsiaTheme="minorEastAsia"/>
          <w:color w:val="auto"/>
          <w:szCs w:val="24"/>
          <w:highlight w:val="none"/>
        </w:rPr>
        <w:t>附属建筑物</w:t>
      </w:r>
      <w:r>
        <w:rPr>
          <w:rFonts w:hint="eastAsia" w:asciiTheme="minorEastAsia" w:hAnsiTheme="minorEastAsia" w:eastAsiaTheme="minorEastAsia"/>
          <w:color w:val="auto"/>
          <w:szCs w:val="24"/>
          <w:highlight w:val="none"/>
        </w:rPr>
        <w:t>包括</w:t>
      </w:r>
      <w:r>
        <w:rPr>
          <w:rFonts w:asciiTheme="minorEastAsia" w:hAnsiTheme="minorEastAsia" w:eastAsiaTheme="minorEastAsia"/>
          <w:color w:val="auto"/>
          <w:szCs w:val="24"/>
          <w:highlight w:val="none"/>
        </w:rPr>
        <w:t>水表池</w:t>
      </w:r>
      <w:r>
        <w:rPr>
          <w:rFonts w:hint="eastAsia" w:asciiTheme="minorEastAsia" w:hAnsiTheme="minorEastAsia" w:eastAsiaTheme="minorEastAsia"/>
          <w:color w:val="auto"/>
          <w:szCs w:val="24"/>
          <w:highlight w:val="none"/>
        </w:rPr>
        <w:t>、</w:t>
      </w:r>
      <w:r>
        <w:rPr>
          <w:rFonts w:asciiTheme="minorEastAsia" w:hAnsiTheme="minorEastAsia" w:eastAsiaTheme="minorEastAsia"/>
          <w:color w:val="auto"/>
          <w:szCs w:val="24"/>
          <w:highlight w:val="none"/>
        </w:rPr>
        <w:t>闸阀井、排</w:t>
      </w:r>
      <w:r>
        <w:rPr>
          <w:rFonts w:hint="eastAsia" w:asciiTheme="minorEastAsia" w:hAnsiTheme="minorEastAsia" w:eastAsiaTheme="minorEastAsia"/>
          <w:color w:val="auto"/>
          <w:szCs w:val="24"/>
          <w:highlight w:val="none"/>
        </w:rPr>
        <w:t>泥</w:t>
      </w:r>
      <w:r>
        <w:rPr>
          <w:rFonts w:asciiTheme="minorEastAsia" w:hAnsiTheme="minorEastAsia" w:eastAsiaTheme="minorEastAsia"/>
          <w:color w:val="auto"/>
          <w:szCs w:val="24"/>
          <w:highlight w:val="none"/>
        </w:rPr>
        <w:t>井等</w:t>
      </w:r>
      <w:r>
        <w:rPr>
          <w:rFonts w:hint="eastAsia" w:asciiTheme="minorEastAsia" w:hAnsiTheme="minorEastAsia" w:eastAsiaTheme="minorEastAsia"/>
          <w:color w:val="auto"/>
          <w:szCs w:val="24"/>
          <w:highlight w:val="none"/>
        </w:rPr>
        <w:t>，</w:t>
      </w:r>
      <w:r>
        <w:rPr>
          <w:rFonts w:asciiTheme="minorEastAsia" w:hAnsiTheme="minorEastAsia" w:eastAsiaTheme="minorEastAsia"/>
          <w:color w:val="auto"/>
          <w:szCs w:val="24"/>
          <w:highlight w:val="none"/>
        </w:rPr>
        <w:t>工程由相关资质的专业队伍施工，确保工程质量</w:t>
      </w:r>
      <w:r>
        <w:rPr>
          <w:rFonts w:hint="eastAsia" w:asciiTheme="minorEastAsia" w:hAnsiTheme="minorEastAsia" w:eastAsiaTheme="minorEastAsia"/>
          <w:color w:val="auto"/>
          <w:szCs w:val="24"/>
          <w:highlight w:val="none"/>
        </w:rPr>
        <w:t>。</w:t>
      </w:r>
    </w:p>
    <w:p>
      <w:pPr>
        <w:ind w:firstLine="480"/>
        <w:rPr>
          <w:rFonts w:asciiTheme="minorEastAsia" w:hAnsiTheme="minorEastAsia" w:eastAsiaTheme="minorEastAsia"/>
          <w:color w:val="auto"/>
          <w:szCs w:val="24"/>
          <w:highlight w:val="none"/>
        </w:rPr>
      </w:pPr>
      <w:r>
        <w:rPr>
          <w:rFonts w:asciiTheme="minorEastAsia" w:hAnsiTheme="minorEastAsia" w:eastAsiaTheme="minorEastAsia"/>
          <w:color w:val="auto"/>
          <w:szCs w:val="24"/>
          <w:highlight w:val="none"/>
        </w:rPr>
        <w:t>砌筑各种井前必须将基础面先洗涮干净，并定出中心点，划上砌筑位置及标出</w:t>
      </w:r>
      <w:r>
        <w:rPr>
          <w:rFonts w:hint="eastAsia" w:asciiTheme="minorEastAsia" w:hAnsiTheme="minorEastAsia" w:eastAsiaTheme="minorEastAsia"/>
          <w:color w:val="auto"/>
          <w:szCs w:val="24"/>
          <w:highlight w:val="none"/>
        </w:rPr>
        <w:t>砌筑高度，便于操作人员</w:t>
      </w:r>
      <w:r>
        <w:rPr>
          <w:rFonts w:asciiTheme="minorEastAsia" w:hAnsiTheme="minorEastAsia" w:eastAsiaTheme="minorEastAsia"/>
          <w:color w:val="auto"/>
          <w:szCs w:val="24"/>
          <w:highlight w:val="none"/>
        </w:rPr>
        <w:t>掌握</w:t>
      </w:r>
      <w:r>
        <w:rPr>
          <w:rFonts w:hint="eastAsia" w:asciiTheme="minorEastAsia" w:hAnsiTheme="minorEastAsia" w:eastAsiaTheme="minorEastAsia"/>
          <w:color w:val="auto"/>
          <w:szCs w:val="24"/>
          <w:highlight w:val="none"/>
        </w:rPr>
        <w:t>。砖砌</w:t>
      </w:r>
      <w:r>
        <w:rPr>
          <w:rFonts w:asciiTheme="minorEastAsia" w:hAnsiTheme="minorEastAsia" w:eastAsiaTheme="minorEastAsia"/>
          <w:color w:val="auto"/>
          <w:szCs w:val="24"/>
          <w:highlight w:val="none"/>
        </w:rPr>
        <w:t>井</w:t>
      </w:r>
      <w:r>
        <w:rPr>
          <w:rFonts w:hint="eastAsia" w:asciiTheme="minorEastAsia" w:hAnsiTheme="minorEastAsia" w:eastAsiaTheme="minorEastAsia"/>
          <w:color w:val="auto"/>
          <w:szCs w:val="24"/>
          <w:highlight w:val="none"/>
        </w:rPr>
        <w:t>壁必须灰缝饱满、平整，抹灰应平顺密实，不得有空鼓、裂缝等现象，砌砖砂浆强度应满足设计要求。</w:t>
      </w:r>
    </w:p>
    <w:p>
      <w:pPr>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砌筑检查圆井应挂线校核井内径及圆度，圆井井身及其收口段必须避免上下层砖对缝，井内的爬梯应随砌随安，位置正确，爬梯安装后，在砌筑砂浆未达到规定强度前不得踩踏。检查井砌筑至规定高程后，应及时安装井圈，盖好井盖。检查井井底、井面的标高要准确，井身尺寸要符合设计要求，施工结束后应校核井内径及圆度。</w:t>
      </w:r>
    </w:p>
    <w:p>
      <w:pPr>
        <w:ind w:firstLine="480"/>
        <w:rPr>
          <w:rFonts w:asciiTheme="minorEastAsia" w:hAnsiTheme="minorEastAsia" w:eastAsiaTheme="minorEastAsia"/>
          <w:color w:val="auto"/>
          <w:szCs w:val="24"/>
          <w:highlight w:val="none"/>
        </w:rPr>
      </w:pPr>
      <w:r>
        <w:rPr>
          <w:rFonts w:asciiTheme="minorEastAsia" w:hAnsiTheme="minorEastAsia" w:eastAsiaTheme="minorEastAsia"/>
          <w:color w:val="auto"/>
          <w:szCs w:val="24"/>
          <w:highlight w:val="none"/>
        </w:rPr>
        <w:t>本工程所有构筑物的施工必须严格按照《给</w:t>
      </w:r>
      <w:r>
        <w:rPr>
          <w:rFonts w:hint="eastAsia" w:asciiTheme="minorEastAsia" w:hAnsiTheme="minorEastAsia" w:eastAsiaTheme="minorEastAsia"/>
          <w:color w:val="auto"/>
          <w:szCs w:val="24"/>
          <w:highlight w:val="none"/>
        </w:rPr>
        <w:t>水</w:t>
      </w:r>
      <w:r>
        <w:rPr>
          <w:rFonts w:asciiTheme="minorEastAsia" w:hAnsiTheme="minorEastAsia" w:eastAsiaTheme="minorEastAsia"/>
          <w:color w:val="auto"/>
          <w:szCs w:val="24"/>
          <w:highlight w:val="none"/>
        </w:rPr>
        <w:t>排水构筑物</w:t>
      </w:r>
      <w:r>
        <w:rPr>
          <w:rFonts w:hint="eastAsia" w:asciiTheme="minorEastAsia" w:hAnsiTheme="minorEastAsia" w:eastAsiaTheme="minorEastAsia"/>
          <w:color w:val="auto"/>
          <w:szCs w:val="24"/>
          <w:highlight w:val="none"/>
        </w:rPr>
        <w:t>工程</w:t>
      </w:r>
      <w:r>
        <w:rPr>
          <w:rFonts w:asciiTheme="minorEastAsia" w:hAnsiTheme="minorEastAsia" w:eastAsiaTheme="minorEastAsia"/>
          <w:color w:val="auto"/>
          <w:szCs w:val="24"/>
          <w:highlight w:val="none"/>
        </w:rPr>
        <w:t>施工及验收规范》</w:t>
      </w:r>
      <w:r>
        <w:rPr>
          <w:rFonts w:hint="eastAsia" w:asciiTheme="minorEastAsia" w:hAnsiTheme="minorEastAsia" w:eastAsiaTheme="minorEastAsia"/>
          <w:color w:val="auto"/>
          <w:szCs w:val="24"/>
          <w:highlight w:val="none"/>
        </w:rPr>
        <w:t>（GB 50141-2008）</w:t>
      </w:r>
      <w:r>
        <w:rPr>
          <w:rFonts w:asciiTheme="minorEastAsia" w:hAnsiTheme="minorEastAsia" w:eastAsiaTheme="minorEastAsia"/>
          <w:color w:val="auto"/>
          <w:szCs w:val="24"/>
          <w:highlight w:val="none"/>
        </w:rPr>
        <w:t>的要求进行施工。</w:t>
      </w:r>
    </w:p>
    <w:p>
      <w:pPr>
        <w:pStyle w:val="3"/>
        <w:rPr>
          <w:color w:val="auto"/>
          <w:highlight w:val="none"/>
        </w:rPr>
      </w:pPr>
      <w:bookmarkStart w:id="131" w:name="_Toc21445635"/>
      <w:bookmarkStart w:id="132" w:name="_Toc13409"/>
      <w:r>
        <w:rPr>
          <w:rFonts w:hint="eastAsia"/>
          <w:color w:val="auto"/>
          <w:highlight w:val="none"/>
        </w:rPr>
        <w:t>8.4施工总布置</w:t>
      </w:r>
      <w:bookmarkEnd w:id="131"/>
      <w:bookmarkEnd w:id="132"/>
    </w:p>
    <w:p>
      <w:pPr>
        <w:pStyle w:val="4"/>
        <w:rPr>
          <w:color w:val="auto"/>
          <w:highlight w:val="none"/>
        </w:rPr>
      </w:pPr>
      <w:r>
        <w:rPr>
          <w:rFonts w:hint="eastAsia"/>
          <w:color w:val="auto"/>
          <w:highlight w:val="none"/>
        </w:rPr>
        <w:t>8.4.1施工临时道路</w:t>
      </w:r>
    </w:p>
    <w:p>
      <w:pPr>
        <w:ind w:firstLine="480"/>
        <w:rPr>
          <w:rFonts w:cs="Times New Roman"/>
          <w:color w:val="auto"/>
          <w:szCs w:val="24"/>
          <w:highlight w:val="none"/>
        </w:rPr>
      </w:pPr>
      <w:r>
        <w:rPr>
          <w:rFonts w:hint="eastAsia" w:cs="Times New Roman"/>
          <w:color w:val="auto"/>
          <w:szCs w:val="24"/>
          <w:highlight w:val="none"/>
        </w:rPr>
        <w:t>本工程所涉及的一级加压泵站和龙泉庄水库清淤扩容需修建临时道路，</w:t>
      </w:r>
      <w:r>
        <w:rPr>
          <w:color w:val="auto"/>
          <w:highlight w:val="none"/>
        </w:rPr>
        <w:t>临时施工道路宽</w:t>
      </w:r>
      <w:r>
        <w:rPr>
          <w:rFonts w:hint="eastAsia"/>
          <w:color w:val="auto"/>
          <w:highlight w:val="none"/>
        </w:rPr>
        <w:t>5m</w:t>
      </w:r>
      <w:r>
        <w:rPr>
          <w:color w:val="auto"/>
          <w:highlight w:val="none"/>
        </w:rPr>
        <w:t>，</w:t>
      </w:r>
      <w:r>
        <w:rPr>
          <w:rFonts w:hint="eastAsia" w:cs="Times New Roman"/>
          <w:color w:val="auto"/>
          <w:szCs w:val="24"/>
          <w:highlight w:val="none"/>
        </w:rPr>
        <w:t>本工程临时施工道路总占地30</w:t>
      </w:r>
      <w:r>
        <w:rPr>
          <w:rFonts w:cs="Times New Roman"/>
          <w:color w:val="auto"/>
          <w:szCs w:val="24"/>
          <w:highlight w:val="none"/>
        </w:rPr>
        <w:t>亩</w:t>
      </w:r>
      <w:r>
        <w:rPr>
          <w:rFonts w:hint="eastAsia" w:cs="Times New Roman"/>
          <w:color w:val="auto"/>
          <w:szCs w:val="24"/>
          <w:highlight w:val="none"/>
        </w:rPr>
        <w:t>，采用履带拖拉机压实。河道工程需修建临时道路，河道治理总长38.6km，其中纵向临时道路在堤防内、外坡脚、主河槽边各设置一条。现有交通道路优先利用，滩地较小或基本无滩地的河段合并为一条，无滩地单式河槽处断开。横向临时道路原则上河槽滩地较宽处纵向约每隔1km布置一条，现有滩地小路优先利用，临时施工道路宽5m，本工程临时施工道路总占地289.5亩，采用履带拖拉机压实。</w:t>
      </w:r>
    </w:p>
    <w:p>
      <w:pPr>
        <w:pStyle w:val="4"/>
        <w:rPr>
          <w:color w:val="auto"/>
          <w:highlight w:val="none"/>
        </w:rPr>
      </w:pPr>
      <w:r>
        <w:rPr>
          <w:rFonts w:hint="eastAsia"/>
          <w:color w:val="auto"/>
          <w:highlight w:val="none"/>
        </w:rPr>
        <w:t>8.4.2施工料场及生产生活区</w:t>
      </w:r>
    </w:p>
    <w:p>
      <w:pPr>
        <w:pStyle w:val="121"/>
        <w:spacing w:line="360" w:lineRule="auto"/>
        <w:ind w:firstLine="480"/>
        <w:rPr>
          <w:rFonts w:cs="Times New Roman"/>
          <w:color w:val="auto"/>
          <w:szCs w:val="24"/>
          <w:highlight w:val="none"/>
        </w:rPr>
      </w:pPr>
      <w:r>
        <w:rPr>
          <w:rFonts w:hint="eastAsia" w:cs="Times New Roman"/>
          <w:color w:val="auto"/>
          <w:szCs w:val="24"/>
          <w:highlight w:val="none"/>
        </w:rPr>
        <w:t>为满足施工时材料的存储要求，需设施工料场，集中存放砂石骨料、水泥、钢筋等施工材料，占地面积</w:t>
      </w:r>
      <w:r>
        <w:rPr>
          <w:rFonts w:cs="Times New Roman"/>
          <w:color w:val="auto"/>
          <w:szCs w:val="24"/>
          <w:highlight w:val="none"/>
        </w:rPr>
        <w:t>57</w:t>
      </w:r>
      <w:r>
        <w:rPr>
          <w:rFonts w:hint="eastAsia" w:cs="Times New Roman"/>
          <w:color w:val="auto"/>
          <w:szCs w:val="24"/>
          <w:highlight w:val="none"/>
        </w:rPr>
        <w:t>.00亩。</w:t>
      </w:r>
    </w:p>
    <w:p>
      <w:pPr>
        <w:pStyle w:val="121"/>
        <w:spacing w:line="360" w:lineRule="auto"/>
        <w:ind w:firstLine="480"/>
        <w:rPr>
          <w:rFonts w:cs="Times New Roman"/>
          <w:color w:val="auto"/>
          <w:szCs w:val="24"/>
          <w:highlight w:val="none"/>
        </w:rPr>
      </w:pPr>
      <w:r>
        <w:rPr>
          <w:rFonts w:hint="eastAsia" w:cs="Times New Roman"/>
          <w:color w:val="auto"/>
          <w:szCs w:val="24"/>
          <w:highlight w:val="none"/>
        </w:rPr>
        <w:t>生产区邻近施工料场布置，分别设置混凝土搅拌机和施工机械，以及泥浆系统、风水电系统，占地</w:t>
      </w:r>
      <w:r>
        <w:rPr>
          <w:rFonts w:cs="Times New Roman"/>
          <w:color w:val="auto"/>
          <w:szCs w:val="24"/>
          <w:highlight w:val="none"/>
        </w:rPr>
        <w:t>43</w:t>
      </w:r>
      <w:r>
        <w:rPr>
          <w:rFonts w:hint="eastAsia" w:cs="Times New Roman"/>
          <w:color w:val="auto"/>
          <w:szCs w:val="24"/>
          <w:highlight w:val="none"/>
        </w:rPr>
        <w:t>.0亩。</w:t>
      </w:r>
    </w:p>
    <w:p>
      <w:pPr>
        <w:pStyle w:val="121"/>
        <w:spacing w:line="360" w:lineRule="auto"/>
        <w:ind w:firstLine="480"/>
        <w:rPr>
          <w:rFonts w:cs="Times New Roman"/>
          <w:color w:val="auto"/>
          <w:szCs w:val="24"/>
          <w:highlight w:val="none"/>
        </w:rPr>
      </w:pPr>
      <w:r>
        <w:rPr>
          <w:rFonts w:hint="eastAsia" w:cs="Times New Roman"/>
          <w:color w:val="auto"/>
          <w:szCs w:val="24"/>
          <w:highlight w:val="none"/>
        </w:rPr>
        <w:t>施工生活区布置在地势平坦开阔处，占地</w:t>
      </w:r>
      <w:r>
        <w:rPr>
          <w:rFonts w:cs="Times New Roman"/>
          <w:color w:val="auto"/>
          <w:szCs w:val="24"/>
          <w:highlight w:val="none"/>
        </w:rPr>
        <w:t>11</w:t>
      </w:r>
      <w:r>
        <w:rPr>
          <w:rFonts w:hint="eastAsia" w:cs="Times New Roman"/>
          <w:color w:val="auto"/>
          <w:szCs w:val="24"/>
          <w:highlight w:val="none"/>
        </w:rPr>
        <w:t>亩。</w:t>
      </w:r>
    </w:p>
    <w:p>
      <w:pPr>
        <w:pStyle w:val="3"/>
        <w:rPr>
          <w:color w:val="auto"/>
          <w:highlight w:val="none"/>
        </w:rPr>
      </w:pPr>
      <w:bookmarkStart w:id="133" w:name="_Toc17108"/>
      <w:r>
        <w:rPr>
          <w:rFonts w:hint="eastAsia"/>
          <w:color w:val="auto"/>
          <w:highlight w:val="none"/>
        </w:rPr>
        <w:t>8.5施工总进度</w:t>
      </w:r>
      <w:bookmarkEnd w:id="133"/>
    </w:p>
    <w:p>
      <w:pPr>
        <w:ind w:firstLine="480"/>
        <w:rPr>
          <w:color w:val="auto"/>
          <w:highlight w:val="none"/>
        </w:rPr>
      </w:pPr>
      <w:r>
        <w:rPr>
          <w:rFonts w:hint="eastAsia"/>
          <w:color w:val="auto"/>
          <w:highlight w:val="none"/>
        </w:rPr>
        <w:t>本工程计划20</w:t>
      </w:r>
      <w:r>
        <w:rPr>
          <w:color w:val="auto"/>
          <w:highlight w:val="none"/>
        </w:rPr>
        <w:t>2</w:t>
      </w:r>
      <w:r>
        <w:rPr>
          <w:rFonts w:hint="eastAsia"/>
          <w:color w:val="auto"/>
          <w:highlight w:val="none"/>
          <w:lang w:val="en-US" w:eastAsia="zh-CN"/>
        </w:rPr>
        <w:t>1</w:t>
      </w:r>
      <w:r>
        <w:rPr>
          <w:rFonts w:hint="eastAsia"/>
          <w:color w:val="auto"/>
          <w:highlight w:val="none"/>
        </w:rPr>
        <w:t>年1</w:t>
      </w:r>
      <w:r>
        <w:rPr>
          <w:color w:val="auto"/>
          <w:highlight w:val="none"/>
        </w:rPr>
        <w:t>0</w:t>
      </w:r>
      <w:r>
        <w:rPr>
          <w:rFonts w:hint="eastAsia"/>
          <w:color w:val="auto"/>
          <w:highlight w:val="none"/>
        </w:rPr>
        <w:t>月开工，202</w:t>
      </w:r>
      <w:r>
        <w:rPr>
          <w:rFonts w:hint="eastAsia"/>
          <w:color w:val="auto"/>
          <w:highlight w:val="none"/>
          <w:lang w:val="en-US" w:eastAsia="zh-CN"/>
        </w:rPr>
        <w:t>3</w:t>
      </w:r>
      <w:r>
        <w:rPr>
          <w:rFonts w:hint="eastAsia"/>
          <w:color w:val="auto"/>
          <w:highlight w:val="none"/>
        </w:rPr>
        <w:t>年</w:t>
      </w:r>
      <w:r>
        <w:rPr>
          <w:rFonts w:hint="eastAsia"/>
          <w:color w:val="auto"/>
          <w:highlight w:val="none"/>
          <w:lang w:val="en-US" w:eastAsia="zh-CN"/>
        </w:rPr>
        <w:t>10</w:t>
      </w:r>
      <w:r>
        <w:rPr>
          <w:rFonts w:hint="eastAsia"/>
          <w:color w:val="auto"/>
          <w:highlight w:val="none"/>
        </w:rPr>
        <w:t>月竣工，总施工期24个月。</w:t>
      </w:r>
    </w:p>
    <w:p>
      <w:pPr>
        <w:pStyle w:val="2"/>
        <w:rPr>
          <w:color w:val="auto"/>
          <w:highlight w:val="none"/>
        </w:rPr>
      </w:pPr>
      <w:bookmarkStart w:id="134" w:name="_Toc22406"/>
      <w:r>
        <w:rPr>
          <w:rFonts w:hint="eastAsia"/>
          <w:color w:val="auto"/>
          <w:highlight w:val="none"/>
        </w:rPr>
        <w:t>9环境影响评价</w:t>
      </w:r>
      <w:bookmarkEnd w:id="134"/>
    </w:p>
    <w:p>
      <w:pPr>
        <w:pStyle w:val="3"/>
        <w:rPr>
          <w:color w:val="auto"/>
          <w:highlight w:val="none"/>
        </w:rPr>
      </w:pPr>
      <w:bookmarkStart w:id="135" w:name="_Toc16387"/>
      <w:r>
        <w:rPr>
          <w:rFonts w:hint="eastAsia"/>
          <w:color w:val="auto"/>
          <w:highlight w:val="none"/>
        </w:rPr>
        <w:t>9.1环境影响评价的依据和标准</w:t>
      </w:r>
      <w:bookmarkEnd w:id="135"/>
    </w:p>
    <w:p>
      <w:pPr>
        <w:pStyle w:val="4"/>
        <w:rPr>
          <w:color w:val="auto"/>
          <w:highlight w:val="none"/>
        </w:rPr>
      </w:pPr>
      <w:r>
        <w:rPr>
          <w:rFonts w:hint="eastAsia"/>
          <w:color w:val="auto"/>
          <w:highlight w:val="none"/>
        </w:rPr>
        <w:t>9.1.1评价依据</w:t>
      </w:r>
    </w:p>
    <w:p>
      <w:pPr>
        <w:ind w:firstLine="480"/>
        <w:rPr>
          <w:color w:val="auto"/>
          <w:highlight w:val="none"/>
        </w:rPr>
      </w:pPr>
      <w:r>
        <w:rPr>
          <w:rFonts w:hint="eastAsia"/>
          <w:color w:val="auto"/>
          <w:highlight w:val="none"/>
        </w:rPr>
        <w:t>1、河道水质执行《地表水环境质量标准》（GB3838-2002）Ⅲ级标准；</w:t>
      </w:r>
    </w:p>
    <w:p>
      <w:pPr>
        <w:ind w:firstLine="480"/>
        <w:rPr>
          <w:color w:val="auto"/>
          <w:highlight w:val="none"/>
        </w:rPr>
      </w:pPr>
      <w:r>
        <w:rPr>
          <w:rFonts w:hint="eastAsia"/>
          <w:color w:val="auto"/>
          <w:highlight w:val="none"/>
        </w:rPr>
        <w:t>2、施工期污水排放执行《污水综合排放标准》（GB6978-2002Ⅱ级标准；</w:t>
      </w:r>
    </w:p>
    <w:p>
      <w:pPr>
        <w:ind w:firstLine="480"/>
        <w:rPr>
          <w:color w:val="auto"/>
          <w:highlight w:val="none"/>
        </w:rPr>
      </w:pPr>
      <w:r>
        <w:rPr>
          <w:rFonts w:hint="eastAsia"/>
          <w:color w:val="auto"/>
          <w:highlight w:val="none"/>
        </w:rPr>
        <w:t>3、施工期施工人员饮用水执行《生活饮用水卫生标准》（GB5749-85）；</w:t>
      </w:r>
    </w:p>
    <w:p>
      <w:pPr>
        <w:ind w:firstLine="480"/>
        <w:rPr>
          <w:color w:val="auto"/>
          <w:highlight w:val="none"/>
        </w:rPr>
      </w:pPr>
      <w:r>
        <w:rPr>
          <w:rFonts w:hint="eastAsia"/>
          <w:color w:val="auto"/>
          <w:highlight w:val="none"/>
        </w:rPr>
        <w:t>4、生活污水执行《农田灌溉水质标准》（GB5084-2005）；</w:t>
      </w:r>
    </w:p>
    <w:p>
      <w:pPr>
        <w:ind w:firstLine="480"/>
        <w:rPr>
          <w:color w:val="auto"/>
          <w:highlight w:val="none"/>
        </w:rPr>
      </w:pPr>
      <w:r>
        <w:rPr>
          <w:rFonts w:hint="eastAsia"/>
          <w:color w:val="auto"/>
          <w:highlight w:val="none"/>
        </w:rPr>
        <w:t>5、环境噪声执行《声环境质量标准》（GB3096-2008）；</w:t>
      </w:r>
    </w:p>
    <w:p>
      <w:pPr>
        <w:ind w:firstLine="480"/>
        <w:rPr>
          <w:color w:val="auto"/>
          <w:highlight w:val="none"/>
        </w:rPr>
      </w:pPr>
      <w:r>
        <w:rPr>
          <w:rFonts w:hint="eastAsia"/>
          <w:color w:val="auto"/>
          <w:highlight w:val="none"/>
        </w:rPr>
        <w:t>6、施工期执行《</w:t>
      </w:r>
      <w:r>
        <w:rPr>
          <w:color w:val="auto"/>
          <w:highlight w:val="none"/>
        </w:rPr>
        <w:t>建筑施工场界环境噪声排放标准</w:t>
      </w:r>
      <w:r>
        <w:rPr>
          <w:rFonts w:hint="eastAsia"/>
          <w:color w:val="auto"/>
          <w:highlight w:val="none"/>
        </w:rPr>
        <w:t>》（GB12523-2011）；</w:t>
      </w:r>
    </w:p>
    <w:p>
      <w:pPr>
        <w:ind w:firstLine="480"/>
        <w:rPr>
          <w:color w:val="auto"/>
          <w:highlight w:val="none"/>
        </w:rPr>
      </w:pPr>
      <w:r>
        <w:rPr>
          <w:rFonts w:hint="eastAsia"/>
          <w:color w:val="auto"/>
          <w:highlight w:val="none"/>
        </w:rPr>
        <w:t>7、施工人员噪声防护执行《工业企业噪声卫生标准（试行草案）》（卫生部和国家劳动举办部）；</w:t>
      </w:r>
    </w:p>
    <w:p>
      <w:pPr>
        <w:ind w:firstLine="480"/>
        <w:rPr>
          <w:color w:val="auto"/>
          <w:highlight w:val="none"/>
        </w:rPr>
      </w:pPr>
      <w:r>
        <w:rPr>
          <w:rFonts w:hint="eastAsia"/>
          <w:color w:val="auto"/>
          <w:highlight w:val="none"/>
        </w:rPr>
        <w:t>8、施工影响区域执行《环境空气质量标准》（GB3095-2012）Ⅱ级标准；</w:t>
      </w:r>
    </w:p>
    <w:p>
      <w:pPr>
        <w:ind w:firstLine="480"/>
        <w:rPr>
          <w:color w:val="auto"/>
          <w:highlight w:val="none"/>
        </w:rPr>
      </w:pPr>
      <w:r>
        <w:rPr>
          <w:rFonts w:hint="eastAsia"/>
          <w:color w:val="auto"/>
          <w:highlight w:val="none"/>
        </w:rPr>
        <w:t>9、施工期大气监测标准执行《大气污染物无组织排放监测技术导则》（HJ/T55-2000）。</w:t>
      </w:r>
    </w:p>
    <w:p>
      <w:pPr>
        <w:pStyle w:val="4"/>
        <w:rPr>
          <w:color w:val="auto"/>
          <w:highlight w:val="none"/>
        </w:rPr>
      </w:pPr>
      <w:r>
        <w:rPr>
          <w:rFonts w:hint="eastAsia"/>
          <w:color w:val="auto"/>
          <w:highlight w:val="none"/>
        </w:rPr>
        <w:t>9.1.2评价标准</w:t>
      </w:r>
    </w:p>
    <w:p>
      <w:pPr>
        <w:pStyle w:val="5"/>
        <w:rPr>
          <w:color w:val="auto"/>
          <w:highlight w:val="none"/>
        </w:rPr>
      </w:pPr>
      <w:r>
        <w:rPr>
          <w:rFonts w:hint="eastAsia"/>
          <w:color w:val="auto"/>
          <w:highlight w:val="none"/>
        </w:rPr>
        <w:t>9.1.2.1水环境</w:t>
      </w:r>
    </w:p>
    <w:p>
      <w:pPr>
        <w:ind w:firstLine="480"/>
        <w:rPr>
          <w:color w:val="auto"/>
          <w:highlight w:val="none"/>
        </w:rPr>
      </w:pPr>
      <w:r>
        <w:rPr>
          <w:rFonts w:hint="eastAsia"/>
          <w:color w:val="auto"/>
          <w:highlight w:val="none"/>
        </w:rPr>
        <w:t>1、评价区地表水水质评价执行《地表水环境质量标准》(GB3838-2002)规定。</w:t>
      </w:r>
    </w:p>
    <w:p>
      <w:pPr>
        <w:ind w:firstLine="480"/>
        <w:rPr>
          <w:color w:val="auto"/>
          <w:highlight w:val="none"/>
        </w:rPr>
      </w:pPr>
      <w:r>
        <w:rPr>
          <w:rFonts w:hint="eastAsia"/>
          <w:color w:val="auto"/>
          <w:highlight w:val="none"/>
        </w:rPr>
        <w:t>2、施工生活区饮用水水源执行《生活饮用水卫生标准》(GB5749-2006)。</w:t>
      </w:r>
    </w:p>
    <w:p>
      <w:pPr>
        <w:ind w:firstLine="480"/>
        <w:rPr>
          <w:color w:val="auto"/>
          <w:highlight w:val="none"/>
        </w:rPr>
      </w:pPr>
      <w:r>
        <w:rPr>
          <w:rFonts w:hint="eastAsia"/>
          <w:color w:val="auto"/>
          <w:highlight w:val="none"/>
        </w:rPr>
        <w:t>3、农田灌溉用水执行《农田灌溉水质标准》(GB5084-2005)。</w:t>
      </w:r>
    </w:p>
    <w:p>
      <w:pPr>
        <w:ind w:firstLine="480"/>
        <w:rPr>
          <w:color w:val="auto"/>
          <w:highlight w:val="none"/>
        </w:rPr>
      </w:pPr>
      <w:r>
        <w:rPr>
          <w:rFonts w:hint="eastAsia"/>
          <w:color w:val="auto"/>
          <w:highlight w:val="none"/>
        </w:rPr>
        <w:t>该工程对水环境的影响主要是施工期施工废水、生活污水排放的第二类污染而产生的影响，根据《环境影响评价技术导则——地面水环境》的划分原则，确定该工程地表水环境影响评价等级为三级。</w:t>
      </w:r>
    </w:p>
    <w:p>
      <w:pPr>
        <w:pStyle w:val="5"/>
        <w:rPr>
          <w:color w:val="auto"/>
          <w:highlight w:val="none"/>
        </w:rPr>
      </w:pPr>
      <w:r>
        <w:rPr>
          <w:rFonts w:hint="eastAsia"/>
          <w:color w:val="auto"/>
          <w:highlight w:val="none"/>
        </w:rPr>
        <w:t>9.1.2.2环境空气</w:t>
      </w:r>
    </w:p>
    <w:p>
      <w:pPr>
        <w:ind w:firstLine="480"/>
        <w:rPr>
          <w:color w:val="auto"/>
          <w:highlight w:val="none"/>
        </w:rPr>
      </w:pPr>
      <w:r>
        <w:rPr>
          <w:rFonts w:hint="eastAsia"/>
          <w:color w:val="auto"/>
          <w:highlight w:val="none"/>
        </w:rPr>
        <w:t>施工区环境空气质量评价执行《环境空气质量标准》(GB3095-2012)，施工区主要位于城镇居民区，属于环境空气质量功能区分类的二类区，该工程施工期环境空气质量执行二级标准。根据《环境影响评价技术导则——大气环境》中有关评价工作等级划分原则和判别方法，判定该工程环境空气影响评价工作等级为二级。</w:t>
      </w:r>
    </w:p>
    <w:p>
      <w:pPr>
        <w:pStyle w:val="5"/>
        <w:rPr>
          <w:color w:val="auto"/>
          <w:highlight w:val="none"/>
        </w:rPr>
      </w:pPr>
      <w:r>
        <w:rPr>
          <w:rFonts w:hint="eastAsia"/>
          <w:color w:val="auto"/>
          <w:highlight w:val="none"/>
        </w:rPr>
        <w:t>9.1.2.3 环境噪声</w:t>
      </w:r>
    </w:p>
    <w:p>
      <w:pPr>
        <w:ind w:firstLine="480"/>
        <w:rPr>
          <w:color w:val="auto"/>
          <w:highlight w:val="none"/>
        </w:rPr>
      </w:pPr>
      <w:r>
        <w:rPr>
          <w:rFonts w:hint="eastAsia"/>
          <w:color w:val="auto"/>
          <w:highlight w:val="none"/>
        </w:rPr>
        <w:t>评价区域声环境质量标准执行《声环境质量标准》(GB3096-2008)。工程主要位于县城与乡镇结合处，受施工影响的集镇施工期环境噪声执行 2 类标准，其它区域执行1类标准。交通干线两侧执行 4a 类标准。该工程噪声的产生集中在施工期，施工期的噪声会对村庄居民造成一定的影响，根据《环境影响评价技术导则——声环境》的划分原则，将声环境影响等级定为三级。</w:t>
      </w:r>
    </w:p>
    <w:p>
      <w:pPr>
        <w:pStyle w:val="5"/>
        <w:rPr>
          <w:color w:val="auto"/>
          <w:highlight w:val="none"/>
        </w:rPr>
      </w:pPr>
      <w:r>
        <w:rPr>
          <w:rFonts w:hint="eastAsia"/>
          <w:color w:val="auto"/>
          <w:highlight w:val="none"/>
        </w:rPr>
        <w:t>9.1.2.4生态环境</w:t>
      </w:r>
    </w:p>
    <w:p>
      <w:pPr>
        <w:ind w:firstLine="480"/>
        <w:rPr>
          <w:color w:val="auto"/>
          <w:highlight w:val="none"/>
        </w:rPr>
      </w:pPr>
      <w:r>
        <w:rPr>
          <w:rFonts w:hint="eastAsia"/>
          <w:color w:val="auto"/>
          <w:highlight w:val="none"/>
        </w:rPr>
        <w:t>工程区主要为农业生态环境，为保障农业生产、维护人体健康，土壤环境质量执行《</w:t>
      </w:r>
      <w:r>
        <w:rPr>
          <w:rFonts w:ascii="Georgia" w:hAnsi="Georgia"/>
          <w:color w:val="auto"/>
          <w:highlight w:val="none"/>
          <w:shd w:val="clear" w:color="auto" w:fill="FFFFFF"/>
        </w:rPr>
        <w:t>土壤环境质量</w:t>
      </w:r>
      <w:r>
        <w:rPr>
          <w:rFonts w:hint="eastAsia" w:ascii="Georgia" w:hAnsi="Georgia"/>
          <w:color w:val="auto"/>
          <w:highlight w:val="none"/>
          <w:shd w:val="clear" w:color="auto" w:fill="FFFFFF"/>
        </w:rPr>
        <w:t xml:space="preserve"> </w:t>
      </w:r>
      <w:r>
        <w:rPr>
          <w:rFonts w:ascii="Georgia" w:hAnsi="Georgia"/>
          <w:color w:val="auto"/>
          <w:highlight w:val="none"/>
          <w:shd w:val="clear" w:color="auto" w:fill="FFFFFF"/>
        </w:rPr>
        <w:t>农用地土壤污染风险管控标准（试行）</w:t>
      </w:r>
      <w:r>
        <w:rPr>
          <w:rFonts w:hint="eastAsia"/>
          <w:color w:val="auto"/>
          <w:highlight w:val="none"/>
        </w:rPr>
        <w:t>》(GB15618-2018)二级标准。</w:t>
      </w:r>
    </w:p>
    <w:p>
      <w:pPr>
        <w:ind w:firstLine="480"/>
        <w:rPr>
          <w:color w:val="auto"/>
          <w:highlight w:val="none"/>
        </w:rPr>
      </w:pPr>
      <w:r>
        <w:rPr>
          <w:rFonts w:hint="eastAsia"/>
          <w:color w:val="auto"/>
          <w:highlight w:val="none"/>
        </w:rPr>
        <w:t>该工程的开发建设对周围生态环境将产生一定的不利影响，但不涉及环境生态敏感区，根据《环境影响评价技术导则——非污染生态影响》中生态环境影响评价工作等级的判断依据，判定本工程生态环境影响评价工作等级为低于 3级。</w:t>
      </w:r>
    </w:p>
    <w:p>
      <w:pPr>
        <w:pStyle w:val="5"/>
        <w:rPr>
          <w:color w:val="auto"/>
          <w:highlight w:val="none"/>
        </w:rPr>
      </w:pPr>
      <w:r>
        <w:rPr>
          <w:rFonts w:hint="eastAsia"/>
          <w:color w:val="auto"/>
          <w:highlight w:val="none"/>
        </w:rPr>
        <w:t>9.1.2.5污染物排放标准</w:t>
      </w:r>
    </w:p>
    <w:p>
      <w:pPr>
        <w:ind w:firstLine="480"/>
        <w:rPr>
          <w:color w:val="auto"/>
          <w:highlight w:val="none"/>
        </w:rPr>
      </w:pPr>
      <w:r>
        <w:rPr>
          <w:rFonts w:hint="eastAsia"/>
          <w:color w:val="auto"/>
          <w:highlight w:val="none"/>
        </w:rPr>
        <w:t>1、工程施工期污、废水禁止直接排入河道，施工污废水排放应符合一般保护区域排放标准。</w:t>
      </w:r>
    </w:p>
    <w:p>
      <w:pPr>
        <w:ind w:firstLine="480"/>
        <w:rPr>
          <w:color w:val="auto"/>
          <w:highlight w:val="none"/>
        </w:rPr>
      </w:pPr>
      <w:r>
        <w:rPr>
          <w:rFonts w:hint="eastAsia"/>
          <w:color w:val="auto"/>
          <w:highlight w:val="none"/>
        </w:rPr>
        <w:t>2、废气排放标准执行《大气污染物综合排放标准》(GB16297-1996)中的二级标准及各项有关污染物的无组织排放监控浓度限值。</w:t>
      </w:r>
    </w:p>
    <w:p>
      <w:pPr>
        <w:ind w:firstLine="480"/>
        <w:rPr>
          <w:color w:val="auto"/>
          <w:highlight w:val="none"/>
        </w:rPr>
      </w:pPr>
      <w:r>
        <w:rPr>
          <w:rFonts w:hint="eastAsia"/>
          <w:color w:val="auto"/>
          <w:highlight w:val="none"/>
        </w:rPr>
        <w:t>3、施工噪声执行《建筑施工场界环境噪声排放标准》(GB12523－2011)；施工区边界噪声执行《工业企业厂界环境噪声排放标准》(GB12348-2008)2 类标准。</w:t>
      </w:r>
    </w:p>
    <w:p>
      <w:pPr>
        <w:ind w:firstLine="480"/>
        <w:rPr>
          <w:color w:val="auto"/>
          <w:highlight w:val="none"/>
        </w:rPr>
      </w:pPr>
      <w:r>
        <w:rPr>
          <w:rFonts w:hint="eastAsia"/>
          <w:color w:val="auto"/>
          <w:highlight w:val="none"/>
        </w:rPr>
        <w:t>4、一般工业固体废物贮存执行《一般工业固体废物贮存、处置场污染控制标准》（GB18599-2001）。</w:t>
      </w:r>
    </w:p>
    <w:p>
      <w:pPr>
        <w:pStyle w:val="3"/>
        <w:rPr>
          <w:color w:val="auto"/>
          <w:highlight w:val="none"/>
        </w:rPr>
      </w:pPr>
      <w:bookmarkStart w:id="136" w:name="_Toc7876"/>
      <w:r>
        <w:rPr>
          <w:rFonts w:hint="eastAsia"/>
          <w:color w:val="auto"/>
          <w:highlight w:val="none"/>
        </w:rPr>
        <w:t>9.2环境现状调查与评价</w:t>
      </w:r>
      <w:bookmarkEnd w:id="136"/>
    </w:p>
    <w:p>
      <w:pPr>
        <w:pStyle w:val="4"/>
        <w:rPr>
          <w:color w:val="auto"/>
          <w:highlight w:val="none"/>
        </w:rPr>
      </w:pPr>
      <w:r>
        <w:rPr>
          <w:rFonts w:hint="eastAsia"/>
          <w:color w:val="auto"/>
          <w:highlight w:val="none"/>
        </w:rPr>
        <w:t>9.2.1环境现状</w:t>
      </w:r>
    </w:p>
    <w:p>
      <w:pPr>
        <w:ind w:firstLine="480"/>
        <w:rPr>
          <w:color w:val="auto"/>
          <w:highlight w:val="none"/>
        </w:rPr>
      </w:pPr>
      <w:r>
        <w:rPr>
          <w:rFonts w:hint="eastAsia"/>
          <w:color w:val="auto"/>
          <w:highlight w:val="none"/>
        </w:rPr>
        <w:t>本流域具有黄河和淮河流域的过渡性气候特点，四季分明。夏季受亚热带季风的影响。流域多年平均降雨量为815mm，降水主要发生年内的6～9月份，多年平均6～9月份降水量为587mm，占年降水量的70%，冬季在蒙古高气压控制下，空气寒冷，雨雪稀少，降雨量仅占年降水量的9%。</w:t>
      </w:r>
    </w:p>
    <w:p>
      <w:pPr>
        <w:ind w:firstLine="480"/>
        <w:rPr>
          <w:color w:val="auto"/>
          <w:highlight w:val="none"/>
        </w:rPr>
      </w:pPr>
      <w:r>
        <w:rPr>
          <w:rFonts w:hint="eastAsia"/>
          <w:color w:val="auto"/>
          <w:highlight w:val="none"/>
        </w:rPr>
        <w:t>本流域的洪水主要是季节性的暴雨所形成，一般是由西向东稍偏北方向移动，暴雨历时长，范围广，该流域处于山东省多年平均降雨量的高值区，由于受季风的影响，该区降水量年际、年内变化都很大，从而使本流域常出现集中暴雨和旱涝急转交替、阴雨连绵或连年干旱现象。实测资料中最大年降水量为1312.2mm，发生于1963年；最小年降水量为499.7mm，发生在1988年。年降水量的变化幅度较大，丰枯比达2.63，年平均径流深278.5mm，变差系数0.61。</w:t>
      </w:r>
    </w:p>
    <w:p>
      <w:pPr>
        <w:pStyle w:val="4"/>
        <w:rPr>
          <w:color w:val="auto"/>
          <w:highlight w:val="none"/>
        </w:rPr>
      </w:pPr>
      <w:r>
        <w:rPr>
          <w:rFonts w:hint="eastAsia"/>
          <w:color w:val="auto"/>
          <w:highlight w:val="none"/>
        </w:rPr>
        <w:t>9.2.2工程概况</w:t>
      </w:r>
    </w:p>
    <w:p>
      <w:pPr>
        <w:ind w:firstLine="480"/>
        <w:rPr>
          <w:color w:val="auto"/>
          <w:highlight w:val="none"/>
        </w:rPr>
      </w:pPr>
      <w:r>
        <w:rPr>
          <w:color w:val="auto"/>
          <w:highlight w:val="none"/>
        </w:rPr>
        <w:t>为满足枣庄市峄城区城乡用水需求，</w:t>
      </w:r>
      <w:r>
        <w:rPr>
          <w:rFonts w:hint="eastAsia"/>
          <w:color w:val="auto"/>
          <w:highlight w:val="none"/>
        </w:rPr>
        <w:t>实现峄城区供水一体化，</w:t>
      </w:r>
      <w:r>
        <w:rPr>
          <w:color w:val="auto"/>
          <w:highlight w:val="none"/>
        </w:rPr>
        <w:t>峄城区</w:t>
      </w:r>
      <w:r>
        <w:rPr>
          <w:rFonts w:hint="eastAsia"/>
          <w:color w:val="auto"/>
          <w:highlight w:val="none"/>
        </w:rPr>
        <w:t>拟从</w:t>
      </w:r>
      <w:r>
        <w:rPr>
          <w:color w:val="auto"/>
          <w:highlight w:val="none"/>
        </w:rPr>
        <w:t>南四湖取水</w:t>
      </w:r>
      <w:r>
        <w:rPr>
          <w:rFonts w:hint="eastAsia"/>
          <w:color w:val="auto"/>
          <w:highlight w:val="none"/>
        </w:rPr>
        <w:t>，</w:t>
      </w:r>
      <w:r>
        <w:rPr>
          <w:color w:val="auto"/>
          <w:highlight w:val="none"/>
        </w:rPr>
        <w:t xml:space="preserve">采用南四湖地表水作为供水水源， </w:t>
      </w:r>
      <w:r>
        <w:rPr>
          <w:rFonts w:hint="eastAsia"/>
          <w:color w:val="auto"/>
          <w:highlight w:val="none"/>
        </w:rPr>
        <w:t>在</w:t>
      </w:r>
      <w:r>
        <w:rPr>
          <w:color w:val="auto"/>
          <w:highlight w:val="none"/>
        </w:rPr>
        <w:t>胜利灌区</w:t>
      </w:r>
      <w:r>
        <w:rPr>
          <w:rFonts w:hint="eastAsia"/>
          <w:color w:val="auto"/>
          <w:highlight w:val="none"/>
        </w:rPr>
        <w:t>渠首闸设</w:t>
      </w:r>
      <w:r>
        <w:rPr>
          <w:color w:val="auto"/>
          <w:highlight w:val="none"/>
        </w:rPr>
        <w:t>取水口将南四湖下级湖水通过加压泵站和输水管道调入龙泉庄水库，再由龙泉庄水库通过加压泵站和输水管道调入各自来水厂，自来水厂对调入的客水通过净水工艺流程后，沿输配水管网输送到各用水户。</w:t>
      </w:r>
    </w:p>
    <w:p>
      <w:pPr>
        <w:ind w:firstLine="480"/>
        <w:rPr>
          <w:color w:val="auto"/>
          <w:highlight w:val="none"/>
        </w:rPr>
      </w:pPr>
      <w:r>
        <w:rPr>
          <w:rFonts w:hint="eastAsia"/>
          <w:color w:val="auto"/>
          <w:highlight w:val="none"/>
        </w:rPr>
        <w:t>为提高峄城区城乡供水水平，缩小城乡供水差别，实施农村供水改造提升项目和城区供水管网提升改造工程。</w:t>
      </w:r>
    </w:p>
    <w:p>
      <w:pPr>
        <w:ind w:firstLine="480"/>
        <w:rPr>
          <w:rFonts w:cs="Times New Roman"/>
          <w:color w:val="auto"/>
          <w:highlight w:val="none"/>
        </w:rPr>
      </w:pPr>
      <w:r>
        <w:rPr>
          <w:rFonts w:hint="eastAsia" w:cs="Times New Roman"/>
          <w:color w:val="auto"/>
          <w:highlight w:val="none"/>
        </w:rPr>
        <w:t>为满足枣庄市峄城区城乡生产、生活及河道生态用水需求，实现峄城区水务一体化，峄城区在已规划实施的贾庄节制闸灌区节水配套改造项目的基础上进行延伸，在已建渠道与左庄沙河交叉处设分水闸，对左庄沙河进行补水，同时对左庄沙河分水闸至前香屯段、前香屯南至新沟河（东支）段进行护砌，渠道与河道交叉处设分水口，连通左庄沙河、大刘庄河、新沟河、拉沟河，适时对河道进行生态补水。</w:t>
      </w:r>
    </w:p>
    <w:p>
      <w:pPr>
        <w:ind w:firstLine="480"/>
        <w:rPr>
          <w:color w:val="auto"/>
          <w:highlight w:val="none"/>
        </w:rPr>
      </w:pPr>
      <w:r>
        <w:rPr>
          <w:rFonts w:hint="eastAsia" w:cs="Times New Roman"/>
          <w:color w:val="auto"/>
          <w:highlight w:val="none"/>
        </w:rPr>
        <w:t>在圈里村西新建提升泵站，调水管线沿村村通道路向北铺设，途经圈里、魏楼、邱家庄、倪堂、王家庄至刘庄水库，管道全长6.9km；在前进桥处向东沿S234省道铺设分水管线，全长5.2km，在途经拉沟河、陶沟河处设分水口，对河道进行适时生态补水。</w:t>
      </w:r>
    </w:p>
    <w:p>
      <w:pPr>
        <w:pStyle w:val="4"/>
        <w:rPr>
          <w:color w:val="auto"/>
          <w:highlight w:val="none"/>
        </w:rPr>
      </w:pPr>
      <w:r>
        <w:rPr>
          <w:rFonts w:hint="eastAsia"/>
          <w:color w:val="auto"/>
          <w:highlight w:val="none"/>
        </w:rPr>
        <w:t>9.2.3卫生防疫</w:t>
      </w:r>
    </w:p>
    <w:p>
      <w:pPr>
        <w:ind w:firstLine="480"/>
        <w:rPr>
          <w:color w:val="auto"/>
          <w:highlight w:val="none"/>
        </w:rPr>
      </w:pPr>
      <w:r>
        <w:rPr>
          <w:rFonts w:hint="eastAsia"/>
          <w:color w:val="auto"/>
          <w:highlight w:val="none"/>
        </w:rPr>
        <w:t>建国后，该区已建立了完整的村镇县三级卫生医疗防疫体系，从根本上改善了人群健康状况，使传染病得到了有效控制，流行病发病率处于较低状态，并且发病率比较稳定，主要传染病有肝炎、肺结核。</w:t>
      </w:r>
    </w:p>
    <w:p>
      <w:pPr>
        <w:pStyle w:val="4"/>
        <w:rPr>
          <w:color w:val="auto"/>
          <w:highlight w:val="none"/>
        </w:rPr>
      </w:pPr>
      <w:r>
        <w:rPr>
          <w:rFonts w:hint="eastAsia"/>
          <w:color w:val="auto"/>
          <w:highlight w:val="none"/>
        </w:rPr>
        <w:t>9.2.4景观文物</w:t>
      </w:r>
    </w:p>
    <w:p>
      <w:pPr>
        <w:ind w:firstLine="480"/>
        <w:rPr>
          <w:color w:val="auto"/>
          <w:highlight w:val="none"/>
        </w:rPr>
      </w:pPr>
      <w:r>
        <w:rPr>
          <w:rFonts w:hint="eastAsia"/>
          <w:color w:val="auto"/>
          <w:highlight w:val="none"/>
        </w:rPr>
        <w:t>工程区施工影响区域主要为农业生态景观。据现场调查，工程施工区无已公布的县级及以上保护级别的文物古迹。</w:t>
      </w:r>
    </w:p>
    <w:p>
      <w:pPr>
        <w:pStyle w:val="3"/>
        <w:rPr>
          <w:color w:val="auto"/>
          <w:highlight w:val="none"/>
        </w:rPr>
      </w:pPr>
      <w:bookmarkStart w:id="137" w:name="_Toc22020"/>
      <w:r>
        <w:rPr>
          <w:rFonts w:hint="eastAsia"/>
          <w:color w:val="auto"/>
          <w:highlight w:val="none"/>
        </w:rPr>
        <w:t>9.3工程建设期对环境的影响</w:t>
      </w:r>
      <w:bookmarkEnd w:id="137"/>
    </w:p>
    <w:p>
      <w:pPr>
        <w:ind w:firstLine="480"/>
        <w:rPr>
          <w:color w:val="auto"/>
          <w:highlight w:val="none"/>
        </w:rPr>
      </w:pPr>
      <w:r>
        <w:rPr>
          <w:rFonts w:hint="eastAsia"/>
          <w:color w:val="auto"/>
          <w:highlight w:val="none"/>
        </w:rPr>
        <w:t>工程建设过程中对周围环境的影响主要包括水环境、大气环境、声环境、生态环境和固体废弃物五个方面。</w:t>
      </w:r>
    </w:p>
    <w:p>
      <w:pPr>
        <w:pStyle w:val="4"/>
        <w:rPr>
          <w:color w:val="auto"/>
          <w:highlight w:val="none"/>
        </w:rPr>
      </w:pPr>
      <w:r>
        <w:rPr>
          <w:rFonts w:hint="eastAsia"/>
          <w:color w:val="auto"/>
          <w:highlight w:val="none"/>
        </w:rPr>
        <w:t>9.3.1 水环境</w:t>
      </w:r>
    </w:p>
    <w:p>
      <w:pPr>
        <w:ind w:firstLine="480"/>
        <w:rPr>
          <w:color w:val="auto"/>
          <w:highlight w:val="none"/>
        </w:rPr>
      </w:pPr>
      <w:r>
        <w:rPr>
          <w:rFonts w:hint="eastAsia"/>
          <w:color w:val="auto"/>
          <w:highlight w:val="none"/>
        </w:rPr>
        <w:t>工程建设过程中对水环境的影响主要是、施工废水和生活污水的排放产生的影响。</w:t>
      </w:r>
    </w:p>
    <w:p>
      <w:pPr>
        <w:ind w:firstLine="480"/>
        <w:rPr>
          <w:color w:val="auto"/>
          <w:highlight w:val="none"/>
        </w:rPr>
      </w:pPr>
      <w:r>
        <w:rPr>
          <w:rFonts w:hint="eastAsia"/>
          <w:color w:val="auto"/>
          <w:highlight w:val="none"/>
        </w:rPr>
        <w:t>1、生产废水主要包括建设过程中的砂石料冲洗废水、混凝土拌和养护废水及施工机械、施工车辆冲洗维修废水。施工过程中，对砂石料进行冲洗产生的废水含有超量的泥沙和悬浮物，如不经处理直接排放入附近河道，则会增加水体的浑浊度，影响周围河道的水质；混凝土浇筑和养护过程中产生的废水一般呈弱碱性，其pH值可高达12，该部分废水若不经处理随意排放，将会破坏施工区的土壤结构；工程施工中，施工机械主要以柴油和汽油为动力，施工机械及各类车辆等冲洗维修排放的污水中石油类和悬浮物等污染物浓度较高，如不及时处理将会污染周围的环境。</w:t>
      </w:r>
    </w:p>
    <w:p>
      <w:pPr>
        <w:ind w:firstLine="480"/>
        <w:rPr>
          <w:color w:val="auto"/>
          <w:highlight w:val="none"/>
        </w:rPr>
      </w:pPr>
      <w:r>
        <w:rPr>
          <w:rFonts w:hint="eastAsia"/>
          <w:color w:val="auto"/>
          <w:highlight w:val="none"/>
        </w:rPr>
        <w:t>2、工程施工期为24个月，高峰期劳动力为44人，平均劳动力为35人。根据地区条件，人均日用水按100L计算，施工高峰期生活用水量为4.40m</w:t>
      </w:r>
      <w:r>
        <w:rPr>
          <w:rFonts w:hint="eastAsia"/>
          <w:color w:val="auto"/>
          <w:highlight w:val="none"/>
          <w:vertAlign w:val="superscript"/>
        </w:rPr>
        <w:t>3</w:t>
      </w:r>
      <w:r>
        <w:rPr>
          <w:rFonts w:hint="eastAsia"/>
          <w:color w:val="auto"/>
          <w:highlight w:val="none"/>
        </w:rPr>
        <w:t>/d，按污水排放系数0.8，则高峰期最大排放量约为3.52m</w:t>
      </w:r>
      <w:r>
        <w:rPr>
          <w:rFonts w:hint="eastAsia"/>
          <w:color w:val="auto"/>
          <w:highlight w:val="none"/>
          <w:vertAlign w:val="superscript"/>
        </w:rPr>
        <w:t>3</w:t>
      </w:r>
      <w:r>
        <w:rPr>
          <w:rFonts w:hint="eastAsia"/>
          <w:color w:val="auto"/>
          <w:highlight w:val="none"/>
        </w:rPr>
        <w:t xml:space="preserve"> /d。</w:t>
      </w:r>
    </w:p>
    <w:p>
      <w:pPr>
        <w:ind w:firstLine="480"/>
        <w:rPr>
          <w:color w:val="auto"/>
          <w:highlight w:val="none"/>
        </w:rPr>
      </w:pPr>
      <w:r>
        <w:rPr>
          <w:rFonts w:hint="eastAsia"/>
          <w:color w:val="auto"/>
          <w:highlight w:val="none"/>
        </w:rPr>
        <w:t>生活污水中主要污染物来源于排泄物、食物残渣、洗涤剂等有机物，主要污染物为BOD</w:t>
      </w:r>
      <w:r>
        <w:rPr>
          <w:rFonts w:hint="eastAsia"/>
          <w:color w:val="auto"/>
          <w:highlight w:val="none"/>
          <w:vertAlign w:val="subscript"/>
        </w:rPr>
        <w:t>5</w:t>
      </w:r>
      <w:r>
        <w:rPr>
          <w:rFonts w:hint="eastAsia"/>
          <w:color w:val="auto"/>
          <w:highlight w:val="none"/>
        </w:rPr>
        <w:t>和COD，其中BOD</w:t>
      </w:r>
      <w:r>
        <w:rPr>
          <w:rFonts w:hint="eastAsia"/>
          <w:color w:val="auto"/>
          <w:highlight w:val="none"/>
          <w:vertAlign w:val="subscript"/>
        </w:rPr>
        <w:t>5</w:t>
      </w:r>
      <w:r>
        <w:rPr>
          <w:rFonts w:hint="eastAsia"/>
          <w:color w:val="auto"/>
          <w:highlight w:val="none"/>
        </w:rPr>
        <w:t>、COD的浓度分别为100～200mg/L、200～300mg/L，此外还含有致病病菌、病毒和寄生虫卵等。</w:t>
      </w:r>
    </w:p>
    <w:p>
      <w:pPr>
        <w:ind w:firstLine="480"/>
        <w:rPr>
          <w:color w:val="auto"/>
          <w:highlight w:val="none"/>
        </w:rPr>
      </w:pPr>
      <w:r>
        <w:rPr>
          <w:rFonts w:hint="eastAsia"/>
          <w:color w:val="auto"/>
          <w:highlight w:val="none"/>
        </w:rPr>
        <w:t>若生活污水直接排入自然水体，有机物进行氧化分解，需要消耗水中的溶解氧，当排放的污水超过水体自净能力时，在缺氧条件下发酵腐败，易产生恶臭物质，从而影响河道水质，容易造成污染，需处理后才能排放。</w:t>
      </w:r>
    </w:p>
    <w:p>
      <w:pPr>
        <w:pStyle w:val="4"/>
        <w:rPr>
          <w:color w:val="auto"/>
          <w:highlight w:val="none"/>
        </w:rPr>
      </w:pPr>
      <w:r>
        <w:rPr>
          <w:rFonts w:hint="eastAsia"/>
          <w:color w:val="auto"/>
          <w:highlight w:val="none"/>
        </w:rPr>
        <w:t>9.3.2 大气环境</w:t>
      </w:r>
    </w:p>
    <w:p>
      <w:pPr>
        <w:ind w:firstLine="480"/>
        <w:rPr>
          <w:color w:val="auto"/>
          <w:highlight w:val="none"/>
        </w:rPr>
      </w:pPr>
      <w:r>
        <w:rPr>
          <w:rFonts w:hint="eastAsia"/>
          <w:color w:val="auto"/>
          <w:highlight w:val="none"/>
        </w:rPr>
        <w:t>工程建设过程中对大气环境的影响主要是施工作业扬尘和燃油机械废气无组织排放产生的。施工作业扬尘的来源主要是土方工程开挖与填筑，车辆行驶造成的道路扬尘、工地拌和站工作产生的粉尘和施工期间袋装或散装水泥在运输和装卸时产生的粉尘；燃油施工机械设备在施工过程中排放一定的废气、尾气，其含有的主要污染物为氮氧化物、碳氢化合物、一氧化碳、铅化物等。这些扬尘、粉尘、废气等会对项目区周围环境造成不同程度的大气污染。</w:t>
      </w:r>
    </w:p>
    <w:p>
      <w:pPr>
        <w:pStyle w:val="4"/>
        <w:rPr>
          <w:color w:val="auto"/>
          <w:highlight w:val="none"/>
        </w:rPr>
      </w:pPr>
      <w:r>
        <w:rPr>
          <w:rFonts w:hint="eastAsia"/>
          <w:color w:val="auto"/>
          <w:highlight w:val="none"/>
        </w:rPr>
        <w:t>9.3.3 声环境</w:t>
      </w:r>
    </w:p>
    <w:p>
      <w:pPr>
        <w:ind w:firstLine="480"/>
        <w:rPr>
          <w:color w:val="auto"/>
          <w:highlight w:val="none"/>
        </w:rPr>
      </w:pPr>
      <w:r>
        <w:rPr>
          <w:rFonts w:hint="eastAsia"/>
          <w:color w:val="auto"/>
          <w:highlight w:val="none"/>
        </w:rPr>
        <w:t>工程施工过程中噪声的主要来源于：钻孔和机械设备产生的噪音；移动的交通噪音。噪音较高的噪声源主要分布在基坑、砂石骨料加工系统、混凝土生产系统和主干道交通运输噪声。这些噪音将对施工人员和周围村庄的居民产生一定的不利影响。</w:t>
      </w:r>
    </w:p>
    <w:p>
      <w:pPr>
        <w:pStyle w:val="4"/>
        <w:rPr>
          <w:color w:val="auto"/>
          <w:highlight w:val="none"/>
        </w:rPr>
      </w:pPr>
      <w:r>
        <w:rPr>
          <w:rFonts w:hint="eastAsia"/>
          <w:color w:val="auto"/>
          <w:highlight w:val="none"/>
        </w:rPr>
        <w:t>9.3.4 生态环境</w:t>
      </w:r>
    </w:p>
    <w:p>
      <w:pPr>
        <w:ind w:firstLine="480"/>
        <w:rPr>
          <w:color w:val="auto"/>
          <w:highlight w:val="none"/>
        </w:rPr>
      </w:pPr>
      <w:r>
        <w:rPr>
          <w:rFonts w:hint="eastAsia"/>
          <w:color w:val="auto"/>
          <w:highlight w:val="none"/>
        </w:rPr>
        <w:t>施工期间，由于施工作业面的开挖，使原地貌、土地及植被遭到破坏，改变了土地利用格局，降低了区域自然体系的生产能力。施工临时占地在工程建设结束后，随着施工场地迹地的平整、回填、绿化等措施的实施，植被会逐渐恢复。随着施工人员、机械设备的进场，人员活动、机械噪音等直接影响施工区附近的陆生动物的生活环境，迫使鸟类、兽类等动物迁移到新的环境，且动物的栖息地相对缩小，这种不利影响是永久的。据实地调查，受影响的均是当地常见物种，且分布较广，因此工程建设不会危及物种的多样性，也不会造成物种的灭绝。</w:t>
      </w:r>
    </w:p>
    <w:p>
      <w:pPr>
        <w:pStyle w:val="4"/>
        <w:rPr>
          <w:color w:val="auto"/>
          <w:highlight w:val="none"/>
        </w:rPr>
      </w:pPr>
      <w:r>
        <w:rPr>
          <w:rFonts w:hint="eastAsia"/>
          <w:color w:val="auto"/>
          <w:highlight w:val="none"/>
        </w:rPr>
        <w:t>9.3.5 固体废弃物影响</w:t>
      </w:r>
    </w:p>
    <w:p>
      <w:pPr>
        <w:ind w:firstLine="480"/>
        <w:rPr>
          <w:color w:val="auto"/>
          <w:highlight w:val="none"/>
        </w:rPr>
      </w:pPr>
      <w:r>
        <w:rPr>
          <w:rFonts w:hint="eastAsia"/>
          <w:color w:val="auto"/>
          <w:highlight w:val="none"/>
        </w:rPr>
        <w:t>施工期间产生的固体废弃物主要包括施工中产生的弃土弃渣、建设过程中产生的建筑垃圾以及施工人员产生的生活垃圾。本工程施工周期较长，工程施工产生的弃土中的细微颗粒、粉尘等可随风飞扬，处置不当的弃土极易随风飘扬，对空气环境产生不利影响。另外，施工人员产生的生活垃圾中富含有机物及病原菌，如随意排放，不仅影响环境美观、污染空气，而且影响施工区环境卫生，造成蚊蝇孽生，鼠类繁殖，导致疾病流行，威胁施工人员身体健康，同时生活垃圾经雨水淋溶等原因将导致污染物进入水体，对水质产生不利影响。</w:t>
      </w:r>
    </w:p>
    <w:p>
      <w:pPr>
        <w:pStyle w:val="3"/>
        <w:rPr>
          <w:color w:val="auto"/>
          <w:highlight w:val="none"/>
        </w:rPr>
      </w:pPr>
      <w:bookmarkStart w:id="138" w:name="_Toc8489"/>
      <w:r>
        <w:rPr>
          <w:rFonts w:hint="eastAsia"/>
          <w:color w:val="auto"/>
          <w:highlight w:val="none"/>
        </w:rPr>
        <w:t>9.4环境保护对策措施</w:t>
      </w:r>
      <w:bookmarkEnd w:id="138"/>
    </w:p>
    <w:p>
      <w:pPr>
        <w:pStyle w:val="4"/>
        <w:rPr>
          <w:color w:val="auto"/>
          <w:highlight w:val="none"/>
        </w:rPr>
      </w:pPr>
      <w:r>
        <w:rPr>
          <w:rFonts w:hint="eastAsia"/>
          <w:color w:val="auto"/>
          <w:highlight w:val="none"/>
        </w:rPr>
        <w:t>9.4.1 水环境保护措施</w:t>
      </w:r>
    </w:p>
    <w:p>
      <w:pPr>
        <w:ind w:firstLine="480"/>
        <w:rPr>
          <w:color w:val="auto"/>
          <w:highlight w:val="none"/>
        </w:rPr>
      </w:pPr>
      <w:r>
        <w:rPr>
          <w:rFonts w:hint="eastAsia"/>
          <w:color w:val="auto"/>
          <w:highlight w:val="none"/>
        </w:rPr>
        <w:t>1、生产污水</w:t>
      </w:r>
    </w:p>
    <w:p>
      <w:pPr>
        <w:ind w:firstLine="480"/>
        <w:rPr>
          <w:color w:val="auto"/>
          <w:highlight w:val="none"/>
        </w:rPr>
      </w:pPr>
      <w:r>
        <w:rPr>
          <w:rFonts w:hint="eastAsia"/>
          <w:color w:val="auto"/>
          <w:highlight w:val="none"/>
        </w:rPr>
        <w:t xml:space="preserve">由于施工过程中对砂石料冲洗及混凝土拌和养护产生大量的污水，对这类生产污水的处置应采取有效措施，不得直接排入附近河道。本次采取建立相应的沉淀池，经沉淀处理后的清液应进行重复利用，沉渣定期人工清理，脱水后与工程废料一并处理。根据工程施工过程中的排放污水量和工程布置，本工程需建立12个沉淀池，每个容量为120m </w:t>
      </w:r>
      <w:r>
        <w:rPr>
          <w:rFonts w:hint="eastAsia"/>
          <w:color w:val="auto"/>
          <w:highlight w:val="none"/>
          <w:vertAlign w:val="superscript"/>
        </w:rPr>
        <w:t>3</w:t>
      </w:r>
      <w:r>
        <w:rPr>
          <w:rFonts w:hint="eastAsia"/>
          <w:color w:val="auto"/>
          <w:highlight w:val="none"/>
        </w:rPr>
        <w:t>。</w:t>
      </w:r>
    </w:p>
    <w:p>
      <w:pPr>
        <w:ind w:firstLine="480"/>
        <w:rPr>
          <w:color w:val="auto"/>
          <w:highlight w:val="none"/>
        </w:rPr>
      </w:pPr>
      <w:r>
        <w:rPr>
          <w:rFonts w:hint="eastAsia"/>
          <w:color w:val="auto"/>
          <w:highlight w:val="none"/>
        </w:rPr>
        <w:t>对施工机械和运输车辆进行检修和冲洗产生的含油污水，亦不能直接排放，应建立隔油沉淀池。根据工程实际需要，设立隔油沉淀池6处，对含油污水进行收集处理，经沉淀、隔离及油水分离器处理后，确保含油废水处理达到《污水综合排放标准》（GB8978-2002）二级要求后，方可就近排入河道中，施工中的废油及收集的油渍采用焚烧的方式进行处理。</w:t>
      </w:r>
    </w:p>
    <w:p>
      <w:pPr>
        <w:ind w:firstLine="480"/>
        <w:rPr>
          <w:color w:val="auto"/>
          <w:highlight w:val="none"/>
        </w:rPr>
      </w:pPr>
      <w:r>
        <w:rPr>
          <w:rFonts w:hint="eastAsia"/>
          <w:color w:val="auto"/>
          <w:highlight w:val="none"/>
        </w:rPr>
        <w:t>（2）生活污水</w:t>
      </w:r>
    </w:p>
    <w:p>
      <w:pPr>
        <w:ind w:firstLine="480"/>
        <w:rPr>
          <w:color w:val="auto"/>
          <w:highlight w:val="none"/>
        </w:rPr>
      </w:pPr>
      <w:r>
        <w:rPr>
          <w:rFonts w:hint="eastAsia"/>
          <w:color w:val="auto"/>
          <w:highlight w:val="none"/>
        </w:rPr>
        <w:t>按《污水综合排放标准》(GB8978-2002)、《农田灌溉水质标准》(GB5084-2005)及受纳水体使用功能，施工拟建区的出水中BOD</w:t>
      </w:r>
      <w:r>
        <w:rPr>
          <w:rFonts w:hint="eastAsia"/>
          <w:color w:val="auto"/>
          <w:highlight w:val="none"/>
          <w:vertAlign w:val="subscript"/>
        </w:rPr>
        <w:t>5</w:t>
      </w:r>
      <w:r>
        <w:rPr>
          <w:rFonts w:hint="eastAsia"/>
          <w:color w:val="auto"/>
          <w:highlight w:val="none"/>
        </w:rPr>
        <w:t>、COD最高允许排放浓度分别为旱作物150mg/L、300mg/L，水作物80mg/L、200mg/L，蔬菜 80mg/L、150mg/L。为避免施工人员产生的生活污水，特别是粪便污水中的细菌等病原体污染水质，根据本工程特点，施工期在施工区设置环保厕所12处，生活区设置环保厕所6处，共计18处环保厕所。生活污水经处理后可用于农田灌溉，剩余部分经石灰消毒、杀菌处理后排放。</w:t>
      </w:r>
    </w:p>
    <w:p>
      <w:pPr>
        <w:pStyle w:val="4"/>
        <w:rPr>
          <w:color w:val="auto"/>
          <w:highlight w:val="none"/>
        </w:rPr>
      </w:pPr>
      <w:r>
        <w:rPr>
          <w:rFonts w:hint="eastAsia"/>
          <w:color w:val="auto"/>
          <w:highlight w:val="none"/>
        </w:rPr>
        <w:t>9.4.2 大气环境保护措施</w:t>
      </w:r>
    </w:p>
    <w:p>
      <w:pPr>
        <w:ind w:firstLine="480"/>
        <w:rPr>
          <w:color w:val="auto"/>
          <w:highlight w:val="none"/>
        </w:rPr>
      </w:pPr>
      <w:r>
        <w:rPr>
          <w:rFonts w:hint="eastAsia"/>
          <w:color w:val="auto"/>
          <w:highlight w:val="none"/>
        </w:rPr>
        <w:t>针对大气污染物产生的原因，大气质量保护措施包括：工程开挖防尘措施、燃油机械设备排气净化措施、水泥泄漏防护措施、车辆运行扬尘防护措施。</w:t>
      </w:r>
    </w:p>
    <w:p>
      <w:pPr>
        <w:ind w:firstLine="480"/>
        <w:rPr>
          <w:color w:val="auto"/>
          <w:highlight w:val="none"/>
        </w:rPr>
      </w:pPr>
      <w:r>
        <w:rPr>
          <w:rFonts w:hint="eastAsia"/>
          <w:color w:val="auto"/>
          <w:highlight w:val="none"/>
        </w:rPr>
        <w:t>1、工程开挖防尘措施</w:t>
      </w:r>
    </w:p>
    <w:p>
      <w:pPr>
        <w:ind w:firstLine="480"/>
        <w:rPr>
          <w:color w:val="auto"/>
          <w:highlight w:val="none"/>
        </w:rPr>
      </w:pPr>
      <w:r>
        <w:rPr>
          <w:rFonts w:hint="eastAsia"/>
          <w:color w:val="auto"/>
          <w:highlight w:val="none"/>
        </w:rPr>
        <w:t>施工场地和原料堆积地要有专人负责，在大风天气或空气干燥易产生扬尘的天气条件下，采用覆盖和加大洒水量及洒水次数等措施，减少扬尘的污染；开挖土方应集中堆放，缩小粉尘影响范围，及时回填，减少粉尘影响时间，剩余土方应及时处理或采取相应的水保措施，避免造成更多的扬尘。</w:t>
      </w:r>
    </w:p>
    <w:p>
      <w:pPr>
        <w:ind w:firstLine="480"/>
        <w:rPr>
          <w:color w:val="auto"/>
          <w:highlight w:val="none"/>
        </w:rPr>
      </w:pPr>
      <w:r>
        <w:rPr>
          <w:rFonts w:hint="eastAsia"/>
          <w:color w:val="auto"/>
          <w:highlight w:val="none"/>
        </w:rPr>
        <w:t>2、燃油机械设备排气净化措施</w:t>
      </w:r>
    </w:p>
    <w:p>
      <w:pPr>
        <w:ind w:firstLine="480"/>
        <w:rPr>
          <w:color w:val="auto"/>
          <w:highlight w:val="none"/>
        </w:rPr>
      </w:pPr>
      <w:r>
        <w:rPr>
          <w:rFonts w:hint="eastAsia"/>
          <w:color w:val="auto"/>
          <w:highlight w:val="none"/>
        </w:rPr>
        <w:t>在施工过程中，燃油施工机械设备排放的废气中主要污染物为氮氧化物、碳氢化合物、一氧化碳、铅化物等，为减少对周围环境的影响，应加强对燃油机械设备的维护保养，定期检查维修，发动机应在良好状态下工作；安装尾气排放净化设备，使尾气达标排放；采用优质、污染小的无铅汽油、柴油；加强施工道路建设，减少弯道和坡度，保持路面平整。</w:t>
      </w:r>
    </w:p>
    <w:p>
      <w:pPr>
        <w:ind w:firstLine="480"/>
        <w:rPr>
          <w:color w:val="auto"/>
          <w:highlight w:val="none"/>
        </w:rPr>
      </w:pPr>
      <w:r>
        <w:rPr>
          <w:rFonts w:hint="eastAsia"/>
          <w:color w:val="auto"/>
          <w:highlight w:val="none"/>
        </w:rPr>
        <w:t>3、粉尘污染的防护</w:t>
      </w:r>
    </w:p>
    <w:p>
      <w:pPr>
        <w:ind w:firstLine="480"/>
        <w:rPr>
          <w:color w:val="auto"/>
          <w:highlight w:val="none"/>
        </w:rPr>
      </w:pPr>
      <w:r>
        <w:rPr>
          <w:rFonts w:hint="eastAsia"/>
          <w:color w:val="auto"/>
          <w:highlight w:val="none"/>
        </w:rPr>
        <w:t>合理安排拌合点，尽量减少拌合点设置，采用灰土集中拌合；建筑工地拌和站必须使用除尘装置，对除尘装置按操作规范进行维护、保养，修理要及时，使拌和站产尘量在规定标准以下；对处于粉尘量较大的现场作业人员实行卫生保护，按照国家有关劳动保护的规定，发放防尘用品，如佩戴防尘口罩、风镜等。</w:t>
      </w:r>
    </w:p>
    <w:p>
      <w:pPr>
        <w:ind w:firstLine="480"/>
        <w:rPr>
          <w:color w:val="auto"/>
          <w:highlight w:val="none"/>
        </w:rPr>
      </w:pPr>
      <w:r>
        <w:rPr>
          <w:rFonts w:hint="eastAsia"/>
          <w:color w:val="auto"/>
          <w:highlight w:val="none"/>
        </w:rPr>
        <w:t>4、扬尘污染的防护</w:t>
      </w:r>
    </w:p>
    <w:p>
      <w:pPr>
        <w:ind w:firstLine="480"/>
        <w:rPr>
          <w:color w:val="auto"/>
          <w:highlight w:val="none"/>
        </w:rPr>
      </w:pPr>
      <w:r>
        <w:rPr>
          <w:rFonts w:hint="eastAsia"/>
          <w:color w:val="auto"/>
          <w:highlight w:val="none"/>
        </w:rPr>
        <w:t>车辆扬尘主要在建筑物施工区，建筑物施工区车辆来往多，运量大，路况差，如不注意防治，扬尘污染将极为显著。车辆扬尘源于路面尘土，加强施工道路管理和养护，保持路面平整；运输车辆要统一调度，避免出现拥挤，尽可能正常装载和行驶，以免在交通不畅通的情况下，排除更多的尾气；为受影响比较严重的城区道路配备洒水车，道路要及时清渣。在建筑材料运输过程中，应对水泥、砂石和石灰等多尘材料采取帆布覆盖措施，运输散装水泥车辆的储藏罐应保持良好的密封状态。</w:t>
      </w:r>
    </w:p>
    <w:p>
      <w:pPr>
        <w:ind w:firstLine="480"/>
        <w:rPr>
          <w:color w:val="auto"/>
          <w:highlight w:val="none"/>
        </w:rPr>
      </w:pPr>
      <w:r>
        <w:rPr>
          <w:rFonts w:hint="eastAsia"/>
          <w:color w:val="auto"/>
          <w:highlight w:val="none"/>
        </w:rPr>
        <w:t>5、水泥泄漏的防护</w:t>
      </w:r>
    </w:p>
    <w:p>
      <w:pPr>
        <w:ind w:firstLine="480"/>
        <w:rPr>
          <w:color w:val="auto"/>
          <w:highlight w:val="none"/>
        </w:rPr>
      </w:pPr>
      <w:r>
        <w:rPr>
          <w:rFonts w:hint="eastAsia"/>
          <w:color w:val="auto"/>
          <w:highlight w:val="none"/>
        </w:rPr>
        <w:t>施工期间袋装水泥在运输和装卸时由于袋子的破损，以及拆袋时的粉尘飞扬等均可造成大气污染，一般要求水泥装卸作业区的粉尘超标率达50%。如果不加强管理和劳动保护，污染将更加严重。采取的措施主要是在运输、装卸过程中注意尽量保持袋子不破损；水泥类建筑材料，应设专门库房堆放，撒落于地面的水泥应及时进行清扫。</w:t>
      </w:r>
    </w:p>
    <w:p>
      <w:pPr>
        <w:pStyle w:val="4"/>
        <w:rPr>
          <w:color w:val="auto"/>
          <w:highlight w:val="none"/>
        </w:rPr>
      </w:pPr>
      <w:r>
        <w:rPr>
          <w:rFonts w:hint="eastAsia"/>
          <w:color w:val="auto"/>
          <w:highlight w:val="none"/>
        </w:rPr>
        <w:t>9.4.3 声环境保护措施</w:t>
      </w:r>
    </w:p>
    <w:p>
      <w:pPr>
        <w:ind w:firstLine="480"/>
        <w:rPr>
          <w:color w:val="auto"/>
          <w:highlight w:val="none"/>
        </w:rPr>
      </w:pPr>
      <w:r>
        <w:rPr>
          <w:rFonts w:hint="eastAsia"/>
          <w:color w:val="auto"/>
          <w:highlight w:val="none"/>
        </w:rPr>
        <w:t>为了最大限度地减少施工噪声对周围村民及环境的影响，建议施工期间采取以下防治措施：</w:t>
      </w:r>
    </w:p>
    <w:p>
      <w:pPr>
        <w:ind w:firstLine="480"/>
        <w:rPr>
          <w:color w:val="auto"/>
          <w:highlight w:val="none"/>
        </w:rPr>
      </w:pPr>
      <w:r>
        <w:rPr>
          <w:rFonts w:hint="eastAsia"/>
          <w:color w:val="auto"/>
          <w:highlight w:val="none"/>
        </w:rPr>
        <w:t>1、噪声源控制方面，要求施工机械噪声应符合噪声控制标准；可以选用低噪声设备和工艺，加强设备的维修和保养，使施工机械保持良好的工作状态；</w:t>
      </w:r>
    </w:p>
    <w:p>
      <w:pPr>
        <w:ind w:firstLine="480"/>
        <w:rPr>
          <w:color w:val="auto"/>
          <w:highlight w:val="none"/>
        </w:rPr>
      </w:pPr>
      <w:r>
        <w:rPr>
          <w:rFonts w:hint="eastAsia"/>
          <w:color w:val="auto"/>
          <w:highlight w:val="none"/>
        </w:rPr>
        <w:t>2、合理安排施工时间，对有噪音影响的敏感点施工区，除按规定给予居民一定补偿外，还要控制夜间22：00～次日6：00的施工，尽量减少高噪声施工机械的数量；</w:t>
      </w:r>
    </w:p>
    <w:p>
      <w:pPr>
        <w:ind w:firstLine="480"/>
        <w:rPr>
          <w:color w:val="auto"/>
          <w:highlight w:val="none"/>
        </w:rPr>
      </w:pPr>
      <w:r>
        <w:rPr>
          <w:rFonts w:hint="eastAsia"/>
          <w:color w:val="auto"/>
          <w:highlight w:val="none"/>
        </w:rPr>
        <w:t>3、合理安排施工现场，避免在同一施工地点安排大量动力机械设备，以避免局部声级过高。</w:t>
      </w:r>
    </w:p>
    <w:p>
      <w:pPr>
        <w:ind w:firstLine="480"/>
        <w:rPr>
          <w:color w:val="auto"/>
          <w:highlight w:val="none"/>
        </w:rPr>
      </w:pPr>
      <w:r>
        <w:rPr>
          <w:rFonts w:hint="eastAsia"/>
          <w:color w:val="auto"/>
          <w:highlight w:val="none"/>
        </w:rPr>
        <w:t>4、在噪声源集中的施工点，施工人员可佩戴噪声防护用具（戴耳塞等），减小噪声对人体的危害。</w:t>
      </w:r>
    </w:p>
    <w:p>
      <w:pPr>
        <w:ind w:firstLine="480"/>
        <w:rPr>
          <w:color w:val="auto"/>
          <w:highlight w:val="none"/>
        </w:rPr>
      </w:pPr>
      <w:r>
        <w:rPr>
          <w:rFonts w:hint="eastAsia"/>
          <w:color w:val="auto"/>
          <w:highlight w:val="none"/>
        </w:rPr>
        <w:t>5、由于施工期间交通运输对环境的影响较大，应尽量减少夜间运输量，限制大型载重车辆的车速，并对运输车辆定期维修、养护，减少或杜绝鸣笛，合理安排运输路线。</w:t>
      </w:r>
    </w:p>
    <w:p>
      <w:pPr>
        <w:pStyle w:val="4"/>
        <w:rPr>
          <w:color w:val="auto"/>
          <w:highlight w:val="none"/>
        </w:rPr>
      </w:pPr>
      <w:r>
        <w:rPr>
          <w:rFonts w:hint="eastAsia"/>
          <w:color w:val="auto"/>
          <w:highlight w:val="none"/>
        </w:rPr>
        <w:t>9.4.4 生态环境保护措施</w:t>
      </w:r>
    </w:p>
    <w:p>
      <w:pPr>
        <w:ind w:firstLine="480"/>
        <w:rPr>
          <w:color w:val="auto"/>
          <w:highlight w:val="none"/>
        </w:rPr>
      </w:pPr>
      <w:r>
        <w:rPr>
          <w:rFonts w:hint="eastAsia"/>
          <w:color w:val="auto"/>
          <w:highlight w:val="none"/>
        </w:rPr>
        <w:t>工程的建设对工程区及周边的生态环境造成一定的不利影响，为减少影响范围，施工期间应采取以下措施：</w:t>
      </w:r>
    </w:p>
    <w:p>
      <w:pPr>
        <w:ind w:firstLine="480"/>
        <w:rPr>
          <w:color w:val="auto"/>
          <w:highlight w:val="none"/>
        </w:rPr>
      </w:pPr>
      <w:r>
        <w:rPr>
          <w:rFonts w:hint="eastAsia"/>
          <w:color w:val="auto"/>
          <w:highlight w:val="none"/>
        </w:rPr>
        <w:t>1、项目建设过程中要严格划定施工区域，不能因为是草地、荒地等就放任施工人员四外活动，到处形成临时道路。施工范围要严格按照图纸施工，不能任意扩大。</w:t>
      </w:r>
    </w:p>
    <w:p>
      <w:pPr>
        <w:ind w:firstLine="480"/>
        <w:rPr>
          <w:color w:val="auto"/>
          <w:highlight w:val="none"/>
        </w:rPr>
      </w:pPr>
      <w:r>
        <w:rPr>
          <w:rFonts w:hint="eastAsia"/>
          <w:color w:val="auto"/>
          <w:highlight w:val="none"/>
        </w:rPr>
        <w:t>2、施工期间，对施工人员和管理人员普及生态环境保护的相关知识，增强生态环境保护意识，施工中应注意对树木的保护，尽量移栽，减少对植被的损害程度。</w:t>
      </w:r>
    </w:p>
    <w:p>
      <w:pPr>
        <w:ind w:firstLine="480"/>
        <w:rPr>
          <w:color w:val="auto"/>
          <w:highlight w:val="none"/>
        </w:rPr>
      </w:pPr>
      <w:r>
        <w:rPr>
          <w:rFonts w:hint="eastAsia"/>
          <w:color w:val="auto"/>
          <w:highlight w:val="none"/>
        </w:rPr>
        <w:t>3、应按照工程中的水土保持设计方案，采用植物措施和工程措施相结合的方式进行水土保持工作，减少施工期水土流失，主体工程完成后，及时恢复植被。</w:t>
      </w:r>
    </w:p>
    <w:p>
      <w:pPr>
        <w:ind w:firstLine="480"/>
        <w:rPr>
          <w:color w:val="auto"/>
          <w:highlight w:val="none"/>
        </w:rPr>
      </w:pPr>
      <w:r>
        <w:rPr>
          <w:rFonts w:hint="eastAsia"/>
          <w:color w:val="auto"/>
          <w:highlight w:val="none"/>
        </w:rPr>
        <w:t>4、工程完工后，及时清理施工现场，对施工迹地进行绿化，最大可能地恢复已被破坏的植被。对原是耕地的临时占地，尽量复耕还田，对不能改土造田的裸露地表要覆盖种植土，恢复植被，可种经济作物或营造林木。</w:t>
      </w:r>
    </w:p>
    <w:p>
      <w:pPr>
        <w:pStyle w:val="4"/>
        <w:rPr>
          <w:color w:val="auto"/>
          <w:highlight w:val="none"/>
        </w:rPr>
      </w:pPr>
      <w:r>
        <w:rPr>
          <w:rFonts w:hint="eastAsia"/>
          <w:color w:val="auto"/>
          <w:highlight w:val="none"/>
        </w:rPr>
        <w:t>9.4.5 固体废弃物处理措施</w:t>
      </w:r>
    </w:p>
    <w:p>
      <w:pPr>
        <w:ind w:firstLine="480"/>
        <w:rPr>
          <w:color w:val="auto"/>
          <w:highlight w:val="none"/>
        </w:rPr>
      </w:pPr>
      <w:r>
        <w:rPr>
          <w:rFonts w:hint="eastAsia"/>
          <w:color w:val="auto"/>
          <w:highlight w:val="none"/>
        </w:rPr>
        <w:t>1、弃土弃渣处理</w:t>
      </w:r>
    </w:p>
    <w:p>
      <w:pPr>
        <w:ind w:firstLine="480"/>
        <w:rPr>
          <w:color w:val="auto"/>
          <w:highlight w:val="none"/>
        </w:rPr>
      </w:pPr>
      <w:r>
        <w:rPr>
          <w:rFonts w:hint="eastAsia"/>
          <w:color w:val="auto"/>
          <w:highlight w:val="none"/>
        </w:rPr>
        <w:t>施工弃土随意堆放，遇风雨天气必将会造成水土流失，故对施工弃土应按指定地点堆放，分层夯实，及时种植草木，避免产生新的水土流失。</w:t>
      </w:r>
    </w:p>
    <w:p>
      <w:pPr>
        <w:ind w:firstLine="480"/>
        <w:rPr>
          <w:color w:val="auto"/>
          <w:highlight w:val="none"/>
        </w:rPr>
      </w:pPr>
      <w:r>
        <w:rPr>
          <w:rFonts w:hint="eastAsia"/>
          <w:color w:val="auto"/>
          <w:highlight w:val="none"/>
        </w:rPr>
        <w:t>2、建筑垃圾</w:t>
      </w:r>
    </w:p>
    <w:p>
      <w:pPr>
        <w:ind w:firstLine="480"/>
        <w:rPr>
          <w:color w:val="auto"/>
          <w:highlight w:val="none"/>
        </w:rPr>
      </w:pPr>
      <w:r>
        <w:rPr>
          <w:rFonts w:hint="eastAsia"/>
          <w:color w:val="auto"/>
          <w:highlight w:val="none"/>
        </w:rPr>
        <w:t>建筑物施工过程中，必然会产生建筑垃圾，对这些建筑垃圾的处理，首先将有用的建筑材料挑拣出来重新利用，没用的交给当地环卫等部门统一处理，以减少其对周围环境的影响。</w:t>
      </w:r>
    </w:p>
    <w:p>
      <w:pPr>
        <w:ind w:firstLine="480"/>
        <w:rPr>
          <w:color w:val="auto"/>
          <w:highlight w:val="none"/>
        </w:rPr>
      </w:pPr>
      <w:r>
        <w:rPr>
          <w:rFonts w:hint="eastAsia"/>
          <w:color w:val="auto"/>
          <w:highlight w:val="none"/>
        </w:rPr>
        <w:t>（3）生活垃圾</w:t>
      </w:r>
    </w:p>
    <w:p>
      <w:pPr>
        <w:ind w:firstLine="480"/>
        <w:rPr>
          <w:color w:val="auto"/>
          <w:highlight w:val="none"/>
        </w:rPr>
      </w:pPr>
      <w:r>
        <w:rPr>
          <w:rFonts w:hint="eastAsia"/>
          <w:color w:val="auto"/>
          <w:highlight w:val="none"/>
        </w:rPr>
        <w:t>生活垃圾的主要成份以有机物为主，含有大量有害细菌，易传播疾病，若不及时清理，将污染附近土壤，影响环境卫生，危害施工人员身体健康。建议在生活区设置6处垃圾箱，施工区设置12处垃圾箱，共计18处，生活垃圾统一收集清运，进行卫生填埋。垃圾箱经常喷洒灭害灵等药水，防止苍蝇等传染媒介滋生，以减少生活垃圾对环境和施工人员的健康产生不利影响。</w:t>
      </w:r>
    </w:p>
    <w:p>
      <w:pPr>
        <w:ind w:firstLine="480"/>
        <w:rPr>
          <w:color w:val="auto"/>
          <w:highlight w:val="none"/>
        </w:rPr>
      </w:pPr>
      <w:r>
        <w:rPr>
          <w:rFonts w:hint="eastAsia"/>
          <w:color w:val="auto"/>
          <w:highlight w:val="none"/>
        </w:rPr>
        <w:t>（4）清理措施</w:t>
      </w:r>
    </w:p>
    <w:p>
      <w:pPr>
        <w:ind w:firstLine="480"/>
        <w:rPr>
          <w:color w:val="auto"/>
          <w:highlight w:val="none"/>
        </w:rPr>
      </w:pPr>
      <w:r>
        <w:rPr>
          <w:rFonts w:hint="eastAsia"/>
          <w:color w:val="auto"/>
          <w:highlight w:val="none"/>
        </w:rPr>
        <w:t>工程结束后，拆除施工区的临建设施，对混凝土拌和系统、施工机械停放场、综合仓库等施工用地，及时进行场地清理；对其周围的生活垃圾、厕所、污水坑等进行场地清理，并用生石灰、石炭酸进行消毒，做好施工迹地恢复工作。</w:t>
      </w:r>
    </w:p>
    <w:p>
      <w:pPr>
        <w:pStyle w:val="4"/>
        <w:rPr>
          <w:color w:val="auto"/>
          <w:highlight w:val="none"/>
        </w:rPr>
      </w:pPr>
      <w:r>
        <w:rPr>
          <w:rFonts w:hint="eastAsia"/>
          <w:color w:val="auto"/>
          <w:highlight w:val="none"/>
        </w:rPr>
        <w:t>9.4.6 土壤环境保护措施</w:t>
      </w:r>
    </w:p>
    <w:p>
      <w:pPr>
        <w:ind w:firstLine="480"/>
        <w:rPr>
          <w:color w:val="auto"/>
          <w:highlight w:val="none"/>
        </w:rPr>
      </w:pPr>
      <w:r>
        <w:rPr>
          <w:rFonts w:hint="eastAsia"/>
          <w:color w:val="auto"/>
          <w:highlight w:val="none"/>
        </w:rPr>
        <w:t>1、合理优化施工布置，严格划定施工区域，尽量减少占用土地；施工过程中临时建筑尽可能采用成品或简易拼装方式，尽量减轻对土壤及植被的破坏。</w:t>
      </w:r>
    </w:p>
    <w:p>
      <w:pPr>
        <w:ind w:firstLine="480"/>
        <w:rPr>
          <w:color w:val="auto"/>
          <w:highlight w:val="none"/>
        </w:rPr>
      </w:pPr>
      <w:r>
        <w:rPr>
          <w:rFonts w:hint="eastAsia"/>
          <w:color w:val="auto"/>
          <w:highlight w:val="none"/>
        </w:rPr>
        <w:t>2、施工取土过程中应严加管理，严格控制取土方式和范围，严禁随意取土。取土点应尽量选择在土壤较差地，严格控制取土深度，严禁深挖，防止土壤退化肥力大幅度降低。</w:t>
      </w:r>
    </w:p>
    <w:p>
      <w:pPr>
        <w:ind w:firstLine="480"/>
        <w:rPr>
          <w:color w:val="auto"/>
          <w:highlight w:val="none"/>
        </w:rPr>
      </w:pPr>
      <w:r>
        <w:rPr>
          <w:rFonts w:hint="eastAsia"/>
          <w:color w:val="auto"/>
          <w:highlight w:val="none"/>
        </w:rPr>
        <w:t>3、确保工程设计中临时占地的复垦还耕措施的落实，保护好表层土。</w:t>
      </w:r>
    </w:p>
    <w:p>
      <w:pPr>
        <w:ind w:firstLine="480"/>
        <w:rPr>
          <w:color w:val="auto"/>
          <w:highlight w:val="none"/>
        </w:rPr>
      </w:pPr>
      <w:r>
        <w:rPr>
          <w:rFonts w:hint="eastAsia"/>
          <w:color w:val="auto"/>
          <w:highlight w:val="none"/>
        </w:rPr>
        <w:t>4、施工中临时踏压的土地会硬化，在施工结束后应立即翻耕，恢复其疏松状态。</w:t>
      </w:r>
    </w:p>
    <w:p>
      <w:pPr>
        <w:pStyle w:val="4"/>
        <w:rPr>
          <w:color w:val="auto"/>
          <w:highlight w:val="none"/>
        </w:rPr>
      </w:pPr>
      <w:r>
        <w:rPr>
          <w:rFonts w:hint="eastAsia"/>
          <w:color w:val="auto"/>
          <w:highlight w:val="none"/>
        </w:rPr>
        <w:t>9.4.7 人员健康保护措施</w:t>
      </w:r>
    </w:p>
    <w:p>
      <w:pPr>
        <w:ind w:firstLine="480"/>
        <w:rPr>
          <w:color w:val="auto"/>
          <w:highlight w:val="none"/>
        </w:rPr>
      </w:pPr>
      <w:r>
        <w:rPr>
          <w:rFonts w:hint="eastAsia"/>
          <w:color w:val="auto"/>
          <w:highlight w:val="none"/>
        </w:rPr>
        <w:t>1、卫生清理</w:t>
      </w:r>
    </w:p>
    <w:p>
      <w:pPr>
        <w:ind w:firstLine="480"/>
        <w:rPr>
          <w:color w:val="auto"/>
          <w:highlight w:val="none"/>
        </w:rPr>
      </w:pPr>
      <w:r>
        <w:rPr>
          <w:rFonts w:hint="eastAsia"/>
          <w:color w:val="auto"/>
          <w:highlight w:val="none"/>
        </w:rPr>
        <w:t>施工人员进入工地前，在施工区应进行场地清理，在生活区应定期杀虫、灭鼠，保持工作区和生活区的环境卫生。</w:t>
      </w:r>
    </w:p>
    <w:p>
      <w:pPr>
        <w:ind w:firstLine="480"/>
        <w:rPr>
          <w:color w:val="auto"/>
          <w:highlight w:val="none"/>
        </w:rPr>
      </w:pPr>
      <w:r>
        <w:rPr>
          <w:rFonts w:hint="eastAsia"/>
          <w:color w:val="auto"/>
          <w:highlight w:val="none"/>
        </w:rPr>
        <w:t>2、施工人群健康防护措施</w:t>
      </w:r>
    </w:p>
    <w:p>
      <w:pPr>
        <w:ind w:firstLine="480"/>
        <w:rPr>
          <w:color w:val="auto"/>
          <w:highlight w:val="none"/>
        </w:rPr>
      </w:pPr>
      <w:r>
        <w:rPr>
          <w:rFonts w:hint="eastAsia"/>
          <w:color w:val="auto"/>
          <w:highlight w:val="none"/>
        </w:rPr>
        <w:t>（1）对新进入施工区的施工人员进行卫生检疫。发放常见病的预防药，提高人群免疫力。</w:t>
      </w:r>
    </w:p>
    <w:p>
      <w:pPr>
        <w:ind w:firstLine="480"/>
        <w:rPr>
          <w:color w:val="auto"/>
          <w:highlight w:val="none"/>
        </w:rPr>
      </w:pPr>
      <w:r>
        <w:rPr>
          <w:rFonts w:hint="eastAsia"/>
          <w:color w:val="auto"/>
          <w:highlight w:val="none"/>
        </w:rPr>
        <w:t>（2）对工地炊事人员进行全面体检和卫生防疫知识培训，严格持证上岗制度。广泛宣传多发病、常见病(如流行性出血热、肝炎、食物中毒等)的预防治疗知识，加强群体防病抗病意识。</w:t>
      </w:r>
    </w:p>
    <w:p>
      <w:pPr>
        <w:ind w:firstLine="480"/>
        <w:rPr>
          <w:color w:val="auto"/>
          <w:highlight w:val="none"/>
        </w:rPr>
      </w:pPr>
      <w:r>
        <w:rPr>
          <w:rFonts w:hint="eastAsia"/>
          <w:color w:val="auto"/>
          <w:highlight w:val="none"/>
        </w:rPr>
        <w:t>（3）施工人员生活用水主要采用地下水水源，经消毒后作为生活用水。定期对饮用水质进行监测，对饮食卫生进行检查，切断污染源，保证饮用水安全。</w:t>
      </w:r>
    </w:p>
    <w:p>
      <w:pPr>
        <w:ind w:firstLine="480"/>
        <w:rPr>
          <w:color w:val="auto"/>
          <w:highlight w:val="none"/>
        </w:rPr>
      </w:pPr>
      <w:r>
        <w:rPr>
          <w:rFonts w:hint="eastAsia"/>
          <w:color w:val="auto"/>
          <w:highlight w:val="none"/>
        </w:rPr>
        <w:t>（4）及时清理生活垃圾。生活区配备垃圾箱，并配备专职清洁员，按卫生要求及时清扫生活垃圾送往指定地点堆放或掩埋，不得在周边任意倾倒。</w:t>
      </w:r>
    </w:p>
    <w:p>
      <w:pPr>
        <w:pStyle w:val="3"/>
        <w:rPr>
          <w:color w:val="auto"/>
          <w:highlight w:val="none"/>
        </w:rPr>
      </w:pPr>
      <w:bookmarkStart w:id="139" w:name="_Toc27328"/>
      <w:r>
        <w:rPr>
          <w:rFonts w:hint="eastAsia"/>
          <w:color w:val="auto"/>
          <w:highlight w:val="none"/>
        </w:rPr>
        <w:t>9.5环境监测</w:t>
      </w:r>
      <w:bookmarkEnd w:id="139"/>
    </w:p>
    <w:p>
      <w:pPr>
        <w:pStyle w:val="4"/>
        <w:rPr>
          <w:color w:val="auto"/>
          <w:highlight w:val="none"/>
        </w:rPr>
      </w:pPr>
      <w:r>
        <w:rPr>
          <w:rFonts w:hint="eastAsia"/>
          <w:color w:val="auto"/>
          <w:highlight w:val="none"/>
        </w:rPr>
        <w:t>9.5.1 水质监测</w:t>
      </w:r>
    </w:p>
    <w:p>
      <w:pPr>
        <w:ind w:firstLine="480"/>
        <w:rPr>
          <w:color w:val="auto"/>
          <w:highlight w:val="none"/>
        </w:rPr>
      </w:pPr>
      <w:r>
        <w:rPr>
          <w:rFonts w:hint="eastAsia"/>
          <w:color w:val="auto"/>
          <w:highlight w:val="none"/>
        </w:rPr>
        <w:t>施工期水质监测包括施工及管理人员生活饮用水水质监测、施工用水监测、施工排水水质监测和生活污水质监测四部分。</w:t>
      </w:r>
    </w:p>
    <w:p>
      <w:pPr>
        <w:ind w:firstLine="480"/>
        <w:rPr>
          <w:color w:val="auto"/>
          <w:highlight w:val="none"/>
        </w:rPr>
      </w:pPr>
      <w:r>
        <w:rPr>
          <w:rFonts w:hint="eastAsia"/>
          <w:color w:val="auto"/>
          <w:highlight w:val="none"/>
        </w:rPr>
        <w:t>1、施工用水水质监测</w:t>
      </w:r>
    </w:p>
    <w:p>
      <w:pPr>
        <w:ind w:firstLine="480"/>
        <w:rPr>
          <w:color w:val="auto"/>
          <w:highlight w:val="none"/>
        </w:rPr>
      </w:pPr>
      <w:r>
        <w:rPr>
          <w:rFonts w:hint="eastAsia"/>
          <w:color w:val="auto"/>
          <w:highlight w:val="none"/>
        </w:rPr>
        <w:t>工程施工用水水源的质量对工程质量产生一定的影响，特别是混凝土施工过程中，用水水质是影响工程质量的重要因素之一。因此，在施工期需要加强施工用水特别是砼工程用水的水质监测，及时掌握水质情况，必要时采取一定的措施，确保工程质量。</w:t>
      </w:r>
    </w:p>
    <w:p>
      <w:pPr>
        <w:ind w:firstLine="480"/>
        <w:rPr>
          <w:color w:val="auto"/>
          <w:highlight w:val="none"/>
        </w:rPr>
      </w:pPr>
      <w:r>
        <w:rPr>
          <w:rFonts w:hint="eastAsia"/>
          <w:color w:val="auto"/>
          <w:highlight w:val="none"/>
        </w:rPr>
        <w:t>监测位置：施工用水取水口。</w:t>
      </w:r>
    </w:p>
    <w:p>
      <w:pPr>
        <w:ind w:firstLine="480"/>
        <w:rPr>
          <w:color w:val="auto"/>
          <w:highlight w:val="none"/>
        </w:rPr>
      </w:pPr>
      <w:r>
        <w:rPr>
          <w:rFonts w:hint="eastAsia"/>
          <w:color w:val="auto"/>
          <w:highlight w:val="none"/>
        </w:rPr>
        <w:t>监测项目：PH、游离二氧化碳、侵蚀二氧化碳、酸度、碱度、氯化物、碳酸盐、重碳酸盐、钙离子、镁离子、硫酸盐。</w:t>
      </w:r>
    </w:p>
    <w:p>
      <w:pPr>
        <w:ind w:firstLine="480"/>
        <w:rPr>
          <w:color w:val="auto"/>
          <w:highlight w:val="none"/>
        </w:rPr>
      </w:pPr>
      <w:r>
        <w:rPr>
          <w:rFonts w:hint="eastAsia"/>
          <w:color w:val="auto"/>
          <w:highlight w:val="none"/>
        </w:rPr>
        <w:t>监测频次：单个建筑物施工期一般为6个月，建议建筑物施工前、施工中期各监测一次，施工高峰期增加监测1次，设置12处监测点，共监测36次。</w:t>
      </w:r>
    </w:p>
    <w:p>
      <w:pPr>
        <w:ind w:firstLine="480"/>
        <w:rPr>
          <w:color w:val="auto"/>
          <w:highlight w:val="none"/>
        </w:rPr>
      </w:pPr>
      <w:r>
        <w:rPr>
          <w:rFonts w:hint="eastAsia"/>
          <w:color w:val="auto"/>
          <w:highlight w:val="none"/>
        </w:rPr>
        <w:t>2、施工排水水质监测</w:t>
      </w:r>
    </w:p>
    <w:p>
      <w:pPr>
        <w:ind w:firstLine="480"/>
        <w:rPr>
          <w:color w:val="auto"/>
          <w:highlight w:val="none"/>
        </w:rPr>
      </w:pPr>
      <w:r>
        <w:rPr>
          <w:rFonts w:hint="eastAsia"/>
          <w:color w:val="auto"/>
          <w:highlight w:val="none"/>
        </w:rPr>
        <w:t>施工排水水质可能对邻近河道的水质产生不良影响，施工期应分别对处理后的砂石料冲洗水及砼搅拌、养护废水进行水质监测。</w:t>
      </w:r>
    </w:p>
    <w:p>
      <w:pPr>
        <w:ind w:firstLine="480"/>
        <w:rPr>
          <w:color w:val="auto"/>
          <w:highlight w:val="none"/>
        </w:rPr>
      </w:pPr>
      <w:r>
        <w:rPr>
          <w:rFonts w:hint="eastAsia"/>
          <w:color w:val="auto"/>
          <w:highlight w:val="none"/>
        </w:rPr>
        <w:t>监测位置：沉淀池出口。</w:t>
      </w:r>
    </w:p>
    <w:p>
      <w:pPr>
        <w:ind w:firstLine="480"/>
        <w:rPr>
          <w:color w:val="auto"/>
          <w:highlight w:val="none"/>
        </w:rPr>
      </w:pPr>
      <w:r>
        <w:rPr>
          <w:rFonts w:hint="eastAsia"/>
          <w:color w:val="auto"/>
          <w:highlight w:val="none"/>
        </w:rPr>
        <w:t>监测项目：悬浮物、PH。</w:t>
      </w:r>
    </w:p>
    <w:p>
      <w:pPr>
        <w:ind w:firstLine="480"/>
        <w:rPr>
          <w:color w:val="auto"/>
          <w:highlight w:val="none"/>
        </w:rPr>
      </w:pPr>
      <w:r>
        <w:rPr>
          <w:rFonts w:hint="eastAsia"/>
          <w:color w:val="auto"/>
          <w:highlight w:val="none"/>
        </w:rPr>
        <w:t>频测频次：根据工程实际及施工进度安排，建筑物施工期间的生产废水每季度监测1次，施工高峰期增加监测1次，设置12处监测点，施工排水水质共监测24个点•次。</w:t>
      </w:r>
    </w:p>
    <w:p>
      <w:pPr>
        <w:ind w:firstLine="480"/>
        <w:rPr>
          <w:color w:val="auto"/>
          <w:highlight w:val="none"/>
        </w:rPr>
      </w:pPr>
      <w:r>
        <w:rPr>
          <w:rFonts w:hint="eastAsia"/>
          <w:color w:val="auto"/>
          <w:highlight w:val="none"/>
        </w:rPr>
        <w:t>3、生活污水监测</w:t>
      </w:r>
    </w:p>
    <w:p>
      <w:pPr>
        <w:ind w:firstLine="480"/>
        <w:rPr>
          <w:color w:val="auto"/>
          <w:highlight w:val="none"/>
        </w:rPr>
      </w:pPr>
      <w:r>
        <w:rPr>
          <w:rFonts w:hint="eastAsia"/>
          <w:color w:val="auto"/>
          <w:highlight w:val="none"/>
        </w:rPr>
        <w:t>施工及管理人员的生活污水排放，将增加污染负荷，可能对附近河道水质或周围土壤产生影响，应对其进行监测。</w:t>
      </w:r>
    </w:p>
    <w:p>
      <w:pPr>
        <w:ind w:firstLine="480"/>
        <w:rPr>
          <w:color w:val="auto"/>
          <w:highlight w:val="none"/>
        </w:rPr>
      </w:pPr>
      <w:r>
        <w:rPr>
          <w:rFonts w:hint="eastAsia"/>
          <w:color w:val="auto"/>
          <w:highlight w:val="none"/>
        </w:rPr>
        <w:t>监测位置：生活污水排放口。</w:t>
      </w:r>
    </w:p>
    <w:p>
      <w:pPr>
        <w:ind w:firstLine="480"/>
        <w:rPr>
          <w:color w:val="auto"/>
          <w:highlight w:val="none"/>
        </w:rPr>
      </w:pPr>
      <w:r>
        <w:rPr>
          <w:rFonts w:hint="eastAsia"/>
          <w:color w:val="auto"/>
          <w:highlight w:val="none"/>
        </w:rPr>
        <w:t>监测项目：生化需氧量、化学需氧量、悬浮物、总大肠菌群、总磷、</w:t>
      </w:r>
    </w:p>
    <w:p>
      <w:pPr>
        <w:ind w:firstLine="480"/>
        <w:rPr>
          <w:color w:val="auto"/>
          <w:highlight w:val="none"/>
        </w:rPr>
      </w:pPr>
      <w:r>
        <w:rPr>
          <w:rFonts w:hint="eastAsia"/>
          <w:color w:val="auto"/>
          <w:highlight w:val="none"/>
        </w:rPr>
        <w:t>氨氮、阴离子洗涤剂、亚硝酸盐氮、硝酸盐氮、非离子氨、细菌总数、总氮、高锰酸盐指数、氯化物。</w:t>
      </w:r>
    </w:p>
    <w:p>
      <w:pPr>
        <w:ind w:firstLine="480"/>
        <w:rPr>
          <w:color w:val="auto"/>
          <w:highlight w:val="none"/>
        </w:rPr>
      </w:pPr>
      <w:r>
        <w:rPr>
          <w:rFonts w:hint="eastAsia"/>
          <w:color w:val="auto"/>
          <w:highlight w:val="none"/>
        </w:rPr>
        <w:t>监测频次：根据施工组织设计生活福利区的安排，在生活区及生产区各设置1处监测点，共计24处，每半年监测1次，施工高峰期增加监测1次，共监测72点•次。</w:t>
      </w:r>
    </w:p>
    <w:p>
      <w:pPr>
        <w:pStyle w:val="4"/>
        <w:rPr>
          <w:color w:val="auto"/>
          <w:highlight w:val="none"/>
        </w:rPr>
      </w:pPr>
      <w:r>
        <w:rPr>
          <w:rFonts w:hint="eastAsia"/>
          <w:color w:val="auto"/>
          <w:highlight w:val="none"/>
        </w:rPr>
        <w:t>9.5.2 大气质量监测</w:t>
      </w:r>
    </w:p>
    <w:p>
      <w:pPr>
        <w:ind w:firstLine="480"/>
        <w:rPr>
          <w:color w:val="auto"/>
          <w:highlight w:val="none"/>
        </w:rPr>
      </w:pPr>
      <w:r>
        <w:rPr>
          <w:rFonts w:hint="eastAsia"/>
          <w:color w:val="auto"/>
          <w:highlight w:val="none"/>
        </w:rPr>
        <w:t>为防止施工过程中产生的废气及粉尘对周边大气造成污染，需对施工区大气质量进行监测。</w:t>
      </w:r>
    </w:p>
    <w:p>
      <w:pPr>
        <w:ind w:firstLine="480"/>
        <w:rPr>
          <w:color w:val="auto"/>
          <w:highlight w:val="none"/>
        </w:rPr>
      </w:pPr>
      <w:r>
        <w:rPr>
          <w:rFonts w:hint="eastAsia"/>
          <w:color w:val="auto"/>
          <w:highlight w:val="none"/>
        </w:rPr>
        <w:t>监测项目：总悬浮颗粒、氮氧化物、一氧化碳，同步监测气温、风速和风向等主要气象要素。</w:t>
      </w:r>
    </w:p>
    <w:p>
      <w:pPr>
        <w:ind w:firstLine="480"/>
        <w:rPr>
          <w:color w:val="auto"/>
          <w:highlight w:val="none"/>
        </w:rPr>
      </w:pPr>
      <w:r>
        <w:rPr>
          <w:rFonts w:hint="eastAsia"/>
          <w:color w:val="auto"/>
          <w:highlight w:val="none"/>
        </w:rPr>
        <w:t>监测位置：在堤防一侧和建筑物集中主要施工区内设置大气监测点，共计2处。</w:t>
      </w:r>
    </w:p>
    <w:p>
      <w:pPr>
        <w:ind w:firstLine="480"/>
        <w:rPr>
          <w:color w:val="auto"/>
          <w:highlight w:val="none"/>
        </w:rPr>
      </w:pPr>
      <w:r>
        <w:rPr>
          <w:rFonts w:hint="eastAsia"/>
          <w:color w:val="auto"/>
          <w:highlight w:val="none"/>
        </w:rPr>
        <w:t>监测频次：施工地点每半年监测1次，建筑物施工每季度监测1次，每次连续3天，施工期间共计36个点•次。</w:t>
      </w:r>
    </w:p>
    <w:p>
      <w:pPr>
        <w:pStyle w:val="4"/>
        <w:rPr>
          <w:color w:val="auto"/>
          <w:highlight w:val="none"/>
        </w:rPr>
      </w:pPr>
      <w:r>
        <w:rPr>
          <w:rFonts w:hint="eastAsia"/>
          <w:color w:val="auto"/>
          <w:highlight w:val="none"/>
        </w:rPr>
        <w:t>9.5.3 噪声监测</w:t>
      </w:r>
    </w:p>
    <w:p>
      <w:pPr>
        <w:ind w:firstLine="480"/>
        <w:rPr>
          <w:color w:val="auto"/>
          <w:highlight w:val="none"/>
        </w:rPr>
      </w:pPr>
      <w:r>
        <w:rPr>
          <w:rFonts w:hint="eastAsia"/>
          <w:color w:val="auto"/>
          <w:highlight w:val="none"/>
        </w:rPr>
        <w:t>监测位置：根据具体情况，在施工现场、施工场界临近村庄处取若干个噪声敏感点作为监测点。</w:t>
      </w:r>
    </w:p>
    <w:p>
      <w:pPr>
        <w:ind w:firstLine="480"/>
        <w:rPr>
          <w:color w:val="auto"/>
          <w:highlight w:val="none"/>
        </w:rPr>
      </w:pPr>
      <w:r>
        <w:rPr>
          <w:rFonts w:hint="eastAsia"/>
          <w:color w:val="auto"/>
          <w:highlight w:val="none"/>
        </w:rPr>
        <w:t>监测项目：昼间和夜间等效声级。</w:t>
      </w:r>
    </w:p>
    <w:p>
      <w:pPr>
        <w:ind w:firstLine="480"/>
        <w:rPr>
          <w:color w:val="auto"/>
          <w:highlight w:val="none"/>
        </w:rPr>
      </w:pPr>
      <w:r>
        <w:rPr>
          <w:rFonts w:hint="eastAsia"/>
          <w:color w:val="auto"/>
          <w:highlight w:val="none"/>
        </w:rPr>
        <w:t>监测频次：施工进场前开始监测，施工期每半年监测1次，建筑物施工每季度监测1次，每次1天，进行24小时监测，共计36个点•次。</w:t>
      </w:r>
    </w:p>
    <w:p>
      <w:pPr>
        <w:pStyle w:val="3"/>
        <w:rPr>
          <w:color w:val="auto"/>
          <w:highlight w:val="none"/>
        </w:rPr>
      </w:pPr>
      <w:bookmarkStart w:id="140" w:name="_Toc21468"/>
      <w:r>
        <w:rPr>
          <w:rFonts w:hint="eastAsia"/>
          <w:color w:val="auto"/>
          <w:highlight w:val="none"/>
        </w:rPr>
        <w:t>9.6环境管理</w:t>
      </w:r>
      <w:bookmarkEnd w:id="140"/>
    </w:p>
    <w:p>
      <w:pPr>
        <w:ind w:firstLine="480"/>
        <w:rPr>
          <w:color w:val="auto"/>
          <w:highlight w:val="none"/>
        </w:rPr>
      </w:pPr>
      <w:r>
        <w:rPr>
          <w:rFonts w:hint="eastAsia"/>
          <w:color w:val="auto"/>
          <w:highlight w:val="none"/>
        </w:rPr>
        <w:t>环境管理是工程管理的一部分，是工程环境保护工作有效实施的重要环节。建设项目环境管理的目的在于保证各项环境保护措施的顺利实施，使工程的兴建对环境的不利影响得以减免，维护区域生态稳定，促进工程建设区域的社会经济与生态环境相互协调和良性发展。</w:t>
      </w:r>
    </w:p>
    <w:p>
      <w:pPr>
        <w:ind w:firstLine="480"/>
        <w:rPr>
          <w:color w:val="auto"/>
          <w:highlight w:val="none"/>
        </w:rPr>
      </w:pPr>
      <w:r>
        <w:rPr>
          <w:rFonts w:hint="eastAsia"/>
          <w:color w:val="auto"/>
          <w:highlight w:val="none"/>
        </w:rPr>
        <w:t>本工程环境管理的目标是：确保施工期所有环保措施的落实；加强施工期环境监理；严防施工时污染扩大扩散；确保施工期环保目标的实现。</w:t>
      </w:r>
    </w:p>
    <w:p>
      <w:pPr>
        <w:pStyle w:val="4"/>
        <w:rPr>
          <w:color w:val="auto"/>
          <w:highlight w:val="none"/>
        </w:rPr>
      </w:pPr>
      <w:r>
        <w:rPr>
          <w:rFonts w:hint="eastAsia"/>
          <w:color w:val="auto"/>
          <w:highlight w:val="none"/>
        </w:rPr>
        <w:t>9.6.1 环境管理机构设置与职责</w:t>
      </w:r>
    </w:p>
    <w:p>
      <w:pPr>
        <w:ind w:firstLine="480"/>
        <w:rPr>
          <w:color w:val="auto"/>
          <w:highlight w:val="none"/>
        </w:rPr>
      </w:pPr>
      <w:r>
        <w:rPr>
          <w:rFonts w:hint="eastAsia"/>
          <w:color w:val="auto"/>
          <w:highlight w:val="none"/>
        </w:rPr>
        <w:t>根据国家环境保护管理的规定，应设置工程环境保护管理机构，分管本工程的环境保护工作。环境保护管理机构是工程管理机构的重要组成部分，在工程筹建期即开始组建，作为公司的职能部门，在业务上接受当地环境保护部门的指导。该机构的具体职责是：</w:t>
      </w:r>
    </w:p>
    <w:p>
      <w:pPr>
        <w:ind w:firstLine="480"/>
        <w:rPr>
          <w:color w:val="auto"/>
          <w:highlight w:val="none"/>
        </w:rPr>
      </w:pPr>
      <w:r>
        <w:rPr>
          <w:rFonts w:hint="eastAsia"/>
          <w:color w:val="auto"/>
          <w:highlight w:val="none"/>
        </w:rPr>
        <w:t>1、根据各施工段的施工内容和当地环境保护要求，制定本工程环境管理制度和章程，制定详细的施工期污染防治措施计划和应急计划；</w:t>
      </w:r>
    </w:p>
    <w:p>
      <w:pPr>
        <w:ind w:firstLine="480"/>
        <w:rPr>
          <w:color w:val="auto"/>
          <w:highlight w:val="none"/>
        </w:rPr>
      </w:pPr>
      <w:r>
        <w:rPr>
          <w:rFonts w:hint="eastAsia"/>
          <w:color w:val="auto"/>
          <w:highlight w:val="none"/>
        </w:rPr>
        <w:t>2、负责对施工人员进行环境保护培训，明确施工应采取的环境保护措施及注意事项；</w:t>
      </w:r>
    </w:p>
    <w:p>
      <w:pPr>
        <w:ind w:firstLine="480"/>
        <w:rPr>
          <w:color w:val="auto"/>
          <w:highlight w:val="none"/>
        </w:rPr>
      </w:pPr>
      <w:r>
        <w:rPr>
          <w:rFonts w:hint="eastAsia"/>
          <w:color w:val="auto"/>
          <w:highlight w:val="none"/>
        </w:rPr>
        <w:t>3、施工中全过程跟踪检查、监督环境管理制度和环保措施执行情况，是否符合当地环境保护的要求，及时反馈与传达当地环保部门意见和要求；</w:t>
      </w:r>
    </w:p>
    <w:p>
      <w:pPr>
        <w:ind w:firstLine="480"/>
        <w:rPr>
          <w:color w:val="auto"/>
          <w:highlight w:val="none"/>
        </w:rPr>
      </w:pPr>
      <w:r>
        <w:rPr>
          <w:rFonts w:hint="eastAsia"/>
          <w:color w:val="auto"/>
          <w:highlight w:val="none"/>
        </w:rPr>
        <w:t>4、负责开展施工期环境监测工作，统计整理有关环境监测资料并上报地方环保部门；</w:t>
      </w:r>
    </w:p>
    <w:p>
      <w:pPr>
        <w:ind w:firstLine="480"/>
        <w:rPr>
          <w:color w:val="auto"/>
          <w:highlight w:val="none"/>
        </w:rPr>
      </w:pPr>
      <w:r>
        <w:rPr>
          <w:rFonts w:hint="eastAsia"/>
          <w:color w:val="auto"/>
          <w:highlight w:val="none"/>
        </w:rPr>
        <w:t>5、发现施工中可能出现的各类生态破坏和环境污染问题，负责处理各类污染事故和善后处理等。</w:t>
      </w:r>
    </w:p>
    <w:p>
      <w:pPr>
        <w:pStyle w:val="4"/>
        <w:rPr>
          <w:color w:val="auto"/>
          <w:highlight w:val="none"/>
        </w:rPr>
      </w:pPr>
      <w:r>
        <w:rPr>
          <w:rFonts w:hint="eastAsia"/>
          <w:color w:val="auto"/>
          <w:highlight w:val="none"/>
        </w:rPr>
        <w:t>9.6.2 环境管理内容</w:t>
      </w:r>
    </w:p>
    <w:p>
      <w:pPr>
        <w:ind w:firstLine="480"/>
        <w:rPr>
          <w:color w:val="auto"/>
          <w:highlight w:val="none"/>
        </w:rPr>
      </w:pPr>
      <w:r>
        <w:rPr>
          <w:rFonts w:hint="eastAsia"/>
          <w:color w:val="auto"/>
          <w:highlight w:val="none"/>
        </w:rPr>
        <w:t>根据工程环境影响评价中提出的施工期和运行期环境保护措施，落实环境保护经费，实施环境保护对策措施，协调政府环境管理与工程环境管理之间的关系。用技术手段对工程建设所影响的主要环境因子进行系统的监测。通过定量化的分析比较，掌握环境质量的变化过程，为具体实施环境保护措施和采取某些补救措施提供依据和基本资料。环境管理工作应贯穿工程建设前期、建设期和运行期的全过程，根据各阶段对环保工作的不同要求，不同时期环境管理工作的具体内容也分别有所侧重。</w:t>
      </w:r>
    </w:p>
    <w:p>
      <w:pPr>
        <w:ind w:firstLine="480"/>
        <w:rPr>
          <w:color w:val="auto"/>
          <w:highlight w:val="none"/>
        </w:rPr>
      </w:pPr>
      <w:r>
        <w:rPr>
          <w:rFonts w:hint="eastAsia"/>
          <w:color w:val="auto"/>
          <w:highlight w:val="none"/>
        </w:rPr>
        <w:t>1、施工准备阶段</w:t>
      </w:r>
    </w:p>
    <w:p>
      <w:pPr>
        <w:ind w:firstLine="480"/>
        <w:rPr>
          <w:color w:val="auto"/>
          <w:highlight w:val="none"/>
        </w:rPr>
      </w:pPr>
      <w:r>
        <w:rPr>
          <w:rFonts w:hint="eastAsia"/>
          <w:color w:val="auto"/>
          <w:highlight w:val="none"/>
        </w:rPr>
        <w:t>完成机构设置；参与设计阶段的环境保护设计审查，对工程施工准备阶段环境保护问题进行研究；为工程招标文件准备有关的环保条文，并确保环评工作的结果被包括在设计文件中，环保条文应包括由施工单位遵循的环保制约条款；准备实施环境监测方案；对所有负责实施环境保护措施的各部门和单位进行动员。</w:t>
      </w:r>
    </w:p>
    <w:p>
      <w:pPr>
        <w:ind w:firstLine="480"/>
        <w:rPr>
          <w:color w:val="auto"/>
          <w:highlight w:val="none"/>
        </w:rPr>
      </w:pPr>
      <w:r>
        <w:rPr>
          <w:rFonts w:hint="eastAsia"/>
          <w:color w:val="auto"/>
          <w:highlight w:val="none"/>
        </w:rPr>
        <w:t>2、施工期</w:t>
      </w:r>
    </w:p>
    <w:p>
      <w:pPr>
        <w:ind w:firstLine="480"/>
        <w:rPr>
          <w:color w:val="auto"/>
          <w:highlight w:val="none"/>
        </w:rPr>
      </w:pPr>
      <w:r>
        <w:rPr>
          <w:rFonts w:hint="eastAsia"/>
          <w:color w:val="auto"/>
          <w:highlight w:val="none"/>
        </w:rPr>
        <w:t>对施工活动进行监控；与地方环保局共同工作，实施各项环保措施；执行环境监测方案；贯彻环境控制检查措施及控制施工单位施工行为；检查工作人员住地卫生防疫措施；检查施工弃土弃渣的处理是否合适；制订施工阶段中施工单位必须遵守的协约；把环境保护措施包括在各种施工承包合同中，以便施工单位知道这些要求，并在投标书中提出这些措施的预算；设环境施工监理员，同施工监理员一起工作，监理员将例行监督施工单位的工作，以保证施工单位遵守所规定的环保措施；定期检查及上报施工期间进行的监测项目。</w:t>
      </w:r>
    </w:p>
    <w:p>
      <w:pPr>
        <w:ind w:firstLine="480"/>
        <w:rPr>
          <w:color w:val="auto"/>
          <w:highlight w:val="none"/>
        </w:rPr>
      </w:pPr>
      <w:r>
        <w:rPr>
          <w:rFonts w:hint="eastAsia"/>
          <w:color w:val="auto"/>
          <w:highlight w:val="none"/>
        </w:rPr>
        <w:t>3、运行期</w:t>
      </w:r>
    </w:p>
    <w:p>
      <w:pPr>
        <w:ind w:firstLine="480"/>
        <w:rPr>
          <w:color w:val="auto"/>
          <w:highlight w:val="none"/>
        </w:rPr>
      </w:pPr>
      <w:r>
        <w:rPr>
          <w:rFonts w:hint="eastAsia"/>
          <w:color w:val="auto"/>
          <w:highlight w:val="none"/>
        </w:rPr>
        <w:t>工程运行期环境管理工作由工程管理单位负责，环境管理的内容为收集工程影响范围内各环境因子变化情况，确保环境保护总目标的实现。</w:t>
      </w:r>
    </w:p>
    <w:p>
      <w:pPr>
        <w:pStyle w:val="3"/>
        <w:rPr>
          <w:color w:val="auto"/>
          <w:highlight w:val="none"/>
        </w:rPr>
      </w:pPr>
      <w:bookmarkStart w:id="141" w:name="_Toc12821"/>
      <w:r>
        <w:rPr>
          <w:rFonts w:hint="eastAsia"/>
          <w:color w:val="auto"/>
          <w:highlight w:val="none"/>
        </w:rPr>
        <w:t>9.7 环境监理</w:t>
      </w:r>
      <w:bookmarkEnd w:id="141"/>
    </w:p>
    <w:p>
      <w:pPr>
        <w:ind w:firstLine="480"/>
        <w:rPr>
          <w:color w:val="auto"/>
          <w:highlight w:val="none"/>
        </w:rPr>
      </w:pPr>
      <w:r>
        <w:rPr>
          <w:rFonts w:hint="eastAsia"/>
          <w:color w:val="auto"/>
          <w:highlight w:val="none"/>
        </w:rPr>
        <w:t>施工期的环境监理主要是对环境保护措施和水土保持措施的落实和实施效果进行监理。为确保工程环境措施按计划完成，并保证环境工程的质量和实施运行效果，监理人员由业主委托具有环境工程监理资质的人员进行，初步考虑需一名监理人员。</w:t>
      </w:r>
    </w:p>
    <w:p>
      <w:pPr>
        <w:ind w:firstLine="480"/>
        <w:rPr>
          <w:color w:val="auto"/>
          <w:highlight w:val="none"/>
        </w:rPr>
      </w:pPr>
      <w:r>
        <w:rPr>
          <w:rFonts w:hint="eastAsia"/>
          <w:color w:val="auto"/>
          <w:highlight w:val="none"/>
        </w:rPr>
        <w:t>遵循国家及当地政府关于环境保护的方针、政策、法令、法规，监督承包商落实工程承包合同中有关环保条款。环境监理主要内容为：</w:t>
      </w:r>
    </w:p>
    <w:p>
      <w:pPr>
        <w:ind w:firstLine="480"/>
        <w:rPr>
          <w:color w:val="auto"/>
          <w:highlight w:val="none"/>
        </w:rPr>
      </w:pPr>
      <w:r>
        <w:rPr>
          <w:rFonts w:hint="eastAsia"/>
          <w:color w:val="auto"/>
          <w:highlight w:val="none"/>
        </w:rPr>
        <w:t>1、编制环境监理计划，拟定环境监理项目和内容。</w:t>
      </w:r>
    </w:p>
    <w:p>
      <w:pPr>
        <w:ind w:firstLine="480"/>
        <w:rPr>
          <w:color w:val="auto"/>
          <w:highlight w:val="none"/>
        </w:rPr>
      </w:pPr>
      <w:r>
        <w:rPr>
          <w:rFonts w:hint="eastAsia"/>
          <w:color w:val="auto"/>
          <w:highlight w:val="none"/>
        </w:rPr>
        <w:t>2、对承包商进行监理，防止和减轻施工作业引起的环境污染和对植被、野生动植物的破坏行为。</w:t>
      </w:r>
    </w:p>
    <w:p>
      <w:pPr>
        <w:ind w:firstLine="480"/>
        <w:rPr>
          <w:color w:val="auto"/>
          <w:highlight w:val="none"/>
        </w:rPr>
      </w:pPr>
      <w:r>
        <w:rPr>
          <w:rFonts w:hint="eastAsia"/>
          <w:color w:val="auto"/>
          <w:highlight w:val="none"/>
        </w:rPr>
        <w:t>3、全面监督和检查各施工单位环境保护措施实施情况和实施效果，及时处理和解决临时出现的环境污染事件。</w:t>
      </w:r>
    </w:p>
    <w:p>
      <w:pPr>
        <w:ind w:firstLine="480"/>
        <w:rPr>
          <w:color w:val="auto"/>
          <w:highlight w:val="none"/>
        </w:rPr>
      </w:pPr>
      <w:r>
        <w:rPr>
          <w:rFonts w:hint="eastAsia"/>
          <w:color w:val="auto"/>
          <w:highlight w:val="none"/>
        </w:rPr>
        <w:t>4、全面检查施工单位负责的渣场、施工迹地的处理及恢复情况，主要包括边坡稳定、迹地恢复和绿化措施及效果等。</w:t>
      </w:r>
    </w:p>
    <w:p>
      <w:pPr>
        <w:ind w:firstLine="480"/>
        <w:rPr>
          <w:color w:val="auto"/>
          <w:highlight w:val="none"/>
        </w:rPr>
      </w:pPr>
      <w:r>
        <w:rPr>
          <w:rFonts w:hint="eastAsia"/>
          <w:color w:val="auto"/>
          <w:highlight w:val="none"/>
        </w:rPr>
        <w:t>5、负责落实环境监测的实施，审核有关环境报表，根据水质、大气、噪声等监测结果，对各水库施工及管理提出相应要求，尽量减少工程施工给环境带来的不利影响。</w:t>
      </w:r>
    </w:p>
    <w:p>
      <w:pPr>
        <w:ind w:firstLine="480"/>
        <w:rPr>
          <w:color w:val="auto"/>
          <w:highlight w:val="none"/>
        </w:rPr>
      </w:pPr>
      <w:r>
        <w:rPr>
          <w:rFonts w:hint="eastAsia"/>
          <w:color w:val="auto"/>
          <w:highlight w:val="none"/>
        </w:rPr>
        <w:t>6、在日常工作中作好监理记录及监理报告，组织质量评定，参与竣工验收。</w:t>
      </w:r>
    </w:p>
    <w:p>
      <w:pPr>
        <w:pStyle w:val="3"/>
        <w:rPr>
          <w:color w:val="auto"/>
          <w:highlight w:val="none"/>
        </w:rPr>
      </w:pPr>
      <w:bookmarkStart w:id="142" w:name="_Toc18739"/>
      <w:r>
        <w:rPr>
          <w:rFonts w:hint="eastAsia"/>
          <w:color w:val="auto"/>
          <w:highlight w:val="none"/>
        </w:rPr>
        <w:t>9.8 工程运行期对环境的影响及保护措施</w:t>
      </w:r>
      <w:bookmarkEnd w:id="142"/>
    </w:p>
    <w:p>
      <w:pPr>
        <w:pStyle w:val="4"/>
        <w:rPr>
          <w:color w:val="auto"/>
          <w:highlight w:val="none"/>
        </w:rPr>
      </w:pPr>
      <w:r>
        <w:rPr>
          <w:rFonts w:hint="eastAsia"/>
          <w:color w:val="auto"/>
          <w:highlight w:val="none"/>
        </w:rPr>
        <w:t>9.8.1 工程运行期对环境的影响</w:t>
      </w:r>
    </w:p>
    <w:p>
      <w:pPr>
        <w:ind w:firstLine="480"/>
        <w:rPr>
          <w:color w:val="auto"/>
          <w:highlight w:val="none"/>
        </w:rPr>
      </w:pPr>
      <w:r>
        <w:rPr>
          <w:rFonts w:hint="eastAsia"/>
          <w:color w:val="auto"/>
          <w:highlight w:val="none"/>
        </w:rPr>
        <w:t>1、水环境影响</w:t>
      </w:r>
    </w:p>
    <w:p>
      <w:pPr>
        <w:ind w:firstLine="480"/>
        <w:rPr>
          <w:color w:val="auto"/>
          <w:highlight w:val="none"/>
        </w:rPr>
      </w:pPr>
      <w:r>
        <w:rPr>
          <w:rFonts w:hint="eastAsia"/>
          <w:color w:val="auto"/>
          <w:highlight w:val="none"/>
        </w:rPr>
        <w:t>工程运行期间，相关供水水体的水质将得到严格控制，达到标准后方可进行蓄水，同时工程的运行不会产生污水，故对周围水环境不会产生不利影响。</w:t>
      </w:r>
    </w:p>
    <w:p>
      <w:pPr>
        <w:ind w:firstLine="480"/>
        <w:rPr>
          <w:color w:val="auto"/>
          <w:highlight w:val="none"/>
        </w:rPr>
      </w:pPr>
      <w:r>
        <w:rPr>
          <w:rFonts w:hint="eastAsia"/>
          <w:color w:val="auto"/>
          <w:highlight w:val="none"/>
        </w:rPr>
        <w:t>2、大气、声环境影响</w:t>
      </w:r>
    </w:p>
    <w:p>
      <w:pPr>
        <w:ind w:firstLine="480"/>
        <w:rPr>
          <w:color w:val="auto"/>
          <w:highlight w:val="none"/>
        </w:rPr>
      </w:pPr>
      <w:r>
        <w:rPr>
          <w:rFonts w:hint="eastAsia"/>
          <w:color w:val="auto"/>
          <w:highlight w:val="none"/>
        </w:rPr>
        <w:t>工程施工结束后正常运行期内，本项目对周围的大气和声环境产生的影响将停止。</w:t>
      </w:r>
    </w:p>
    <w:p>
      <w:pPr>
        <w:ind w:firstLine="480"/>
        <w:rPr>
          <w:color w:val="auto"/>
          <w:highlight w:val="none"/>
        </w:rPr>
      </w:pPr>
      <w:r>
        <w:rPr>
          <w:rFonts w:hint="eastAsia"/>
          <w:color w:val="auto"/>
          <w:highlight w:val="none"/>
        </w:rPr>
        <w:t>3、生态环境影响</w:t>
      </w:r>
    </w:p>
    <w:p>
      <w:pPr>
        <w:ind w:firstLine="480"/>
        <w:rPr>
          <w:color w:val="auto"/>
          <w:highlight w:val="none"/>
        </w:rPr>
      </w:pPr>
      <w:r>
        <w:rPr>
          <w:rFonts w:hint="eastAsia"/>
          <w:color w:val="auto"/>
          <w:highlight w:val="none"/>
        </w:rPr>
        <w:t>本项目运营将毁坏一定面积的植被，对陆生生态的完整性带来长期影响。项目运营后，并不会影响周围的河流水文情势，也不会对现状水生生物栖息生境造成不良影响。</w:t>
      </w:r>
    </w:p>
    <w:p>
      <w:pPr>
        <w:ind w:firstLine="480"/>
        <w:rPr>
          <w:color w:val="auto"/>
          <w:highlight w:val="none"/>
        </w:rPr>
      </w:pPr>
      <w:r>
        <w:rPr>
          <w:rFonts w:hint="eastAsia"/>
          <w:color w:val="auto"/>
          <w:highlight w:val="none"/>
        </w:rPr>
        <w:t>4、社会环境影响</w:t>
      </w:r>
    </w:p>
    <w:p>
      <w:pPr>
        <w:ind w:firstLine="480"/>
        <w:rPr>
          <w:color w:val="auto"/>
          <w:highlight w:val="none"/>
        </w:rPr>
      </w:pPr>
      <w:r>
        <w:rPr>
          <w:rFonts w:hint="eastAsia"/>
          <w:color w:val="auto"/>
          <w:highlight w:val="none"/>
        </w:rPr>
        <w:t>通过本项目的建设，可有效解决城区和乡镇供水问题，为当地经济社会发展提供有力保障。</w:t>
      </w:r>
    </w:p>
    <w:p>
      <w:pPr>
        <w:pStyle w:val="4"/>
        <w:rPr>
          <w:color w:val="auto"/>
          <w:highlight w:val="none"/>
        </w:rPr>
      </w:pPr>
      <w:r>
        <w:rPr>
          <w:rFonts w:hint="eastAsia"/>
          <w:color w:val="auto"/>
          <w:highlight w:val="none"/>
        </w:rPr>
        <w:t>9.8.2 运行期环境监测</w:t>
      </w:r>
    </w:p>
    <w:p>
      <w:pPr>
        <w:ind w:firstLine="480"/>
        <w:rPr>
          <w:color w:val="auto"/>
          <w:highlight w:val="none"/>
        </w:rPr>
      </w:pPr>
      <w:r>
        <w:rPr>
          <w:rFonts w:hint="eastAsia"/>
          <w:color w:val="auto"/>
          <w:highlight w:val="none"/>
        </w:rPr>
        <w:t>正常运行期期间的环境监测主要生态监测。</w:t>
      </w:r>
    </w:p>
    <w:p>
      <w:pPr>
        <w:ind w:firstLine="480"/>
        <w:rPr>
          <w:color w:val="auto"/>
          <w:highlight w:val="none"/>
        </w:rPr>
      </w:pPr>
      <w:r>
        <w:rPr>
          <w:rFonts w:hint="eastAsia"/>
          <w:color w:val="auto"/>
          <w:highlight w:val="none"/>
        </w:rPr>
        <w:t>1、沉积物：监测河底沉积物，监测项目为As、Pb、Cr、Hg、氯化物等，每年一次；</w:t>
      </w:r>
    </w:p>
    <w:p>
      <w:pPr>
        <w:ind w:firstLine="480"/>
        <w:rPr>
          <w:color w:val="auto"/>
          <w:highlight w:val="none"/>
        </w:rPr>
      </w:pPr>
      <w:r>
        <w:rPr>
          <w:rFonts w:hint="eastAsia"/>
          <w:color w:val="auto"/>
          <w:highlight w:val="none"/>
        </w:rPr>
        <w:t>2、水生生物：监测河中水生生物的数量、种类，每年监测2次。</w:t>
      </w:r>
    </w:p>
    <w:p>
      <w:pPr>
        <w:pStyle w:val="3"/>
        <w:rPr>
          <w:color w:val="auto"/>
          <w:highlight w:val="none"/>
        </w:rPr>
      </w:pPr>
      <w:bookmarkStart w:id="143" w:name="_Toc13101"/>
      <w:r>
        <w:rPr>
          <w:rFonts w:hint="eastAsia"/>
          <w:color w:val="auto"/>
          <w:highlight w:val="none"/>
        </w:rPr>
        <w:t>9.9环保投资估算</w:t>
      </w:r>
      <w:bookmarkEnd w:id="143"/>
    </w:p>
    <w:p>
      <w:pPr>
        <w:ind w:firstLine="480"/>
        <w:rPr>
          <w:color w:val="auto"/>
          <w:highlight w:val="none"/>
        </w:rPr>
      </w:pPr>
      <w:r>
        <w:rPr>
          <w:rFonts w:hint="eastAsia"/>
          <w:color w:val="auto"/>
          <w:highlight w:val="none"/>
        </w:rPr>
        <w:t>根据工程内容、工程环境影响情况，按照前述原则，编制本工程环境投资估算。经计算，工程环境保护总投资</w:t>
      </w:r>
      <w:r>
        <w:rPr>
          <w:color w:val="auto"/>
          <w:highlight w:val="none"/>
        </w:rPr>
        <w:t>244.16</w:t>
      </w:r>
      <w:r>
        <w:rPr>
          <w:rFonts w:hint="eastAsia"/>
          <w:color w:val="auto"/>
          <w:highlight w:val="none"/>
        </w:rPr>
        <w:t>万元，其中环境监测措施费</w:t>
      </w:r>
      <w:r>
        <w:rPr>
          <w:color w:val="auto"/>
          <w:highlight w:val="none"/>
        </w:rPr>
        <w:t>36.34</w:t>
      </w:r>
      <w:r>
        <w:rPr>
          <w:rFonts w:hint="eastAsia"/>
          <w:color w:val="auto"/>
          <w:highlight w:val="none"/>
        </w:rPr>
        <w:t>万元，环境保护临时措施费</w:t>
      </w:r>
      <w:r>
        <w:rPr>
          <w:color w:val="auto"/>
          <w:highlight w:val="none"/>
        </w:rPr>
        <w:t>82.95</w:t>
      </w:r>
      <w:r>
        <w:rPr>
          <w:rFonts w:hint="eastAsia"/>
          <w:color w:val="auto"/>
          <w:highlight w:val="none"/>
        </w:rPr>
        <w:t>3万元，独立费用</w:t>
      </w:r>
      <w:r>
        <w:rPr>
          <w:color w:val="auto"/>
          <w:highlight w:val="none"/>
        </w:rPr>
        <w:t>102.67</w:t>
      </w:r>
      <w:r>
        <w:rPr>
          <w:rFonts w:hint="eastAsia"/>
          <w:color w:val="auto"/>
          <w:highlight w:val="none"/>
        </w:rPr>
        <w:t>万元，基本预备费</w:t>
      </w:r>
      <w:r>
        <w:rPr>
          <w:color w:val="auto"/>
          <w:highlight w:val="none"/>
        </w:rPr>
        <w:t>22.20</w:t>
      </w:r>
      <w:r>
        <w:rPr>
          <w:rFonts w:hint="eastAsia"/>
          <w:color w:val="auto"/>
          <w:highlight w:val="none"/>
        </w:rPr>
        <w:t xml:space="preserve">万元。具体内容见表 </w:t>
      </w:r>
      <w:r>
        <w:rPr>
          <w:color w:val="auto"/>
          <w:highlight w:val="none"/>
        </w:rPr>
        <w:t>1</w:t>
      </w:r>
      <w:r>
        <w:rPr>
          <w:rFonts w:hint="eastAsia"/>
          <w:color w:val="auto"/>
          <w:highlight w:val="none"/>
        </w:rPr>
        <w:t>1.9-1。</w:t>
      </w:r>
    </w:p>
    <w:p>
      <w:pPr>
        <w:spacing w:line="240" w:lineRule="auto"/>
        <w:ind w:firstLine="0" w:firstLineChars="0"/>
        <w:rPr>
          <w:b/>
          <w:bCs/>
          <w:color w:val="auto"/>
          <w:highlight w:val="none"/>
        </w:rPr>
      </w:pPr>
      <w:r>
        <w:rPr>
          <w:rFonts w:hint="eastAsia"/>
          <w:b/>
          <w:bCs/>
          <w:color w:val="auto"/>
          <w:highlight w:val="none"/>
        </w:rPr>
        <w:t>表9.9-1                   工程环境保护投资估算表</w:t>
      </w:r>
    </w:p>
    <w:tbl>
      <w:tblPr>
        <w:tblStyle w:val="33"/>
        <w:tblW w:w="5000" w:type="pct"/>
        <w:tblInd w:w="0" w:type="dxa"/>
        <w:tblLayout w:type="autofit"/>
        <w:tblCellMar>
          <w:top w:w="0" w:type="dxa"/>
          <w:left w:w="108" w:type="dxa"/>
          <w:bottom w:w="0" w:type="dxa"/>
          <w:right w:w="108" w:type="dxa"/>
        </w:tblCellMar>
      </w:tblPr>
      <w:tblGrid>
        <w:gridCol w:w="972"/>
        <w:gridCol w:w="2827"/>
        <w:gridCol w:w="972"/>
        <w:gridCol w:w="973"/>
        <w:gridCol w:w="1220"/>
        <w:gridCol w:w="1558"/>
      </w:tblGrid>
      <w:tr>
        <w:tblPrEx>
          <w:tblCellMar>
            <w:top w:w="0" w:type="dxa"/>
            <w:left w:w="108" w:type="dxa"/>
            <w:bottom w:w="0" w:type="dxa"/>
            <w:right w:w="108" w:type="dxa"/>
          </w:tblCellMar>
        </w:tblPrEx>
        <w:trPr>
          <w:trHeight w:val="20" w:hRule="atLeast"/>
        </w:trPr>
        <w:tc>
          <w:tcPr>
            <w:tcW w:w="641" w:type="pct"/>
            <w:tcBorders>
              <w:top w:val="single" w:color="auto" w:sz="12" w:space="0"/>
              <w:left w:val="single" w:color="auto" w:sz="12" w:space="0"/>
              <w:bottom w:val="single" w:color="auto" w:sz="8" w:space="0"/>
              <w:right w:val="single" w:color="auto" w:sz="8" w:space="0"/>
            </w:tcBorders>
            <w:shd w:val="clear" w:color="auto" w:fill="auto"/>
            <w:noWrap/>
            <w:vAlign w:val="center"/>
          </w:tcPr>
          <w:p>
            <w:pPr>
              <w:widowControl/>
              <w:spacing w:line="240" w:lineRule="auto"/>
              <w:ind w:firstLine="0" w:firstLineChars="0"/>
              <w:rPr>
                <w:rFonts w:ascii="宋体" w:hAnsi="宋体"/>
                <w:b/>
                <w:bCs/>
                <w:color w:val="auto"/>
                <w:kern w:val="0"/>
                <w:sz w:val="20"/>
                <w:szCs w:val="20"/>
                <w:highlight w:val="none"/>
              </w:rPr>
            </w:pPr>
            <w:r>
              <w:rPr>
                <w:rFonts w:hint="eastAsia" w:ascii="宋体" w:hAnsi="宋体"/>
                <w:b/>
                <w:bCs/>
                <w:color w:val="auto"/>
                <w:kern w:val="0"/>
                <w:sz w:val="20"/>
                <w:szCs w:val="20"/>
                <w:highlight w:val="none"/>
              </w:rPr>
              <w:t>序号</w:t>
            </w:r>
          </w:p>
        </w:tc>
        <w:tc>
          <w:tcPr>
            <w:tcW w:w="1306" w:type="pct"/>
            <w:tcBorders>
              <w:top w:val="single" w:color="auto" w:sz="12" w:space="0"/>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b/>
                <w:bCs/>
                <w:color w:val="auto"/>
                <w:kern w:val="0"/>
                <w:sz w:val="20"/>
                <w:szCs w:val="20"/>
                <w:highlight w:val="none"/>
              </w:rPr>
            </w:pPr>
            <w:r>
              <w:rPr>
                <w:rFonts w:hint="eastAsia" w:ascii="宋体" w:hAnsi="宋体"/>
                <w:b/>
                <w:bCs/>
                <w:color w:val="auto"/>
                <w:kern w:val="0"/>
                <w:sz w:val="20"/>
                <w:szCs w:val="20"/>
                <w:highlight w:val="none"/>
              </w:rPr>
              <w:t>工程费用或名称</w:t>
            </w:r>
          </w:p>
        </w:tc>
        <w:tc>
          <w:tcPr>
            <w:tcW w:w="641" w:type="pct"/>
            <w:tcBorders>
              <w:top w:val="single" w:color="auto" w:sz="12" w:space="0"/>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b/>
                <w:bCs/>
                <w:color w:val="auto"/>
                <w:kern w:val="0"/>
                <w:sz w:val="20"/>
                <w:szCs w:val="20"/>
                <w:highlight w:val="none"/>
              </w:rPr>
            </w:pPr>
            <w:r>
              <w:rPr>
                <w:rFonts w:hint="eastAsia" w:ascii="宋体" w:hAnsi="宋体"/>
                <w:b/>
                <w:bCs/>
                <w:color w:val="auto"/>
                <w:kern w:val="0"/>
                <w:sz w:val="20"/>
                <w:szCs w:val="20"/>
                <w:highlight w:val="none"/>
              </w:rPr>
              <w:t>单位</w:t>
            </w:r>
          </w:p>
        </w:tc>
        <w:tc>
          <w:tcPr>
            <w:tcW w:w="641" w:type="pct"/>
            <w:tcBorders>
              <w:top w:val="single" w:color="auto" w:sz="12" w:space="0"/>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b/>
                <w:bCs/>
                <w:color w:val="auto"/>
                <w:kern w:val="0"/>
                <w:sz w:val="20"/>
                <w:szCs w:val="20"/>
                <w:highlight w:val="none"/>
              </w:rPr>
            </w:pPr>
            <w:r>
              <w:rPr>
                <w:rFonts w:hint="eastAsia" w:ascii="宋体" w:hAnsi="宋体"/>
                <w:b/>
                <w:bCs/>
                <w:color w:val="auto"/>
                <w:kern w:val="0"/>
                <w:sz w:val="20"/>
                <w:szCs w:val="20"/>
                <w:highlight w:val="none"/>
              </w:rPr>
              <w:t>数量</w:t>
            </w:r>
          </w:p>
        </w:tc>
        <w:tc>
          <w:tcPr>
            <w:tcW w:w="784" w:type="pct"/>
            <w:tcBorders>
              <w:top w:val="single" w:color="auto" w:sz="12" w:space="0"/>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b/>
                <w:bCs/>
                <w:color w:val="auto"/>
                <w:kern w:val="0"/>
                <w:sz w:val="20"/>
                <w:szCs w:val="20"/>
                <w:highlight w:val="none"/>
              </w:rPr>
            </w:pPr>
            <w:r>
              <w:rPr>
                <w:rFonts w:hint="eastAsia" w:ascii="宋体" w:hAnsi="宋体"/>
                <w:b/>
                <w:bCs/>
                <w:color w:val="auto"/>
                <w:kern w:val="0"/>
                <w:sz w:val="20"/>
                <w:szCs w:val="20"/>
                <w:highlight w:val="none"/>
              </w:rPr>
              <w:t>单价（元）</w:t>
            </w:r>
          </w:p>
        </w:tc>
        <w:tc>
          <w:tcPr>
            <w:tcW w:w="986" w:type="pct"/>
            <w:tcBorders>
              <w:top w:val="single" w:color="auto" w:sz="12" w:space="0"/>
              <w:left w:val="nil"/>
              <w:bottom w:val="single" w:color="auto" w:sz="8" w:space="0"/>
              <w:right w:val="single" w:color="auto" w:sz="12" w:space="0"/>
            </w:tcBorders>
            <w:shd w:val="clear" w:color="auto" w:fill="auto"/>
            <w:noWrap/>
            <w:vAlign w:val="center"/>
          </w:tcPr>
          <w:p>
            <w:pPr>
              <w:widowControl/>
              <w:spacing w:line="240" w:lineRule="auto"/>
              <w:ind w:firstLine="0" w:firstLineChars="0"/>
              <w:jc w:val="center"/>
              <w:rPr>
                <w:rFonts w:ascii="宋体" w:hAnsi="宋体"/>
                <w:b/>
                <w:bCs/>
                <w:color w:val="auto"/>
                <w:kern w:val="0"/>
                <w:sz w:val="20"/>
                <w:szCs w:val="20"/>
                <w:highlight w:val="none"/>
              </w:rPr>
            </w:pPr>
            <w:r>
              <w:rPr>
                <w:rFonts w:hint="eastAsia" w:ascii="宋体" w:hAnsi="宋体"/>
                <w:b/>
                <w:bCs/>
                <w:color w:val="auto"/>
                <w:kern w:val="0"/>
                <w:sz w:val="20"/>
                <w:szCs w:val="20"/>
                <w:highlight w:val="none"/>
              </w:rPr>
              <w:t>投资（万元）</w:t>
            </w:r>
          </w:p>
        </w:tc>
      </w:tr>
      <w:tr>
        <w:tblPrEx>
          <w:tblCellMar>
            <w:top w:w="0" w:type="dxa"/>
            <w:left w:w="108" w:type="dxa"/>
            <w:bottom w:w="0" w:type="dxa"/>
            <w:right w:w="108" w:type="dxa"/>
          </w:tblCellMar>
        </w:tblPrEx>
        <w:trPr>
          <w:trHeight w:val="20" w:hRule="atLeast"/>
        </w:trPr>
        <w:tc>
          <w:tcPr>
            <w:tcW w:w="641" w:type="pct"/>
            <w:tcBorders>
              <w:top w:val="nil"/>
              <w:left w:val="single" w:color="auto" w:sz="12"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b/>
                <w:bCs/>
                <w:color w:val="auto"/>
                <w:kern w:val="0"/>
                <w:sz w:val="20"/>
                <w:szCs w:val="20"/>
                <w:highlight w:val="none"/>
              </w:rPr>
            </w:pPr>
            <w:r>
              <w:rPr>
                <w:rFonts w:hint="eastAsia" w:ascii="宋体" w:hAnsi="宋体"/>
                <w:b/>
                <w:bCs/>
                <w:color w:val="auto"/>
                <w:kern w:val="0"/>
                <w:sz w:val="20"/>
                <w:szCs w:val="20"/>
                <w:highlight w:val="none"/>
              </w:rPr>
              <w:t>一</w:t>
            </w:r>
          </w:p>
        </w:tc>
        <w:tc>
          <w:tcPr>
            <w:tcW w:w="130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b/>
                <w:bCs/>
                <w:color w:val="auto"/>
                <w:kern w:val="0"/>
                <w:sz w:val="20"/>
                <w:szCs w:val="20"/>
                <w:highlight w:val="none"/>
              </w:rPr>
            </w:pPr>
            <w:r>
              <w:rPr>
                <w:rFonts w:hint="eastAsia" w:ascii="宋体" w:hAnsi="宋体"/>
                <w:b/>
                <w:bCs/>
                <w:color w:val="auto"/>
                <w:kern w:val="0"/>
                <w:sz w:val="20"/>
                <w:szCs w:val="20"/>
                <w:highlight w:val="none"/>
              </w:rPr>
              <w:t>第一部分：环境监测措施</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b/>
                <w:bCs/>
                <w:color w:val="auto"/>
                <w:kern w:val="0"/>
                <w:sz w:val="20"/>
                <w:szCs w:val="20"/>
                <w:highlight w:val="none"/>
              </w:rPr>
            </w:pPr>
            <w:r>
              <w:rPr>
                <w:rFonts w:hint="eastAsia" w:ascii="宋体" w:hAnsi="宋体"/>
                <w:b/>
                <w:bCs/>
                <w:color w:val="auto"/>
                <w:kern w:val="0"/>
                <w:sz w:val="20"/>
                <w:szCs w:val="20"/>
                <w:highlight w:val="none"/>
              </w:rPr>
              <w:t>　</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b/>
                <w:bCs/>
                <w:color w:val="auto"/>
                <w:kern w:val="0"/>
                <w:sz w:val="20"/>
                <w:szCs w:val="20"/>
                <w:highlight w:val="none"/>
              </w:rPr>
            </w:pPr>
            <w:r>
              <w:rPr>
                <w:rFonts w:hint="eastAsia" w:ascii="宋体" w:hAnsi="宋体"/>
                <w:b/>
                <w:bCs/>
                <w:color w:val="auto"/>
                <w:kern w:val="0"/>
                <w:sz w:val="20"/>
                <w:szCs w:val="20"/>
                <w:highlight w:val="none"/>
              </w:rPr>
              <w:t>　</w:t>
            </w:r>
          </w:p>
        </w:tc>
        <w:tc>
          <w:tcPr>
            <w:tcW w:w="78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b/>
                <w:bCs/>
                <w:color w:val="auto"/>
                <w:kern w:val="0"/>
                <w:sz w:val="20"/>
                <w:szCs w:val="20"/>
                <w:highlight w:val="none"/>
              </w:rPr>
            </w:pPr>
            <w:r>
              <w:rPr>
                <w:rFonts w:hint="eastAsia" w:ascii="宋体" w:hAnsi="宋体"/>
                <w:b/>
                <w:bCs/>
                <w:color w:val="auto"/>
                <w:kern w:val="0"/>
                <w:sz w:val="20"/>
                <w:szCs w:val="20"/>
                <w:highlight w:val="none"/>
              </w:rPr>
              <w:t>　</w:t>
            </w:r>
          </w:p>
        </w:tc>
        <w:tc>
          <w:tcPr>
            <w:tcW w:w="986" w:type="pct"/>
            <w:tcBorders>
              <w:top w:val="nil"/>
              <w:left w:val="nil"/>
              <w:bottom w:val="single" w:color="auto" w:sz="8" w:space="0"/>
              <w:right w:val="single" w:color="auto" w:sz="12" w:space="0"/>
            </w:tcBorders>
            <w:shd w:val="clear" w:color="auto" w:fill="auto"/>
            <w:noWrap/>
            <w:vAlign w:val="center"/>
          </w:tcPr>
          <w:p>
            <w:pPr>
              <w:widowControl/>
              <w:spacing w:line="240" w:lineRule="auto"/>
              <w:ind w:firstLine="0" w:firstLineChars="0"/>
              <w:jc w:val="center"/>
              <w:rPr>
                <w:rFonts w:eastAsia="等线" w:cs="Times New Roman"/>
                <w:b/>
                <w:bCs/>
                <w:color w:val="auto"/>
                <w:kern w:val="0"/>
                <w:sz w:val="20"/>
                <w:szCs w:val="20"/>
                <w:highlight w:val="none"/>
              </w:rPr>
            </w:pPr>
            <w:r>
              <w:rPr>
                <w:rFonts w:eastAsia="等线" w:cs="Times New Roman"/>
                <w:b/>
                <w:bCs/>
                <w:color w:val="auto"/>
                <w:kern w:val="0"/>
                <w:sz w:val="20"/>
                <w:szCs w:val="20"/>
                <w:highlight w:val="none"/>
              </w:rPr>
              <w:t xml:space="preserve">36.34 </w:t>
            </w:r>
          </w:p>
        </w:tc>
      </w:tr>
      <w:tr>
        <w:tblPrEx>
          <w:tblCellMar>
            <w:top w:w="0" w:type="dxa"/>
            <w:left w:w="108" w:type="dxa"/>
            <w:bottom w:w="0" w:type="dxa"/>
            <w:right w:w="108" w:type="dxa"/>
          </w:tblCellMar>
        </w:tblPrEx>
        <w:trPr>
          <w:trHeight w:val="20" w:hRule="atLeast"/>
        </w:trPr>
        <w:tc>
          <w:tcPr>
            <w:tcW w:w="641" w:type="pct"/>
            <w:tcBorders>
              <w:top w:val="nil"/>
              <w:left w:val="single" w:color="auto" w:sz="12"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1</w:t>
            </w:r>
          </w:p>
        </w:tc>
        <w:tc>
          <w:tcPr>
            <w:tcW w:w="130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施工期水质监测</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78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986" w:type="pct"/>
            <w:tcBorders>
              <w:top w:val="nil"/>
              <w:left w:val="nil"/>
              <w:bottom w:val="single" w:color="auto" w:sz="8" w:space="0"/>
              <w:right w:val="single" w:color="auto" w:sz="12"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21.44 </w:t>
            </w:r>
          </w:p>
        </w:tc>
      </w:tr>
      <w:tr>
        <w:tblPrEx>
          <w:tblCellMar>
            <w:top w:w="0" w:type="dxa"/>
            <w:left w:w="108" w:type="dxa"/>
            <w:bottom w:w="0" w:type="dxa"/>
            <w:right w:w="108" w:type="dxa"/>
          </w:tblCellMar>
        </w:tblPrEx>
        <w:trPr>
          <w:trHeight w:val="20" w:hRule="atLeast"/>
        </w:trPr>
        <w:tc>
          <w:tcPr>
            <w:tcW w:w="641" w:type="pct"/>
            <w:tcBorders>
              <w:top w:val="nil"/>
              <w:left w:val="single" w:color="auto" w:sz="12"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-1</w:t>
            </w:r>
          </w:p>
        </w:tc>
        <w:tc>
          <w:tcPr>
            <w:tcW w:w="130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施工用水水质监测</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点</w:t>
            </w:r>
            <w:r>
              <w:rPr>
                <w:rFonts w:cs="Times New Roman"/>
                <w:color w:val="auto"/>
                <w:kern w:val="0"/>
                <w:sz w:val="20"/>
                <w:szCs w:val="20"/>
                <w:highlight w:val="none"/>
              </w:rPr>
              <w:t>∙</w:t>
            </w:r>
            <w:r>
              <w:rPr>
                <w:rFonts w:hint="eastAsia" w:ascii="宋体" w:hAnsi="宋体"/>
                <w:color w:val="auto"/>
                <w:kern w:val="0"/>
                <w:sz w:val="20"/>
                <w:szCs w:val="20"/>
                <w:highlight w:val="none"/>
              </w:rPr>
              <w:t>次</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48</w:t>
            </w:r>
          </w:p>
        </w:tc>
        <w:tc>
          <w:tcPr>
            <w:tcW w:w="78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1000</w:t>
            </w:r>
          </w:p>
        </w:tc>
        <w:tc>
          <w:tcPr>
            <w:tcW w:w="986" w:type="pct"/>
            <w:tcBorders>
              <w:top w:val="nil"/>
              <w:left w:val="nil"/>
              <w:bottom w:val="single" w:color="auto" w:sz="8" w:space="0"/>
              <w:right w:val="single" w:color="auto" w:sz="12"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4.80 </w:t>
            </w:r>
          </w:p>
        </w:tc>
      </w:tr>
      <w:tr>
        <w:tblPrEx>
          <w:tblCellMar>
            <w:top w:w="0" w:type="dxa"/>
            <w:left w:w="108" w:type="dxa"/>
            <w:bottom w:w="0" w:type="dxa"/>
            <w:right w:w="108" w:type="dxa"/>
          </w:tblCellMar>
        </w:tblPrEx>
        <w:trPr>
          <w:trHeight w:val="20" w:hRule="atLeast"/>
        </w:trPr>
        <w:tc>
          <w:tcPr>
            <w:tcW w:w="641" w:type="pct"/>
            <w:tcBorders>
              <w:top w:val="nil"/>
              <w:left w:val="single" w:color="auto" w:sz="12"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-2</w:t>
            </w:r>
          </w:p>
        </w:tc>
        <w:tc>
          <w:tcPr>
            <w:tcW w:w="130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施工排水水质监测</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点</w:t>
            </w:r>
            <w:r>
              <w:rPr>
                <w:rFonts w:cs="Times New Roman"/>
                <w:color w:val="auto"/>
                <w:kern w:val="0"/>
                <w:sz w:val="20"/>
                <w:szCs w:val="20"/>
                <w:highlight w:val="none"/>
              </w:rPr>
              <w:t>∙</w:t>
            </w:r>
            <w:r>
              <w:rPr>
                <w:rFonts w:hint="eastAsia" w:ascii="宋体" w:hAnsi="宋体"/>
                <w:color w:val="auto"/>
                <w:kern w:val="0"/>
                <w:sz w:val="20"/>
                <w:szCs w:val="20"/>
                <w:highlight w:val="none"/>
              </w:rPr>
              <w:t>次</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80</w:t>
            </w:r>
          </w:p>
        </w:tc>
        <w:tc>
          <w:tcPr>
            <w:tcW w:w="78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1000</w:t>
            </w:r>
          </w:p>
        </w:tc>
        <w:tc>
          <w:tcPr>
            <w:tcW w:w="986" w:type="pct"/>
            <w:tcBorders>
              <w:top w:val="nil"/>
              <w:left w:val="nil"/>
              <w:bottom w:val="single" w:color="auto" w:sz="8" w:space="0"/>
              <w:right w:val="single" w:color="auto" w:sz="12"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8.00 </w:t>
            </w:r>
          </w:p>
        </w:tc>
      </w:tr>
      <w:tr>
        <w:tblPrEx>
          <w:tblCellMar>
            <w:top w:w="0" w:type="dxa"/>
            <w:left w:w="108" w:type="dxa"/>
            <w:bottom w:w="0" w:type="dxa"/>
            <w:right w:w="108" w:type="dxa"/>
          </w:tblCellMar>
        </w:tblPrEx>
        <w:trPr>
          <w:trHeight w:val="20" w:hRule="atLeast"/>
        </w:trPr>
        <w:tc>
          <w:tcPr>
            <w:tcW w:w="641" w:type="pct"/>
            <w:tcBorders>
              <w:top w:val="nil"/>
              <w:left w:val="single" w:color="auto" w:sz="12"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-3</w:t>
            </w:r>
          </w:p>
        </w:tc>
        <w:tc>
          <w:tcPr>
            <w:tcW w:w="130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生活污水水质监测</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点</w:t>
            </w:r>
            <w:r>
              <w:rPr>
                <w:rFonts w:cs="Times New Roman"/>
                <w:color w:val="auto"/>
                <w:kern w:val="0"/>
                <w:sz w:val="20"/>
                <w:szCs w:val="20"/>
                <w:highlight w:val="none"/>
              </w:rPr>
              <w:t>∙</w:t>
            </w:r>
            <w:r>
              <w:rPr>
                <w:rFonts w:hint="eastAsia" w:ascii="宋体" w:hAnsi="宋体"/>
                <w:color w:val="auto"/>
                <w:kern w:val="0"/>
                <w:sz w:val="20"/>
                <w:szCs w:val="20"/>
                <w:highlight w:val="none"/>
              </w:rPr>
              <w:t>次</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57.6</w:t>
            </w:r>
          </w:p>
        </w:tc>
        <w:tc>
          <w:tcPr>
            <w:tcW w:w="78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1500</w:t>
            </w:r>
          </w:p>
        </w:tc>
        <w:tc>
          <w:tcPr>
            <w:tcW w:w="986" w:type="pct"/>
            <w:tcBorders>
              <w:top w:val="nil"/>
              <w:left w:val="nil"/>
              <w:bottom w:val="single" w:color="auto" w:sz="8" w:space="0"/>
              <w:right w:val="single" w:color="auto" w:sz="12"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8.64 </w:t>
            </w:r>
          </w:p>
        </w:tc>
      </w:tr>
      <w:tr>
        <w:tblPrEx>
          <w:tblCellMar>
            <w:top w:w="0" w:type="dxa"/>
            <w:left w:w="108" w:type="dxa"/>
            <w:bottom w:w="0" w:type="dxa"/>
            <w:right w:w="108" w:type="dxa"/>
          </w:tblCellMar>
        </w:tblPrEx>
        <w:trPr>
          <w:trHeight w:val="20" w:hRule="atLeast"/>
        </w:trPr>
        <w:tc>
          <w:tcPr>
            <w:tcW w:w="641" w:type="pct"/>
            <w:tcBorders>
              <w:top w:val="nil"/>
              <w:left w:val="single" w:color="auto" w:sz="12"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2</w:t>
            </w:r>
          </w:p>
        </w:tc>
        <w:tc>
          <w:tcPr>
            <w:tcW w:w="130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大气质量监测</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点</w:t>
            </w:r>
            <w:r>
              <w:rPr>
                <w:rFonts w:cs="Times New Roman"/>
                <w:color w:val="auto"/>
                <w:kern w:val="0"/>
                <w:sz w:val="20"/>
                <w:szCs w:val="20"/>
                <w:highlight w:val="none"/>
              </w:rPr>
              <w:t>∙</w:t>
            </w:r>
            <w:r>
              <w:rPr>
                <w:rFonts w:hint="eastAsia" w:ascii="宋体" w:hAnsi="宋体"/>
                <w:color w:val="auto"/>
                <w:kern w:val="0"/>
                <w:sz w:val="20"/>
                <w:szCs w:val="20"/>
                <w:highlight w:val="none"/>
              </w:rPr>
              <w:t>次</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64.8</w:t>
            </w:r>
          </w:p>
        </w:tc>
        <w:tc>
          <w:tcPr>
            <w:tcW w:w="78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1500</w:t>
            </w:r>
          </w:p>
        </w:tc>
        <w:tc>
          <w:tcPr>
            <w:tcW w:w="986" w:type="pct"/>
            <w:tcBorders>
              <w:top w:val="nil"/>
              <w:left w:val="nil"/>
              <w:bottom w:val="single" w:color="auto" w:sz="8" w:space="0"/>
              <w:right w:val="single" w:color="auto" w:sz="12"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9.72 </w:t>
            </w:r>
          </w:p>
        </w:tc>
      </w:tr>
      <w:tr>
        <w:tblPrEx>
          <w:tblCellMar>
            <w:top w:w="0" w:type="dxa"/>
            <w:left w:w="108" w:type="dxa"/>
            <w:bottom w:w="0" w:type="dxa"/>
            <w:right w:w="108" w:type="dxa"/>
          </w:tblCellMar>
        </w:tblPrEx>
        <w:trPr>
          <w:trHeight w:val="20" w:hRule="atLeast"/>
        </w:trPr>
        <w:tc>
          <w:tcPr>
            <w:tcW w:w="641" w:type="pct"/>
            <w:tcBorders>
              <w:top w:val="nil"/>
              <w:left w:val="single" w:color="auto" w:sz="12"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3</w:t>
            </w:r>
          </w:p>
        </w:tc>
        <w:tc>
          <w:tcPr>
            <w:tcW w:w="130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噪声监测</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点</w:t>
            </w:r>
            <w:r>
              <w:rPr>
                <w:rFonts w:cs="Times New Roman"/>
                <w:color w:val="auto"/>
                <w:kern w:val="0"/>
                <w:sz w:val="20"/>
                <w:szCs w:val="20"/>
                <w:highlight w:val="none"/>
              </w:rPr>
              <w:t>∙</w:t>
            </w:r>
            <w:r>
              <w:rPr>
                <w:rFonts w:hint="eastAsia" w:ascii="宋体" w:hAnsi="宋体"/>
                <w:color w:val="auto"/>
                <w:kern w:val="0"/>
                <w:sz w:val="20"/>
                <w:szCs w:val="20"/>
                <w:highlight w:val="none"/>
              </w:rPr>
              <w:t>次</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64.8</w:t>
            </w:r>
          </w:p>
        </w:tc>
        <w:tc>
          <w:tcPr>
            <w:tcW w:w="78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800</w:t>
            </w:r>
          </w:p>
        </w:tc>
        <w:tc>
          <w:tcPr>
            <w:tcW w:w="986" w:type="pct"/>
            <w:tcBorders>
              <w:top w:val="nil"/>
              <w:left w:val="nil"/>
              <w:bottom w:val="single" w:color="auto" w:sz="8" w:space="0"/>
              <w:right w:val="single" w:color="auto" w:sz="12"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5.18 </w:t>
            </w:r>
          </w:p>
        </w:tc>
      </w:tr>
      <w:tr>
        <w:tblPrEx>
          <w:tblCellMar>
            <w:top w:w="0" w:type="dxa"/>
            <w:left w:w="108" w:type="dxa"/>
            <w:bottom w:w="0" w:type="dxa"/>
            <w:right w:w="108" w:type="dxa"/>
          </w:tblCellMar>
        </w:tblPrEx>
        <w:trPr>
          <w:trHeight w:val="20" w:hRule="atLeast"/>
        </w:trPr>
        <w:tc>
          <w:tcPr>
            <w:tcW w:w="641" w:type="pct"/>
            <w:tcBorders>
              <w:top w:val="nil"/>
              <w:left w:val="single" w:color="auto" w:sz="12"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b/>
                <w:bCs/>
                <w:color w:val="auto"/>
                <w:kern w:val="0"/>
                <w:sz w:val="20"/>
                <w:szCs w:val="20"/>
                <w:highlight w:val="none"/>
              </w:rPr>
            </w:pPr>
            <w:r>
              <w:rPr>
                <w:rFonts w:hint="eastAsia" w:ascii="宋体" w:hAnsi="宋体"/>
                <w:b/>
                <w:bCs/>
                <w:color w:val="auto"/>
                <w:kern w:val="0"/>
                <w:sz w:val="20"/>
                <w:szCs w:val="20"/>
                <w:highlight w:val="none"/>
              </w:rPr>
              <w:t>二</w:t>
            </w:r>
          </w:p>
        </w:tc>
        <w:tc>
          <w:tcPr>
            <w:tcW w:w="130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b/>
                <w:bCs/>
                <w:color w:val="auto"/>
                <w:kern w:val="0"/>
                <w:sz w:val="20"/>
                <w:szCs w:val="20"/>
                <w:highlight w:val="none"/>
              </w:rPr>
            </w:pPr>
            <w:r>
              <w:rPr>
                <w:rFonts w:hint="eastAsia" w:ascii="宋体" w:hAnsi="宋体"/>
                <w:b/>
                <w:bCs/>
                <w:color w:val="auto"/>
                <w:kern w:val="0"/>
                <w:sz w:val="20"/>
                <w:szCs w:val="20"/>
                <w:highlight w:val="none"/>
              </w:rPr>
              <w:t>第二部分：环境保护临时措施</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b/>
                <w:bCs/>
                <w:color w:val="auto"/>
                <w:kern w:val="0"/>
                <w:sz w:val="20"/>
                <w:szCs w:val="20"/>
                <w:highlight w:val="none"/>
              </w:rPr>
            </w:pPr>
            <w:r>
              <w:rPr>
                <w:rFonts w:hint="eastAsia" w:ascii="宋体" w:hAnsi="宋体"/>
                <w:b/>
                <w:bCs/>
                <w:color w:val="auto"/>
                <w:kern w:val="0"/>
                <w:sz w:val="20"/>
                <w:szCs w:val="20"/>
                <w:highlight w:val="none"/>
              </w:rPr>
              <w:t>　</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b/>
                <w:bCs/>
                <w:color w:val="auto"/>
                <w:kern w:val="0"/>
                <w:sz w:val="20"/>
                <w:szCs w:val="20"/>
                <w:highlight w:val="none"/>
              </w:rPr>
            </w:pPr>
            <w:r>
              <w:rPr>
                <w:rFonts w:hint="eastAsia" w:ascii="宋体" w:hAnsi="宋体"/>
                <w:b/>
                <w:bCs/>
                <w:color w:val="auto"/>
                <w:kern w:val="0"/>
                <w:sz w:val="20"/>
                <w:szCs w:val="20"/>
                <w:highlight w:val="none"/>
              </w:rPr>
              <w:t>　</w:t>
            </w:r>
          </w:p>
        </w:tc>
        <w:tc>
          <w:tcPr>
            <w:tcW w:w="78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b/>
                <w:bCs/>
                <w:color w:val="auto"/>
                <w:kern w:val="0"/>
                <w:sz w:val="20"/>
                <w:szCs w:val="20"/>
                <w:highlight w:val="none"/>
              </w:rPr>
            </w:pPr>
            <w:r>
              <w:rPr>
                <w:rFonts w:hint="eastAsia" w:ascii="宋体" w:hAnsi="宋体"/>
                <w:b/>
                <w:bCs/>
                <w:color w:val="auto"/>
                <w:kern w:val="0"/>
                <w:sz w:val="20"/>
                <w:szCs w:val="20"/>
                <w:highlight w:val="none"/>
              </w:rPr>
              <w:t>　</w:t>
            </w:r>
          </w:p>
        </w:tc>
        <w:tc>
          <w:tcPr>
            <w:tcW w:w="986" w:type="pct"/>
            <w:tcBorders>
              <w:top w:val="nil"/>
              <w:left w:val="nil"/>
              <w:bottom w:val="single" w:color="auto" w:sz="8" w:space="0"/>
              <w:right w:val="single" w:color="auto" w:sz="12"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82.95 </w:t>
            </w:r>
          </w:p>
        </w:tc>
      </w:tr>
      <w:tr>
        <w:tblPrEx>
          <w:tblCellMar>
            <w:top w:w="0" w:type="dxa"/>
            <w:left w:w="108" w:type="dxa"/>
            <w:bottom w:w="0" w:type="dxa"/>
            <w:right w:w="108" w:type="dxa"/>
          </w:tblCellMar>
        </w:tblPrEx>
        <w:trPr>
          <w:trHeight w:val="20" w:hRule="atLeast"/>
        </w:trPr>
        <w:tc>
          <w:tcPr>
            <w:tcW w:w="641" w:type="pct"/>
            <w:tcBorders>
              <w:top w:val="nil"/>
              <w:left w:val="single" w:color="auto" w:sz="12"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1</w:t>
            </w:r>
          </w:p>
        </w:tc>
        <w:tc>
          <w:tcPr>
            <w:tcW w:w="130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生产污水处理</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78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986" w:type="pct"/>
            <w:tcBorders>
              <w:top w:val="nil"/>
              <w:left w:val="nil"/>
              <w:bottom w:val="single" w:color="auto" w:sz="8" w:space="0"/>
              <w:right w:val="single" w:color="auto" w:sz="12"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21.92 </w:t>
            </w:r>
          </w:p>
        </w:tc>
      </w:tr>
      <w:tr>
        <w:tblPrEx>
          <w:tblCellMar>
            <w:top w:w="0" w:type="dxa"/>
            <w:left w:w="108" w:type="dxa"/>
            <w:bottom w:w="0" w:type="dxa"/>
            <w:right w:w="108" w:type="dxa"/>
          </w:tblCellMar>
        </w:tblPrEx>
        <w:trPr>
          <w:trHeight w:val="20" w:hRule="atLeast"/>
        </w:trPr>
        <w:tc>
          <w:tcPr>
            <w:tcW w:w="641" w:type="pct"/>
            <w:tcBorders>
              <w:top w:val="nil"/>
              <w:left w:val="single" w:color="auto" w:sz="12"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-1</w:t>
            </w:r>
          </w:p>
        </w:tc>
        <w:tc>
          <w:tcPr>
            <w:tcW w:w="130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沉淀池建设</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个</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28</w:t>
            </w:r>
          </w:p>
        </w:tc>
        <w:tc>
          <w:tcPr>
            <w:tcW w:w="78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5000</w:t>
            </w:r>
          </w:p>
        </w:tc>
        <w:tc>
          <w:tcPr>
            <w:tcW w:w="986" w:type="pct"/>
            <w:tcBorders>
              <w:top w:val="nil"/>
              <w:left w:val="nil"/>
              <w:bottom w:val="single" w:color="auto" w:sz="8" w:space="0"/>
              <w:right w:val="single" w:color="auto" w:sz="12"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14.00 </w:t>
            </w:r>
          </w:p>
        </w:tc>
      </w:tr>
      <w:tr>
        <w:tblPrEx>
          <w:tblCellMar>
            <w:top w:w="0" w:type="dxa"/>
            <w:left w:w="108" w:type="dxa"/>
            <w:bottom w:w="0" w:type="dxa"/>
            <w:right w:w="108" w:type="dxa"/>
          </w:tblCellMar>
        </w:tblPrEx>
        <w:trPr>
          <w:trHeight w:val="20" w:hRule="atLeast"/>
        </w:trPr>
        <w:tc>
          <w:tcPr>
            <w:tcW w:w="641" w:type="pct"/>
            <w:tcBorders>
              <w:top w:val="nil"/>
              <w:left w:val="single" w:color="auto" w:sz="12"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-2</w:t>
            </w:r>
          </w:p>
        </w:tc>
        <w:tc>
          <w:tcPr>
            <w:tcW w:w="130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隔油沉淀池建设</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个</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13.2</w:t>
            </w:r>
          </w:p>
        </w:tc>
        <w:tc>
          <w:tcPr>
            <w:tcW w:w="78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6000</w:t>
            </w:r>
          </w:p>
        </w:tc>
        <w:tc>
          <w:tcPr>
            <w:tcW w:w="986" w:type="pct"/>
            <w:tcBorders>
              <w:top w:val="nil"/>
              <w:left w:val="nil"/>
              <w:bottom w:val="single" w:color="auto" w:sz="8" w:space="0"/>
              <w:right w:val="single" w:color="auto" w:sz="12"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7.92 </w:t>
            </w:r>
          </w:p>
        </w:tc>
      </w:tr>
      <w:tr>
        <w:tblPrEx>
          <w:tblCellMar>
            <w:top w:w="0" w:type="dxa"/>
            <w:left w:w="108" w:type="dxa"/>
            <w:bottom w:w="0" w:type="dxa"/>
            <w:right w:w="108" w:type="dxa"/>
          </w:tblCellMar>
        </w:tblPrEx>
        <w:trPr>
          <w:trHeight w:val="20" w:hRule="atLeast"/>
        </w:trPr>
        <w:tc>
          <w:tcPr>
            <w:tcW w:w="641" w:type="pct"/>
            <w:tcBorders>
              <w:top w:val="nil"/>
              <w:left w:val="single" w:color="auto" w:sz="12"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2</w:t>
            </w:r>
          </w:p>
        </w:tc>
        <w:tc>
          <w:tcPr>
            <w:tcW w:w="130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生活污水处理</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78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986" w:type="pct"/>
            <w:tcBorders>
              <w:top w:val="nil"/>
              <w:left w:val="nil"/>
              <w:bottom w:val="single" w:color="auto" w:sz="8" w:space="0"/>
              <w:right w:val="single" w:color="auto" w:sz="12"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11.68 </w:t>
            </w:r>
          </w:p>
        </w:tc>
      </w:tr>
      <w:tr>
        <w:tblPrEx>
          <w:tblCellMar>
            <w:top w:w="0" w:type="dxa"/>
            <w:left w:w="108" w:type="dxa"/>
            <w:bottom w:w="0" w:type="dxa"/>
            <w:right w:w="108" w:type="dxa"/>
          </w:tblCellMar>
        </w:tblPrEx>
        <w:trPr>
          <w:trHeight w:val="20" w:hRule="atLeast"/>
        </w:trPr>
        <w:tc>
          <w:tcPr>
            <w:tcW w:w="641" w:type="pct"/>
            <w:tcBorders>
              <w:top w:val="nil"/>
              <w:left w:val="single" w:color="auto" w:sz="12"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-1</w:t>
            </w:r>
          </w:p>
        </w:tc>
        <w:tc>
          <w:tcPr>
            <w:tcW w:w="130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环保厕所</w:t>
            </w:r>
            <w:r>
              <w:rPr>
                <w:rFonts w:cs="Times New Roman"/>
                <w:color w:val="auto"/>
                <w:kern w:val="0"/>
                <w:sz w:val="20"/>
                <w:szCs w:val="20"/>
                <w:highlight w:val="none"/>
              </w:rPr>
              <w:t xml:space="preserve"> </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处</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29.2</w:t>
            </w:r>
          </w:p>
        </w:tc>
        <w:tc>
          <w:tcPr>
            <w:tcW w:w="78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4000</w:t>
            </w:r>
          </w:p>
        </w:tc>
        <w:tc>
          <w:tcPr>
            <w:tcW w:w="986" w:type="pct"/>
            <w:tcBorders>
              <w:top w:val="nil"/>
              <w:left w:val="nil"/>
              <w:bottom w:val="single" w:color="auto" w:sz="8" w:space="0"/>
              <w:right w:val="single" w:color="auto" w:sz="12"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11.68 </w:t>
            </w:r>
          </w:p>
        </w:tc>
      </w:tr>
      <w:tr>
        <w:tblPrEx>
          <w:tblCellMar>
            <w:top w:w="0" w:type="dxa"/>
            <w:left w:w="108" w:type="dxa"/>
            <w:bottom w:w="0" w:type="dxa"/>
            <w:right w:w="108" w:type="dxa"/>
          </w:tblCellMar>
        </w:tblPrEx>
        <w:trPr>
          <w:trHeight w:val="20" w:hRule="atLeast"/>
        </w:trPr>
        <w:tc>
          <w:tcPr>
            <w:tcW w:w="641" w:type="pct"/>
            <w:tcBorders>
              <w:top w:val="nil"/>
              <w:left w:val="single" w:color="auto" w:sz="12"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3</w:t>
            </w:r>
          </w:p>
        </w:tc>
        <w:tc>
          <w:tcPr>
            <w:tcW w:w="130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环境空气质量保护</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78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986" w:type="pct"/>
            <w:tcBorders>
              <w:top w:val="nil"/>
              <w:left w:val="nil"/>
              <w:bottom w:val="single" w:color="auto" w:sz="8" w:space="0"/>
              <w:right w:val="single" w:color="auto" w:sz="12"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8.40 </w:t>
            </w:r>
          </w:p>
        </w:tc>
      </w:tr>
      <w:tr>
        <w:tblPrEx>
          <w:tblCellMar>
            <w:top w:w="0" w:type="dxa"/>
            <w:left w:w="108" w:type="dxa"/>
            <w:bottom w:w="0" w:type="dxa"/>
            <w:right w:w="108" w:type="dxa"/>
          </w:tblCellMar>
        </w:tblPrEx>
        <w:trPr>
          <w:trHeight w:val="20" w:hRule="atLeast"/>
        </w:trPr>
        <w:tc>
          <w:tcPr>
            <w:tcW w:w="641" w:type="pct"/>
            <w:tcBorders>
              <w:top w:val="nil"/>
              <w:left w:val="single" w:color="auto" w:sz="12"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-1</w:t>
            </w:r>
          </w:p>
        </w:tc>
        <w:tc>
          <w:tcPr>
            <w:tcW w:w="130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洒水降尘费</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台时</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1050</w:t>
            </w:r>
          </w:p>
        </w:tc>
        <w:tc>
          <w:tcPr>
            <w:tcW w:w="78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80</w:t>
            </w:r>
          </w:p>
        </w:tc>
        <w:tc>
          <w:tcPr>
            <w:tcW w:w="986" w:type="pct"/>
            <w:tcBorders>
              <w:top w:val="nil"/>
              <w:left w:val="nil"/>
              <w:bottom w:val="single" w:color="auto" w:sz="8" w:space="0"/>
              <w:right w:val="single" w:color="auto" w:sz="12"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8.40 </w:t>
            </w:r>
          </w:p>
        </w:tc>
      </w:tr>
      <w:tr>
        <w:tblPrEx>
          <w:tblCellMar>
            <w:top w:w="0" w:type="dxa"/>
            <w:left w:w="108" w:type="dxa"/>
            <w:bottom w:w="0" w:type="dxa"/>
            <w:right w:w="108" w:type="dxa"/>
          </w:tblCellMar>
        </w:tblPrEx>
        <w:trPr>
          <w:trHeight w:val="20" w:hRule="atLeast"/>
        </w:trPr>
        <w:tc>
          <w:tcPr>
            <w:tcW w:w="641" w:type="pct"/>
            <w:tcBorders>
              <w:top w:val="nil"/>
              <w:left w:val="single" w:color="auto" w:sz="12"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4</w:t>
            </w:r>
          </w:p>
        </w:tc>
        <w:tc>
          <w:tcPr>
            <w:tcW w:w="130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固体废弃物处理</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78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986" w:type="pct"/>
            <w:tcBorders>
              <w:top w:val="nil"/>
              <w:left w:val="nil"/>
              <w:bottom w:val="single" w:color="auto" w:sz="8" w:space="0"/>
              <w:right w:val="single" w:color="auto" w:sz="12"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6.19 </w:t>
            </w:r>
          </w:p>
        </w:tc>
      </w:tr>
      <w:tr>
        <w:tblPrEx>
          <w:tblCellMar>
            <w:top w:w="0" w:type="dxa"/>
            <w:left w:w="108" w:type="dxa"/>
            <w:bottom w:w="0" w:type="dxa"/>
            <w:right w:w="108" w:type="dxa"/>
          </w:tblCellMar>
        </w:tblPrEx>
        <w:trPr>
          <w:trHeight w:val="20" w:hRule="atLeast"/>
        </w:trPr>
        <w:tc>
          <w:tcPr>
            <w:tcW w:w="641" w:type="pct"/>
            <w:tcBorders>
              <w:top w:val="nil"/>
              <w:left w:val="single" w:color="auto" w:sz="12"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-1</w:t>
            </w:r>
          </w:p>
        </w:tc>
        <w:tc>
          <w:tcPr>
            <w:tcW w:w="130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垃圾箱</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个</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29.2</w:t>
            </w:r>
          </w:p>
        </w:tc>
        <w:tc>
          <w:tcPr>
            <w:tcW w:w="78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300</w:t>
            </w:r>
          </w:p>
        </w:tc>
        <w:tc>
          <w:tcPr>
            <w:tcW w:w="986" w:type="pct"/>
            <w:tcBorders>
              <w:top w:val="nil"/>
              <w:left w:val="nil"/>
              <w:bottom w:val="single" w:color="auto" w:sz="8" w:space="0"/>
              <w:right w:val="single" w:color="auto" w:sz="12"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0.88 </w:t>
            </w:r>
          </w:p>
        </w:tc>
      </w:tr>
      <w:tr>
        <w:tblPrEx>
          <w:tblCellMar>
            <w:top w:w="0" w:type="dxa"/>
            <w:left w:w="108" w:type="dxa"/>
            <w:bottom w:w="0" w:type="dxa"/>
            <w:right w:w="108" w:type="dxa"/>
          </w:tblCellMar>
        </w:tblPrEx>
        <w:trPr>
          <w:trHeight w:val="20" w:hRule="atLeast"/>
        </w:trPr>
        <w:tc>
          <w:tcPr>
            <w:tcW w:w="641" w:type="pct"/>
            <w:tcBorders>
              <w:top w:val="nil"/>
              <w:left w:val="single" w:color="auto" w:sz="12"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-2</w:t>
            </w:r>
          </w:p>
        </w:tc>
        <w:tc>
          <w:tcPr>
            <w:tcW w:w="130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生活垃圾处置</w:t>
            </w:r>
            <w:r>
              <w:rPr>
                <w:rFonts w:cs="Times New Roman"/>
                <w:color w:val="auto"/>
                <w:kern w:val="0"/>
                <w:sz w:val="20"/>
                <w:szCs w:val="20"/>
                <w:highlight w:val="none"/>
              </w:rPr>
              <w:t xml:space="preserve"> </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t</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326</w:t>
            </w:r>
          </w:p>
        </w:tc>
        <w:tc>
          <w:tcPr>
            <w:tcW w:w="78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80</w:t>
            </w:r>
          </w:p>
        </w:tc>
        <w:tc>
          <w:tcPr>
            <w:tcW w:w="986" w:type="pct"/>
            <w:tcBorders>
              <w:top w:val="nil"/>
              <w:left w:val="nil"/>
              <w:bottom w:val="single" w:color="auto" w:sz="8" w:space="0"/>
              <w:right w:val="single" w:color="auto" w:sz="12"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2.61 </w:t>
            </w:r>
          </w:p>
        </w:tc>
      </w:tr>
      <w:tr>
        <w:tblPrEx>
          <w:tblCellMar>
            <w:top w:w="0" w:type="dxa"/>
            <w:left w:w="108" w:type="dxa"/>
            <w:bottom w:w="0" w:type="dxa"/>
            <w:right w:w="108" w:type="dxa"/>
          </w:tblCellMar>
        </w:tblPrEx>
        <w:trPr>
          <w:trHeight w:val="20" w:hRule="atLeast"/>
        </w:trPr>
        <w:tc>
          <w:tcPr>
            <w:tcW w:w="641" w:type="pct"/>
            <w:tcBorders>
              <w:top w:val="nil"/>
              <w:left w:val="single" w:color="auto" w:sz="12"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-3</w:t>
            </w:r>
          </w:p>
        </w:tc>
        <w:tc>
          <w:tcPr>
            <w:tcW w:w="130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建设垃圾处置</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t</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541.2</w:t>
            </w:r>
          </w:p>
        </w:tc>
        <w:tc>
          <w:tcPr>
            <w:tcW w:w="78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50</w:t>
            </w:r>
          </w:p>
        </w:tc>
        <w:tc>
          <w:tcPr>
            <w:tcW w:w="986" w:type="pct"/>
            <w:tcBorders>
              <w:top w:val="nil"/>
              <w:left w:val="nil"/>
              <w:bottom w:val="single" w:color="auto" w:sz="8" w:space="0"/>
              <w:right w:val="single" w:color="auto" w:sz="12"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2.71 </w:t>
            </w:r>
          </w:p>
        </w:tc>
      </w:tr>
      <w:tr>
        <w:tblPrEx>
          <w:tblCellMar>
            <w:top w:w="0" w:type="dxa"/>
            <w:left w:w="108" w:type="dxa"/>
            <w:bottom w:w="0" w:type="dxa"/>
            <w:right w:w="108" w:type="dxa"/>
          </w:tblCellMar>
        </w:tblPrEx>
        <w:trPr>
          <w:trHeight w:val="20" w:hRule="atLeast"/>
        </w:trPr>
        <w:tc>
          <w:tcPr>
            <w:tcW w:w="641" w:type="pct"/>
            <w:tcBorders>
              <w:top w:val="nil"/>
              <w:left w:val="single" w:color="auto" w:sz="12"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5</w:t>
            </w:r>
          </w:p>
        </w:tc>
        <w:tc>
          <w:tcPr>
            <w:tcW w:w="130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人群健康保护</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78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986" w:type="pct"/>
            <w:tcBorders>
              <w:top w:val="nil"/>
              <w:left w:val="nil"/>
              <w:bottom w:val="single" w:color="auto" w:sz="8" w:space="0"/>
              <w:right w:val="single" w:color="auto" w:sz="12"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27.52 </w:t>
            </w:r>
          </w:p>
        </w:tc>
      </w:tr>
      <w:tr>
        <w:tblPrEx>
          <w:tblCellMar>
            <w:top w:w="0" w:type="dxa"/>
            <w:left w:w="108" w:type="dxa"/>
            <w:bottom w:w="0" w:type="dxa"/>
            <w:right w:w="108" w:type="dxa"/>
          </w:tblCellMar>
        </w:tblPrEx>
        <w:trPr>
          <w:trHeight w:val="20" w:hRule="atLeast"/>
        </w:trPr>
        <w:tc>
          <w:tcPr>
            <w:tcW w:w="641" w:type="pct"/>
            <w:tcBorders>
              <w:top w:val="nil"/>
              <w:left w:val="single" w:color="auto" w:sz="12"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-1</w:t>
            </w:r>
          </w:p>
        </w:tc>
        <w:tc>
          <w:tcPr>
            <w:tcW w:w="130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炊事人员健康监测</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人</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31.2</w:t>
            </w:r>
          </w:p>
        </w:tc>
        <w:tc>
          <w:tcPr>
            <w:tcW w:w="78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1000</w:t>
            </w:r>
          </w:p>
        </w:tc>
        <w:tc>
          <w:tcPr>
            <w:tcW w:w="986" w:type="pct"/>
            <w:tcBorders>
              <w:top w:val="nil"/>
              <w:left w:val="nil"/>
              <w:bottom w:val="single" w:color="auto" w:sz="8" w:space="0"/>
              <w:right w:val="single" w:color="auto" w:sz="12"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3.12 </w:t>
            </w:r>
          </w:p>
        </w:tc>
      </w:tr>
      <w:tr>
        <w:tblPrEx>
          <w:tblCellMar>
            <w:top w:w="0" w:type="dxa"/>
            <w:left w:w="108" w:type="dxa"/>
            <w:bottom w:w="0" w:type="dxa"/>
            <w:right w:w="108" w:type="dxa"/>
          </w:tblCellMar>
        </w:tblPrEx>
        <w:trPr>
          <w:trHeight w:val="20" w:hRule="atLeast"/>
        </w:trPr>
        <w:tc>
          <w:tcPr>
            <w:tcW w:w="641" w:type="pct"/>
            <w:tcBorders>
              <w:top w:val="nil"/>
              <w:left w:val="single" w:color="auto" w:sz="12"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-2</w:t>
            </w:r>
          </w:p>
        </w:tc>
        <w:tc>
          <w:tcPr>
            <w:tcW w:w="130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药品、场地消毒、卫生防疫</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年</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2.8</w:t>
            </w:r>
          </w:p>
        </w:tc>
        <w:tc>
          <w:tcPr>
            <w:tcW w:w="78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10000</w:t>
            </w:r>
          </w:p>
        </w:tc>
        <w:tc>
          <w:tcPr>
            <w:tcW w:w="986" w:type="pct"/>
            <w:tcBorders>
              <w:top w:val="nil"/>
              <w:left w:val="nil"/>
              <w:bottom w:val="single" w:color="auto" w:sz="8" w:space="0"/>
              <w:right w:val="single" w:color="auto" w:sz="12"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2.80 </w:t>
            </w:r>
          </w:p>
        </w:tc>
      </w:tr>
      <w:tr>
        <w:tblPrEx>
          <w:tblCellMar>
            <w:top w:w="0" w:type="dxa"/>
            <w:left w:w="108" w:type="dxa"/>
            <w:bottom w:w="0" w:type="dxa"/>
            <w:right w:w="108" w:type="dxa"/>
          </w:tblCellMar>
        </w:tblPrEx>
        <w:trPr>
          <w:trHeight w:val="20" w:hRule="atLeast"/>
        </w:trPr>
        <w:tc>
          <w:tcPr>
            <w:tcW w:w="641" w:type="pct"/>
            <w:tcBorders>
              <w:top w:val="nil"/>
              <w:left w:val="single" w:color="auto" w:sz="12"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-3</w:t>
            </w:r>
          </w:p>
        </w:tc>
        <w:tc>
          <w:tcPr>
            <w:tcW w:w="130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施工区一次性清理和消毒</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项</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21.6</w:t>
            </w:r>
          </w:p>
        </w:tc>
        <w:tc>
          <w:tcPr>
            <w:tcW w:w="78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10000</w:t>
            </w:r>
          </w:p>
        </w:tc>
        <w:tc>
          <w:tcPr>
            <w:tcW w:w="986" w:type="pct"/>
            <w:tcBorders>
              <w:top w:val="nil"/>
              <w:left w:val="nil"/>
              <w:bottom w:val="single" w:color="auto" w:sz="8" w:space="0"/>
              <w:right w:val="single" w:color="auto" w:sz="12"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21.60 </w:t>
            </w:r>
          </w:p>
        </w:tc>
      </w:tr>
      <w:tr>
        <w:tblPrEx>
          <w:tblCellMar>
            <w:top w:w="0" w:type="dxa"/>
            <w:left w:w="108" w:type="dxa"/>
            <w:bottom w:w="0" w:type="dxa"/>
            <w:right w:w="108" w:type="dxa"/>
          </w:tblCellMar>
        </w:tblPrEx>
        <w:trPr>
          <w:trHeight w:val="20" w:hRule="atLeast"/>
        </w:trPr>
        <w:tc>
          <w:tcPr>
            <w:tcW w:w="641" w:type="pct"/>
            <w:tcBorders>
              <w:top w:val="nil"/>
              <w:left w:val="single" w:color="auto" w:sz="12"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6</w:t>
            </w:r>
          </w:p>
        </w:tc>
        <w:tc>
          <w:tcPr>
            <w:tcW w:w="130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交通指示牌</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个</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144.8</w:t>
            </w:r>
          </w:p>
        </w:tc>
        <w:tc>
          <w:tcPr>
            <w:tcW w:w="78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500</w:t>
            </w:r>
          </w:p>
        </w:tc>
        <w:tc>
          <w:tcPr>
            <w:tcW w:w="986" w:type="pct"/>
            <w:tcBorders>
              <w:top w:val="nil"/>
              <w:left w:val="nil"/>
              <w:bottom w:val="single" w:color="auto" w:sz="8" w:space="0"/>
              <w:right w:val="single" w:color="auto" w:sz="12"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7.24 </w:t>
            </w:r>
          </w:p>
        </w:tc>
      </w:tr>
      <w:tr>
        <w:tblPrEx>
          <w:tblCellMar>
            <w:top w:w="0" w:type="dxa"/>
            <w:left w:w="108" w:type="dxa"/>
            <w:bottom w:w="0" w:type="dxa"/>
            <w:right w:w="108" w:type="dxa"/>
          </w:tblCellMar>
        </w:tblPrEx>
        <w:trPr>
          <w:trHeight w:val="20" w:hRule="atLeast"/>
        </w:trPr>
        <w:tc>
          <w:tcPr>
            <w:tcW w:w="641" w:type="pct"/>
            <w:tcBorders>
              <w:top w:val="nil"/>
              <w:left w:val="single" w:color="auto" w:sz="12"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b/>
                <w:bCs/>
                <w:color w:val="auto"/>
                <w:kern w:val="0"/>
                <w:sz w:val="20"/>
                <w:szCs w:val="20"/>
                <w:highlight w:val="none"/>
              </w:rPr>
            </w:pPr>
            <w:r>
              <w:rPr>
                <w:rFonts w:hint="eastAsia" w:ascii="宋体" w:hAnsi="宋体"/>
                <w:b/>
                <w:bCs/>
                <w:color w:val="auto"/>
                <w:kern w:val="0"/>
                <w:sz w:val="20"/>
                <w:szCs w:val="20"/>
                <w:highlight w:val="none"/>
              </w:rPr>
              <w:t>三</w:t>
            </w:r>
          </w:p>
        </w:tc>
        <w:tc>
          <w:tcPr>
            <w:tcW w:w="130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b/>
                <w:bCs/>
                <w:color w:val="auto"/>
                <w:kern w:val="0"/>
                <w:sz w:val="20"/>
                <w:szCs w:val="20"/>
                <w:highlight w:val="none"/>
              </w:rPr>
            </w:pPr>
            <w:r>
              <w:rPr>
                <w:rFonts w:hint="eastAsia" w:ascii="宋体" w:hAnsi="宋体"/>
                <w:b/>
                <w:bCs/>
                <w:color w:val="auto"/>
                <w:kern w:val="0"/>
                <w:sz w:val="20"/>
                <w:szCs w:val="20"/>
                <w:highlight w:val="none"/>
              </w:rPr>
              <w:t>第三部：分环境保护独立费用</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b/>
                <w:bCs/>
                <w:color w:val="auto"/>
                <w:kern w:val="0"/>
                <w:sz w:val="20"/>
                <w:szCs w:val="20"/>
                <w:highlight w:val="none"/>
              </w:rPr>
            </w:pPr>
            <w:r>
              <w:rPr>
                <w:rFonts w:hint="eastAsia" w:ascii="宋体" w:hAnsi="宋体"/>
                <w:b/>
                <w:bCs/>
                <w:color w:val="auto"/>
                <w:kern w:val="0"/>
                <w:sz w:val="20"/>
                <w:szCs w:val="20"/>
                <w:highlight w:val="none"/>
              </w:rPr>
              <w:t>　</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b/>
                <w:bCs/>
                <w:color w:val="auto"/>
                <w:kern w:val="0"/>
                <w:sz w:val="20"/>
                <w:szCs w:val="20"/>
                <w:highlight w:val="none"/>
              </w:rPr>
            </w:pPr>
            <w:r>
              <w:rPr>
                <w:rFonts w:hint="eastAsia" w:ascii="宋体" w:hAnsi="宋体"/>
                <w:b/>
                <w:bCs/>
                <w:color w:val="auto"/>
                <w:kern w:val="0"/>
                <w:sz w:val="20"/>
                <w:szCs w:val="20"/>
                <w:highlight w:val="none"/>
              </w:rPr>
              <w:t>　</w:t>
            </w:r>
          </w:p>
        </w:tc>
        <w:tc>
          <w:tcPr>
            <w:tcW w:w="78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b/>
                <w:bCs/>
                <w:color w:val="auto"/>
                <w:kern w:val="0"/>
                <w:sz w:val="20"/>
                <w:szCs w:val="20"/>
                <w:highlight w:val="none"/>
              </w:rPr>
            </w:pPr>
            <w:r>
              <w:rPr>
                <w:rFonts w:hint="eastAsia" w:ascii="宋体" w:hAnsi="宋体"/>
                <w:b/>
                <w:bCs/>
                <w:color w:val="auto"/>
                <w:kern w:val="0"/>
                <w:sz w:val="20"/>
                <w:szCs w:val="20"/>
                <w:highlight w:val="none"/>
              </w:rPr>
              <w:t>　</w:t>
            </w:r>
          </w:p>
        </w:tc>
        <w:tc>
          <w:tcPr>
            <w:tcW w:w="986" w:type="pct"/>
            <w:tcBorders>
              <w:top w:val="nil"/>
              <w:left w:val="nil"/>
              <w:bottom w:val="single" w:color="auto" w:sz="8" w:space="0"/>
              <w:right w:val="single" w:color="auto" w:sz="12" w:space="0"/>
            </w:tcBorders>
            <w:shd w:val="clear" w:color="auto" w:fill="auto"/>
            <w:noWrap/>
            <w:vAlign w:val="center"/>
          </w:tcPr>
          <w:p>
            <w:pPr>
              <w:widowControl/>
              <w:spacing w:line="240" w:lineRule="auto"/>
              <w:ind w:firstLine="0" w:firstLineChars="0"/>
              <w:jc w:val="center"/>
              <w:rPr>
                <w:rFonts w:eastAsia="等线" w:cs="Times New Roman"/>
                <w:b/>
                <w:bCs/>
                <w:color w:val="auto"/>
                <w:kern w:val="0"/>
                <w:sz w:val="20"/>
                <w:szCs w:val="20"/>
                <w:highlight w:val="none"/>
              </w:rPr>
            </w:pPr>
            <w:r>
              <w:rPr>
                <w:rFonts w:eastAsia="等线" w:cs="Times New Roman"/>
                <w:b/>
                <w:bCs/>
                <w:color w:val="auto"/>
                <w:kern w:val="0"/>
                <w:sz w:val="20"/>
                <w:szCs w:val="20"/>
                <w:highlight w:val="none"/>
              </w:rPr>
              <w:t xml:space="preserve">102.67 </w:t>
            </w:r>
          </w:p>
        </w:tc>
      </w:tr>
      <w:tr>
        <w:tblPrEx>
          <w:tblCellMar>
            <w:top w:w="0" w:type="dxa"/>
            <w:left w:w="108" w:type="dxa"/>
            <w:bottom w:w="0" w:type="dxa"/>
            <w:right w:w="108" w:type="dxa"/>
          </w:tblCellMar>
        </w:tblPrEx>
        <w:trPr>
          <w:trHeight w:val="20" w:hRule="atLeast"/>
        </w:trPr>
        <w:tc>
          <w:tcPr>
            <w:tcW w:w="641" w:type="pct"/>
            <w:tcBorders>
              <w:top w:val="nil"/>
              <w:left w:val="single" w:color="auto" w:sz="12"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1</w:t>
            </w:r>
          </w:p>
        </w:tc>
        <w:tc>
          <w:tcPr>
            <w:tcW w:w="130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建设管理费</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3.00%</w:t>
            </w:r>
          </w:p>
        </w:tc>
        <w:tc>
          <w:tcPr>
            <w:tcW w:w="78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119.29 </w:t>
            </w:r>
          </w:p>
        </w:tc>
        <w:tc>
          <w:tcPr>
            <w:tcW w:w="986" w:type="pct"/>
            <w:tcBorders>
              <w:top w:val="nil"/>
              <w:left w:val="nil"/>
              <w:bottom w:val="single" w:color="auto" w:sz="8" w:space="0"/>
              <w:right w:val="single" w:color="auto" w:sz="12"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3.58 </w:t>
            </w:r>
          </w:p>
        </w:tc>
      </w:tr>
      <w:tr>
        <w:tblPrEx>
          <w:tblCellMar>
            <w:top w:w="0" w:type="dxa"/>
            <w:left w:w="108" w:type="dxa"/>
            <w:bottom w:w="0" w:type="dxa"/>
            <w:right w:w="108" w:type="dxa"/>
          </w:tblCellMar>
        </w:tblPrEx>
        <w:trPr>
          <w:trHeight w:val="20" w:hRule="atLeast"/>
        </w:trPr>
        <w:tc>
          <w:tcPr>
            <w:tcW w:w="641" w:type="pct"/>
            <w:tcBorders>
              <w:top w:val="nil"/>
              <w:left w:val="single" w:color="auto" w:sz="12"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2</w:t>
            </w:r>
          </w:p>
        </w:tc>
        <w:tc>
          <w:tcPr>
            <w:tcW w:w="130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环境监理费</w:t>
            </w:r>
            <w:r>
              <w:rPr>
                <w:rFonts w:cs="Times New Roman"/>
                <w:color w:val="auto"/>
                <w:kern w:val="0"/>
                <w:sz w:val="20"/>
                <w:szCs w:val="20"/>
                <w:highlight w:val="none"/>
              </w:rPr>
              <w:t xml:space="preserve"> </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2.00%</w:t>
            </w:r>
          </w:p>
        </w:tc>
        <w:tc>
          <w:tcPr>
            <w:tcW w:w="78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119.29 </w:t>
            </w:r>
          </w:p>
        </w:tc>
        <w:tc>
          <w:tcPr>
            <w:tcW w:w="986" w:type="pct"/>
            <w:tcBorders>
              <w:top w:val="nil"/>
              <w:left w:val="nil"/>
              <w:bottom w:val="single" w:color="auto" w:sz="8" w:space="0"/>
              <w:right w:val="single" w:color="auto" w:sz="12"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2.39 </w:t>
            </w:r>
          </w:p>
        </w:tc>
      </w:tr>
      <w:tr>
        <w:tblPrEx>
          <w:tblCellMar>
            <w:top w:w="0" w:type="dxa"/>
            <w:left w:w="108" w:type="dxa"/>
            <w:bottom w:w="0" w:type="dxa"/>
            <w:right w:w="108" w:type="dxa"/>
          </w:tblCellMar>
        </w:tblPrEx>
        <w:trPr>
          <w:trHeight w:val="20" w:hRule="atLeast"/>
        </w:trPr>
        <w:tc>
          <w:tcPr>
            <w:tcW w:w="641" w:type="pct"/>
            <w:tcBorders>
              <w:top w:val="nil"/>
              <w:left w:val="single" w:color="auto" w:sz="12"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3</w:t>
            </w:r>
          </w:p>
        </w:tc>
        <w:tc>
          <w:tcPr>
            <w:tcW w:w="130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环保设计咨询费</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8.00%</w:t>
            </w:r>
          </w:p>
        </w:tc>
        <w:tc>
          <w:tcPr>
            <w:tcW w:w="78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119.29 </w:t>
            </w:r>
          </w:p>
        </w:tc>
        <w:tc>
          <w:tcPr>
            <w:tcW w:w="986" w:type="pct"/>
            <w:tcBorders>
              <w:top w:val="nil"/>
              <w:left w:val="nil"/>
              <w:bottom w:val="single" w:color="auto" w:sz="8" w:space="0"/>
              <w:right w:val="single" w:color="auto" w:sz="12"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9.54 </w:t>
            </w:r>
          </w:p>
        </w:tc>
      </w:tr>
      <w:tr>
        <w:tblPrEx>
          <w:tblCellMar>
            <w:top w:w="0" w:type="dxa"/>
            <w:left w:w="108" w:type="dxa"/>
            <w:bottom w:w="0" w:type="dxa"/>
            <w:right w:w="108" w:type="dxa"/>
          </w:tblCellMar>
        </w:tblPrEx>
        <w:trPr>
          <w:trHeight w:val="20" w:hRule="atLeast"/>
        </w:trPr>
        <w:tc>
          <w:tcPr>
            <w:tcW w:w="641" w:type="pct"/>
            <w:tcBorders>
              <w:top w:val="nil"/>
              <w:left w:val="single" w:color="auto" w:sz="12"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4</w:t>
            </w:r>
          </w:p>
        </w:tc>
        <w:tc>
          <w:tcPr>
            <w:tcW w:w="130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环境保护设施竣工验收费</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6.00%</w:t>
            </w:r>
          </w:p>
        </w:tc>
        <w:tc>
          <w:tcPr>
            <w:tcW w:w="78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119.29 </w:t>
            </w:r>
          </w:p>
        </w:tc>
        <w:tc>
          <w:tcPr>
            <w:tcW w:w="986" w:type="pct"/>
            <w:tcBorders>
              <w:top w:val="nil"/>
              <w:left w:val="nil"/>
              <w:bottom w:val="single" w:color="auto" w:sz="8" w:space="0"/>
              <w:right w:val="single" w:color="auto" w:sz="12"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7.16 </w:t>
            </w:r>
          </w:p>
        </w:tc>
      </w:tr>
      <w:tr>
        <w:tblPrEx>
          <w:tblCellMar>
            <w:top w:w="0" w:type="dxa"/>
            <w:left w:w="108" w:type="dxa"/>
            <w:bottom w:w="0" w:type="dxa"/>
            <w:right w:w="108" w:type="dxa"/>
          </w:tblCellMar>
        </w:tblPrEx>
        <w:trPr>
          <w:trHeight w:val="20" w:hRule="atLeast"/>
        </w:trPr>
        <w:tc>
          <w:tcPr>
            <w:tcW w:w="641" w:type="pct"/>
            <w:tcBorders>
              <w:top w:val="nil"/>
              <w:left w:val="single" w:color="auto" w:sz="12"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5</w:t>
            </w:r>
          </w:p>
        </w:tc>
        <w:tc>
          <w:tcPr>
            <w:tcW w:w="130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环境影响评价费</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78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986" w:type="pct"/>
            <w:tcBorders>
              <w:top w:val="nil"/>
              <w:left w:val="nil"/>
              <w:bottom w:val="single" w:color="auto" w:sz="8" w:space="0"/>
              <w:right w:val="single" w:color="auto" w:sz="12"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80.00 </w:t>
            </w:r>
          </w:p>
        </w:tc>
      </w:tr>
      <w:tr>
        <w:tblPrEx>
          <w:tblCellMar>
            <w:top w:w="0" w:type="dxa"/>
            <w:left w:w="108" w:type="dxa"/>
            <w:bottom w:w="0" w:type="dxa"/>
            <w:right w:w="108" w:type="dxa"/>
          </w:tblCellMar>
        </w:tblPrEx>
        <w:trPr>
          <w:trHeight w:val="20" w:hRule="atLeast"/>
        </w:trPr>
        <w:tc>
          <w:tcPr>
            <w:tcW w:w="641" w:type="pct"/>
            <w:tcBorders>
              <w:top w:val="nil"/>
              <w:left w:val="single" w:color="auto" w:sz="12"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b/>
                <w:bCs/>
                <w:color w:val="auto"/>
                <w:kern w:val="0"/>
                <w:sz w:val="20"/>
                <w:szCs w:val="20"/>
                <w:highlight w:val="none"/>
              </w:rPr>
            </w:pPr>
            <w:r>
              <w:rPr>
                <w:rFonts w:hint="eastAsia" w:ascii="宋体" w:hAnsi="宋体"/>
                <w:b/>
                <w:bCs/>
                <w:color w:val="auto"/>
                <w:kern w:val="0"/>
                <w:sz w:val="20"/>
                <w:szCs w:val="20"/>
                <w:highlight w:val="none"/>
              </w:rPr>
              <w:t>四</w:t>
            </w:r>
          </w:p>
        </w:tc>
        <w:tc>
          <w:tcPr>
            <w:tcW w:w="130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b/>
                <w:bCs/>
                <w:color w:val="auto"/>
                <w:kern w:val="0"/>
                <w:sz w:val="20"/>
                <w:szCs w:val="20"/>
                <w:highlight w:val="none"/>
              </w:rPr>
            </w:pPr>
            <w:r>
              <w:rPr>
                <w:rFonts w:hint="eastAsia" w:ascii="宋体" w:hAnsi="宋体"/>
                <w:b/>
                <w:bCs/>
                <w:color w:val="auto"/>
                <w:kern w:val="0"/>
                <w:sz w:val="20"/>
                <w:szCs w:val="20"/>
                <w:highlight w:val="none"/>
              </w:rPr>
              <w:t>第一至第三部分合计</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b/>
                <w:bCs/>
                <w:color w:val="auto"/>
                <w:kern w:val="0"/>
                <w:sz w:val="20"/>
                <w:szCs w:val="20"/>
                <w:highlight w:val="none"/>
              </w:rPr>
            </w:pPr>
            <w:r>
              <w:rPr>
                <w:rFonts w:hint="eastAsia" w:ascii="宋体" w:hAnsi="宋体"/>
                <w:b/>
                <w:bCs/>
                <w:color w:val="auto"/>
                <w:kern w:val="0"/>
                <w:sz w:val="20"/>
                <w:szCs w:val="20"/>
                <w:highlight w:val="none"/>
              </w:rPr>
              <w:t>　</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b/>
                <w:bCs/>
                <w:color w:val="auto"/>
                <w:kern w:val="0"/>
                <w:sz w:val="20"/>
                <w:szCs w:val="20"/>
                <w:highlight w:val="none"/>
              </w:rPr>
            </w:pPr>
            <w:r>
              <w:rPr>
                <w:rFonts w:hint="eastAsia" w:ascii="宋体" w:hAnsi="宋体"/>
                <w:b/>
                <w:bCs/>
                <w:color w:val="auto"/>
                <w:kern w:val="0"/>
                <w:sz w:val="20"/>
                <w:szCs w:val="20"/>
                <w:highlight w:val="none"/>
              </w:rPr>
              <w:t>　</w:t>
            </w:r>
          </w:p>
        </w:tc>
        <w:tc>
          <w:tcPr>
            <w:tcW w:w="78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b/>
                <w:bCs/>
                <w:color w:val="auto"/>
                <w:kern w:val="0"/>
                <w:sz w:val="20"/>
                <w:szCs w:val="20"/>
                <w:highlight w:val="none"/>
              </w:rPr>
            </w:pPr>
            <w:r>
              <w:rPr>
                <w:rFonts w:hint="eastAsia" w:ascii="宋体" w:hAnsi="宋体"/>
                <w:b/>
                <w:bCs/>
                <w:color w:val="auto"/>
                <w:kern w:val="0"/>
                <w:sz w:val="20"/>
                <w:szCs w:val="20"/>
                <w:highlight w:val="none"/>
              </w:rPr>
              <w:t>　</w:t>
            </w:r>
          </w:p>
        </w:tc>
        <w:tc>
          <w:tcPr>
            <w:tcW w:w="986" w:type="pct"/>
            <w:tcBorders>
              <w:top w:val="nil"/>
              <w:left w:val="nil"/>
              <w:bottom w:val="single" w:color="auto" w:sz="8" w:space="0"/>
              <w:right w:val="single" w:color="auto" w:sz="12" w:space="0"/>
            </w:tcBorders>
            <w:shd w:val="clear" w:color="auto" w:fill="auto"/>
            <w:noWrap/>
            <w:vAlign w:val="center"/>
          </w:tcPr>
          <w:p>
            <w:pPr>
              <w:widowControl/>
              <w:spacing w:line="240" w:lineRule="auto"/>
              <w:ind w:firstLine="0" w:firstLineChars="0"/>
              <w:jc w:val="center"/>
              <w:rPr>
                <w:rFonts w:eastAsia="等线" w:cs="Times New Roman"/>
                <w:b/>
                <w:bCs/>
                <w:color w:val="auto"/>
                <w:kern w:val="0"/>
                <w:sz w:val="20"/>
                <w:szCs w:val="20"/>
                <w:highlight w:val="none"/>
              </w:rPr>
            </w:pPr>
            <w:r>
              <w:rPr>
                <w:rFonts w:eastAsia="等线" w:cs="Times New Roman"/>
                <w:b/>
                <w:bCs/>
                <w:color w:val="auto"/>
                <w:kern w:val="0"/>
                <w:sz w:val="20"/>
                <w:szCs w:val="20"/>
                <w:highlight w:val="none"/>
              </w:rPr>
              <w:t xml:space="preserve">221.96 </w:t>
            </w:r>
          </w:p>
        </w:tc>
      </w:tr>
      <w:tr>
        <w:tblPrEx>
          <w:tblCellMar>
            <w:top w:w="0" w:type="dxa"/>
            <w:left w:w="108" w:type="dxa"/>
            <w:bottom w:w="0" w:type="dxa"/>
            <w:right w:w="108" w:type="dxa"/>
          </w:tblCellMar>
        </w:tblPrEx>
        <w:trPr>
          <w:trHeight w:val="20" w:hRule="atLeast"/>
        </w:trPr>
        <w:tc>
          <w:tcPr>
            <w:tcW w:w="641" w:type="pct"/>
            <w:tcBorders>
              <w:top w:val="nil"/>
              <w:left w:val="single" w:color="auto" w:sz="12"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b/>
                <w:bCs/>
                <w:color w:val="auto"/>
                <w:kern w:val="0"/>
                <w:sz w:val="20"/>
                <w:szCs w:val="20"/>
                <w:highlight w:val="none"/>
              </w:rPr>
            </w:pPr>
            <w:r>
              <w:rPr>
                <w:rFonts w:hint="eastAsia" w:ascii="宋体" w:hAnsi="宋体"/>
                <w:b/>
                <w:bCs/>
                <w:color w:val="auto"/>
                <w:kern w:val="0"/>
                <w:sz w:val="20"/>
                <w:szCs w:val="20"/>
                <w:highlight w:val="none"/>
              </w:rPr>
              <w:t>五</w:t>
            </w:r>
          </w:p>
        </w:tc>
        <w:tc>
          <w:tcPr>
            <w:tcW w:w="130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b/>
                <w:bCs/>
                <w:color w:val="auto"/>
                <w:kern w:val="0"/>
                <w:sz w:val="20"/>
                <w:szCs w:val="20"/>
                <w:highlight w:val="none"/>
              </w:rPr>
            </w:pPr>
            <w:r>
              <w:rPr>
                <w:rFonts w:hint="eastAsia" w:ascii="宋体" w:hAnsi="宋体"/>
                <w:b/>
                <w:bCs/>
                <w:color w:val="auto"/>
                <w:kern w:val="0"/>
                <w:sz w:val="20"/>
                <w:szCs w:val="20"/>
                <w:highlight w:val="none"/>
              </w:rPr>
              <w:t>基本预备费</w:t>
            </w:r>
            <w:r>
              <w:rPr>
                <w:rFonts w:cs="Times New Roman"/>
                <w:b/>
                <w:bCs/>
                <w:color w:val="auto"/>
                <w:kern w:val="0"/>
                <w:sz w:val="20"/>
                <w:szCs w:val="20"/>
                <w:highlight w:val="none"/>
              </w:rPr>
              <w:t xml:space="preserve"> </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b/>
                <w:bCs/>
                <w:color w:val="auto"/>
                <w:kern w:val="0"/>
                <w:sz w:val="20"/>
                <w:szCs w:val="20"/>
                <w:highlight w:val="none"/>
              </w:rPr>
            </w:pPr>
            <w:r>
              <w:rPr>
                <w:rFonts w:hint="eastAsia" w:ascii="宋体" w:hAnsi="宋体"/>
                <w:b/>
                <w:bCs/>
                <w:color w:val="auto"/>
                <w:kern w:val="0"/>
                <w:sz w:val="20"/>
                <w:szCs w:val="20"/>
                <w:highlight w:val="none"/>
              </w:rPr>
              <w:t>　</w:t>
            </w:r>
          </w:p>
        </w:tc>
        <w:tc>
          <w:tcPr>
            <w:tcW w:w="6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b/>
                <w:bCs/>
                <w:color w:val="auto"/>
                <w:kern w:val="0"/>
                <w:sz w:val="20"/>
                <w:szCs w:val="20"/>
                <w:highlight w:val="none"/>
              </w:rPr>
            </w:pPr>
            <w:r>
              <w:rPr>
                <w:rFonts w:eastAsia="等线" w:cs="Times New Roman"/>
                <w:b/>
                <w:bCs/>
                <w:color w:val="auto"/>
                <w:kern w:val="0"/>
                <w:sz w:val="20"/>
                <w:szCs w:val="20"/>
                <w:highlight w:val="none"/>
              </w:rPr>
              <w:t>10.00%</w:t>
            </w:r>
          </w:p>
        </w:tc>
        <w:tc>
          <w:tcPr>
            <w:tcW w:w="78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b/>
                <w:bCs/>
                <w:color w:val="auto"/>
                <w:kern w:val="0"/>
                <w:sz w:val="20"/>
                <w:szCs w:val="20"/>
                <w:highlight w:val="none"/>
              </w:rPr>
            </w:pPr>
            <w:r>
              <w:rPr>
                <w:rFonts w:eastAsia="等线" w:cs="Times New Roman"/>
                <w:b/>
                <w:bCs/>
                <w:color w:val="auto"/>
                <w:kern w:val="0"/>
                <w:sz w:val="20"/>
                <w:szCs w:val="20"/>
                <w:highlight w:val="none"/>
              </w:rPr>
              <w:t xml:space="preserve">221.96 </w:t>
            </w:r>
          </w:p>
        </w:tc>
        <w:tc>
          <w:tcPr>
            <w:tcW w:w="986" w:type="pct"/>
            <w:tcBorders>
              <w:top w:val="nil"/>
              <w:left w:val="nil"/>
              <w:bottom w:val="single" w:color="auto" w:sz="8" w:space="0"/>
              <w:right w:val="single" w:color="auto" w:sz="12" w:space="0"/>
            </w:tcBorders>
            <w:shd w:val="clear" w:color="auto" w:fill="auto"/>
            <w:noWrap/>
            <w:vAlign w:val="center"/>
          </w:tcPr>
          <w:p>
            <w:pPr>
              <w:widowControl/>
              <w:spacing w:line="240" w:lineRule="auto"/>
              <w:ind w:firstLine="0" w:firstLineChars="0"/>
              <w:jc w:val="center"/>
              <w:rPr>
                <w:rFonts w:eastAsia="等线" w:cs="Times New Roman"/>
                <w:b/>
                <w:bCs/>
                <w:color w:val="auto"/>
                <w:kern w:val="0"/>
                <w:sz w:val="20"/>
                <w:szCs w:val="20"/>
                <w:highlight w:val="none"/>
              </w:rPr>
            </w:pPr>
            <w:r>
              <w:rPr>
                <w:rFonts w:eastAsia="等线" w:cs="Times New Roman"/>
                <w:b/>
                <w:bCs/>
                <w:color w:val="auto"/>
                <w:kern w:val="0"/>
                <w:sz w:val="20"/>
                <w:szCs w:val="20"/>
                <w:highlight w:val="none"/>
              </w:rPr>
              <w:t xml:space="preserve">22.20 </w:t>
            </w:r>
          </w:p>
        </w:tc>
      </w:tr>
      <w:tr>
        <w:tblPrEx>
          <w:tblCellMar>
            <w:top w:w="0" w:type="dxa"/>
            <w:left w:w="108" w:type="dxa"/>
            <w:bottom w:w="0" w:type="dxa"/>
            <w:right w:w="108" w:type="dxa"/>
          </w:tblCellMar>
        </w:tblPrEx>
        <w:trPr>
          <w:trHeight w:val="20" w:hRule="atLeast"/>
        </w:trPr>
        <w:tc>
          <w:tcPr>
            <w:tcW w:w="641" w:type="pct"/>
            <w:tcBorders>
              <w:top w:val="nil"/>
              <w:left w:val="single" w:color="auto" w:sz="12" w:space="0"/>
              <w:bottom w:val="single" w:color="auto" w:sz="12" w:space="0"/>
              <w:right w:val="single" w:color="auto" w:sz="8" w:space="0"/>
            </w:tcBorders>
            <w:shd w:val="clear" w:color="auto" w:fill="auto"/>
            <w:noWrap/>
            <w:vAlign w:val="center"/>
          </w:tcPr>
          <w:p>
            <w:pPr>
              <w:widowControl/>
              <w:spacing w:line="240" w:lineRule="auto"/>
              <w:ind w:firstLine="0" w:firstLineChars="0"/>
              <w:jc w:val="center"/>
              <w:rPr>
                <w:rFonts w:ascii="宋体" w:hAnsi="宋体"/>
                <w:b/>
                <w:bCs/>
                <w:color w:val="auto"/>
                <w:kern w:val="0"/>
                <w:sz w:val="20"/>
                <w:szCs w:val="20"/>
                <w:highlight w:val="none"/>
              </w:rPr>
            </w:pPr>
            <w:r>
              <w:rPr>
                <w:rFonts w:hint="eastAsia" w:ascii="宋体" w:hAnsi="宋体"/>
                <w:b/>
                <w:bCs/>
                <w:color w:val="auto"/>
                <w:kern w:val="0"/>
                <w:sz w:val="20"/>
                <w:szCs w:val="20"/>
                <w:highlight w:val="none"/>
              </w:rPr>
              <w:t>六</w:t>
            </w:r>
          </w:p>
        </w:tc>
        <w:tc>
          <w:tcPr>
            <w:tcW w:w="1306" w:type="pct"/>
            <w:tcBorders>
              <w:top w:val="nil"/>
              <w:left w:val="nil"/>
              <w:bottom w:val="single" w:color="auto" w:sz="12" w:space="0"/>
              <w:right w:val="single" w:color="auto" w:sz="8" w:space="0"/>
            </w:tcBorders>
            <w:shd w:val="clear" w:color="auto" w:fill="auto"/>
            <w:noWrap/>
            <w:vAlign w:val="center"/>
          </w:tcPr>
          <w:p>
            <w:pPr>
              <w:widowControl/>
              <w:spacing w:line="240" w:lineRule="auto"/>
              <w:ind w:firstLine="0" w:firstLineChars="0"/>
              <w:jc w:val="center"/>
              <w:rPr>
                <w:rFonts w:ascii="宋体" w:hAnsi="宋体"/>
                <w:b/>
                <w:bCs/>
                <w:color w:val="auto"/>
                <w:kern w:val="0"/>
                <w:sz w:val="20"/>
                <w:szCs w:val="20"/>
                <w:highlight w:val="none"/>
              </w:rPr>
            </w:pPr>
            <w:r>
              <w:rPr>
                <w:rFonts w:hint="eastAsia" w:ascii="宋体" w:hAnsi="宋体"/>
                <w:b/>
                <w:bCs/>
                <w:color w:val="auto"/>
                <w:kern w:val="0"/>
                <w:sz w:val="20"/>
                <w:szCs w:val="20"/>
                <w:highlight w:val="none"/>
              </w:rPr>
              <w:t>环境保护总投资</w:t>
            </w:r>
          </w:p>
        </w:tc>
        <w:tc>
          <w:tcPr>
            <w:tcW w:w="641" w:type="pct"/>
            <w:tcBorders>
              <w:top w:val="nil"/>
              <w:left w:val="nil"/>
              <w:bottom w:val="single" w:color="auto" w:sz="12" w:space="0"/>
              <w:right w:val="single" w:color="auto" w:sz="8" w:space="0"/>
            </w:tcBorders>
            <w:shd w:val="clear" w:color="auto" w:fill="auto"/>
            <w:noWrap/>
            <w:vAlign w:val="center"/>
          </w:tcPr>
          <w:p>
            <w:pPr>
              <w:widowControl/>
              <w:spacing w:line="240" w:lineRule="auto"/>
              <w:ind w:firstLine="0" w:firstLineChars="0"/>
              <w:jc w:val="center"/>
              <w:rPr>
                <w:rFonts w:ascii="宋体" w:hAnsi="宋体"/>
                <w:b/>
                <w:bCs/>
                <w:color w:val="auto"/>
                <w:kern w:val="0"/>
                <w:sz w:val="20"/>
                <w:szCs w:val="20"/>
                <w:highlight w:val="none"/>
              </w:rPr>
            </w:pPr>
            <w:r>
              <w:rPr>
                <w:rFonts w:hint="eastAsia" w:ascii="宋体" w:hAnsi="宋体"/>
                <w:b/>
                <w:bCs/>
                <w:color w:val="auto"/>
                <w:kern w:val="0"/>
                <w:sz w:val="20"/>
                <w:szCs w:val="20"/>
                <w:highlight w:val="none"/>
              </w:rPr>
              <w:t>　</w:t>
            </w:r>
          </w:p>
        </w:tc>
        <w:tc>
          <w:tcPr>
            <w:tcW w:w="641" w:type="pct"/>
            <w:tcBorders>
              <w:top w:val="nil"/>
              <w:left w:val="nil"/>
              <w:bottom w:val="single" w:color="auto" w:sz="12" w:space="0"/>
              <w:right w:val="single" w:color="auto" w:sz="8" w:space="0"/>
            </w:tcBorders>
            <w:shd w:val="clear" w:color="auto" w:fill="auto"/>
            <w:noWrap/>
            <w:vAlign w:val="center"/>
          </w:tcPr>
          <w:p>
            <w:pPr>
              <w:widowControl/>
              <w:spacing w:line="240" w:lineRule="auto"/>
              <w:ind w:firstLine="0" w:firstLineChars="0"/>
              <w:jc w:val="center"/>
              <w:rPr>
                <w:rFonts w:ascii="宋体" w:hAnsi="宋体"/>
                <w:b/>
                <w:bCs/>
                <w:color w:val="auto"/>
                <w:kern w:val="0"/>
                <w:sz w:val="20"/>
                <w:szCs w:val="20"/>
                <w:highlight w:val="none"/>
              </w:rPr>
            </w:pPr>
            <w:r>
              <w:rPr>
                <w:rFonts w:hint="eastAsia" w:ascii="宋体" w:hAnsi="宋体"/>
                <w:b/>
                <w:bCs/>
                <w:color w:val="auto"/>
                <w:kern w:val="0"/>
                <w:sz w:val="20"/>
                <w:szCs w:val="20"/>
                <w:highlight w:val="none"/>
              </w:rPr>
              <w:t>　</w:t>
            </w:r>
          </w:p>
        </w:tc>
        <w:tc>
          <w:tcPr>
            <w:tcW w:w="784" w:type="pct"/>
            <w:tcBorders>
              <w:top w:val="nil"/>
              <w:left w:val="nil"/>
              <w:bottom w:val="single" w:color="auto" w:sz="12" w:space="0"/>
              <w:right w:val="single" w:color="auto" w:sz="8" w:space="0"/>
            </w:tcBorders>
            <w:shd w:val="clear" w:color="auto" w:fill="auto"/>
            <w:noWrap/>
            <w:vAlign w:val="center"/>
          </w:tcPr>
          <w:p>
            <w:pPr>
              <w:widowControl/>
              <w:spacing w:line="240" w:lineRule="auto"/>
              <w:ind w:firstLine="0" w:firstLineChars="0"/>
              <w:jc w:val="center"/>
              <w:rPr>
                <w:rFonts w:ascii="宋体" w:hAnsi="宋体"/>
                <w:b/>
                <w:bCs/>
                <w:color w:val="auto"/>
                <w:kern w:val="0"/>
                <w:sz w:val="20"/>
                <w:szCs w:val="20"/>
                <w:highlight w:val="none"/>
              </w:rPr>
            </w:pPr>
            <w:r>
              <w:rPr>
                <w:rFonts w:hint="eastAsia" w:ascii="宋体" w:hAnsi="宋体"/>
                <w:b/>
                <w:bCs/>
                <w:color w:val="auto"/>
                <w:kern w:val="0"/>
                <w:sz w:val="20"/>
                <w:szCs w:val="20"/>
                <w:highlight w:val="none"/>
              </w:rPr>
              <w:t>　</w:t>
            </w:r>
          </w:p>
        </w:tc>
        <w:tc>
          <w:tcPr>
            <w:tcW w:w="986" w:type="pct"/>
            <w:tcBorders>
              <w:top w:val="nil"/>
              <w:left w:val="nil"/>
              <w:bottom w:val="single" w:color="auto" w:sz="12" w:space="0"/>
              <w:right w:val="single" w:color="auto" w:sz="12" w:space="0"/>
            </w:tcBorders>
            <w:shd w:val="clear" w:color="auto" w:fill="auto"/>
            <w:noWrap/>
            <w:vAlign w:val="center"/>
          </w:tcPr>
          <w:p>
            <w:pPr>
              <w:widowControl/>
              <w:spacing w:line="240" w:lineRule="auto"/>
              <w:ind w:firstLine="0" w:firstLineChars="0"/>
              <w:jc w:val="center"/>
              <w:rPr>
                <w:rFonts w:eastAsia="等线" w:cs="Times New Roman"/>
                <w:b/>
                <w:bCs/>
                <w:color w:val="auto"/>
                <w:kern w:val="0"/>
                <w:sz w:val="20"/>
                <w:szCs w:val="20"/>
                <w:highlight w:val="none"/>
              </w:rPr>
            </w:pPr>
            <w:r>
              <w:rPr>
                <w:rFonts w:eastAsia="等线" w:cs="Times New Roman"/>
                <w:b/>
                <w:bCs/>
                <w:color w:val="auto"/>
                <w:kern w:val="0"/>
                <w:sz w:val="20"/>
                <w:szCs w:val="20"/>
                <w:highlight w:val="none"/>
              </w:rPr>
              <w:t xml:space="preserve">244.16 </w:t>
            </w:r>
          </w:p>
        </w:tc>
      </w:tr>
    </w:tbl>
    <w:p>
      <w:pPr>
        <w:ind w:firstLine="480"/>
        <w:rPr>
          <w:color w:val="auto"/>
          <w:highlight w:val="none"/>
        </w:rPr>
      </w:pPr>
    </w:p>
    <w:p>
      <w:pPr>
        <w:ind w:firstLine="480"/>
        <w:rPr>
          <w:color w:val="auto"/>
          <w:highlight w:val="none"/>
        </w:rPr>
      </w:pPr>
    </w:p>
    <w:p>
      <w:pPr>
        <w:widowControl/>
        <w:spacing w:line="240" w:lineRule="auto"/>
        <w:ind w:firstLine="0" w:firstLineChars="0"/>
        <w:jc w:val="left"/>
        <w:rPr>
          <w:color w:val="auto"/>
          <w:highlight w:val="none"/>
        </w:rPr>
      </w:pPr>
      <w:r>
        <w:rPr>
          <w:color w:val="auto"/>
          <w:highlight w:val="none"/>
        </w:rPr>
        <w:br w:type="page"/>
      </w:r>
    </w:p>
    <w:p>
      <w:pPr>
        <w:pStyle w:val="2"/>
        <w:rPr>
          <w:color w:val="auto"/>
          <w:highlight w:val="none"/>
        </w:rPr>
      </w:pPr>
      <w:bookmarkStart w:id="144" w:name="_Toc22835"/>
      <w:r>
        <w:rPr>
          <w:rFonts w:hint="eastAsia"/>
          <w:color w:val="auto"/>
          <w:highlight w:val="none"/>
        </w:rPr>
        <w:t>10水土保持</w:t>
      </w:r>
      <w:bookmarkEnd w:id="144"/>
    </w:p>
    <w:p>
      <w:pPr>
        <w:pStyle w:val="3"/>
        <w:rPr>
          <w:color w:val="auto"/>
          <w:highlight w:val="none"/>
        </w:rPr>
      </w:pPr>
      <w:bookmarkStart w:id="145" w:name="_Toc9585"/>
      <w:r>
        <w:rPr>
          <w:rFonts w:hint="eastAsia"/>
          <w:color w:val="auto"/>
          <w:highlight w:val="none"/>
        </w:rPr>
        <w:t>10.1编制依据</w:t>
      </w:r>
      <w:bookmarkEnd w:id="145"/>
    </w:p>
    <w:p>
      <w:pPr>
        <w:pStyle w:val="4"/>
        <w:rPr>
          <w:color w:val="auto"/>
          <w:highlight w:val="none"/>
        </w:rPr>
      </w:pPr>
      <w:r>
        <w:rPr>
          <w:rFonts w:hint="eastAsia"/>
          <w:color w:val="auto"/>
          <w:highlight w:val="none"/>
        </w:rPr>
        <w:t>10.1.1 技术规范、标准</w:t>
      </w:r>
    </w:p>
    <w:p>
      <w:pPr>
        <w:ind w:firstLine="480"/>
        <w:rPr>
          <w:color w:val="auto"/>
          <w:highlight w:val="none"/>
        </w:rPr>
      </w:pPr>
      <w:r>
        <w:rPr>
          <w:rFonts w:hint="eastAsia"/>
          <w:color w:val="auto"/>
          <w:highlight w:val="none"/>
        </w:rPr>
        <w:t>（1）《开发建设项目水土保持技术规范》（GB50433-2008）；</w:t>
      </w:r>
    </w:p>
    <w:p>
      <w:pPr>
        <w:ind w:firstLine="480"/>
        <w:rPr>
          <w:color w:val="auto"/>
          <w:highlight w:val="none"/>
        </w:rPr>
      </w:pPr>
      <w:r>
        <w:rPr>
          <w:rFonts w:hint="eastAsia"/>
          <w:color w:val="auto"/>
          <w:highlight w:val="none"/>
        </w:rPr>
        <w:t>（2）《开发建设项目水土流失防治标准》（GB50434-2008）；</w:t>
      </w:r>
    </w:p>
    <w:p>
      <w:pPr>
        <w:ind w:firstLine="480"/>
        <w:rPr>
          <w:color w:val="auto"/>
          <w:highlight w:val="none"/>
        </w:rPr>
      </w:pPr>
      <w:r>
        <w:rPr>
          <w:rFonts w:hint="eastAsia"/>
          <w:color w:val="auto"/>
          <w:highlight w:val="none"/>
        </w:rPr>
        <w:t>（3）《水土保持综合治理技术规范》（GB/T 16453-2008）；</w:t>
      </w:r>
    </w:p>
    <w:p>
      <w:pPr>
        <w:ind w:firstLine="480"/>
        <w:rPr>
          <w:color w:val="auto"/>
          <w:highlight w:val="none"/>
        </w:rPr>
      </w:pPr>
      <w:r>
        <w:rPr>
          <w:rFonts w:hint="eastAsia"/>
          <w:color w:val="auto"/>
          <w:highlight w:val="none"/>
        </w:rPr>
        <w:t>（4）《主要造林树种苗木质量分级》（GB 6000-1999）；</w:t>
      </w:r>
    </w:p>
    <w:p>
      <w:pPr>
        <w:ind w:firstLine="480"/>
        <w:rPr>
          <w:color w:val="auto"/>
          <w:highlight w:val="none"/>
        </w:rPr>
      </w:pPr>
      <w:r>
        <w:rPr>
          <w:rFonts w:hint="eastAsia"/>
          <w:color w:val="auto"/>
          <w:highlight w:val="none"/>
        </w:rPr>
        <w:t>（5）《土壤侵蚀分类分级标准》（SL190-2007）；</w:t>
      </w:r>
    </w:p>
    <w:p>
      <w:pPr>
        <w:ind w:firstLine="480"/>
        <w:rPr>
          <w:color w:val="auto"/>
          <w:highlight w:val="none"/>
        </w:rPr>
      </w:pPr>
      <w:r>
        <w:rPr>
          <w:rFonts w:hint="eastAsia"/>
          <w:color w:val="auto"/>
          <w:highlight w:val="none"/>
        </w:rPr>
        <w:t>（6）《水土保持监测技术规程》（SL277-2002）；</w:t>
      </w:r>
    </w:p>
    <w:p>
      <w:pPr>
        <w:ind w:firstLine="480"/>
        <w:rPr>
          <w:color w:val="auto"/>
          <w:highlight w:val="none"/>
        </w:rPr>
      </w:pPr>
      <w:r>
        <w:rPr>
          <w:rFonts w:hint="eastAsia"/>
          <w:color w:val="auto"/>
          <w:highlight w:val="none"/>
        </w:rPr>
        <w:t>（7）《开发建设项目水土保持设施验收技术规程》（SL387-2007）；</w:t>
      </w:r>
    </w:p>
    <w:p>
      <w:pPr>
        <w:ind w:firstLine="480"/>
        <w:rPr>
          <w:color w:val="auto"/>
          <w:highlight w:val="none"/>
        </w:rPr>
      </w:pPr>
      <w:r>
        <w:rPr>
          <w:rFonts w:hint="eastAsia"/>
          <w:color w:val="auto"/>
          <w:highlight w:val="none"/>
        </w:rPr>
        <w:t>（8）《水利水电工程制图标准 水土保持图》（SL73.6-2001）；</w:t>
      </w:r>
    </w:p>
    <w:p>
      <w:pPr>
        <w:ind w:firstLine="480"/>
        <w:rPr>
          <w:color w:val="auto"/>
          <w:highlight w:val="none"/>
        </w:rPr>
      </w:pPr>
      <w:r>
        <w:rPr>
          <w:rFonts w:hint="eastAsia"/>
          <w:color w:val="auto"/>
          <w:highlight w:val="none"/>
        </w:rPr>
        <w:t>（9）《水土保持工程概(估)算编制规定和定额》（水利部水总[2003]67号）；</w:t>
      </w:r>
    </w:p>
    <w:p>
      <w:pPr>
        <w:ind w:firstLine="480"/>
        <w:rPr>
          <w:color w:val="auto"/>
          <w:highlight w:val="none"/>
        </w:rPr>
      </w:pPr>
      <w:r>
        <w:rPr>
          <w:rFonts w:hint="eastAsia"/>
          <w:color w:val="auto"/>
          <w:highlight w:val="none"/>
        </w:rPr>
        <w:t>（10）《工程勘察设计收费管理规定》（国家计委、建设部计价格[2002]10 号）。</w:t>
      </w:r>
    </w:p>
    <w:p>
      <w:pPr>
        <w:pStyle w:val="4"/>
        <w:rPr>
          <w:color w:val="auto"/>
          <w:highlight w:val="none"/>
        </w:rPr>
      </w:pPr>
      <w:r>
        <w:rPr>
          <w:rFonts w:hint="eastAsia"/>
          <w:color w:val="auto"/>
          <w:highlight w:val="none"/>
        </w:rPr>
        <w:t>10.1.2 技术资料及相关文件</w:t>
      </w:r>
    </w:p>
    <w:p>
      <w:pPr>
        <w:ind w:firstLine="480"/>
        <w:rPr>
          <w:color w:val="auto"/>
          <w:highlight w:val="none"/>
        </w:rPr>
      </w:pPr>
      <w:r>
        <w:rPr>
          <w:rFonts w:hint="eastAsia"/>
          <w:color w:val="auto"/>
          <w:highlight w:val="none"/>
        </w:rPr>
        <w:t>1、现场调查收集到的项目区及周边地区各种自然、社会经济与土地利用等资料；</w:t>
      </w:r>
    </w:p>
    <w:p>
      <w:pPr>
        <w:ind w:firstLine="480"/>
        <w:rPr>
          <w:color w:val="auto"/>
          <w:highlight w:val="none"/>
        </w:rPr>
      </w:pPr>
      <w:r>
        <w:rPr>
          <w:rFonts w:hint="eastAsia"/>
          <w:color w:val="auto"/>
          <w:highlight w:val="none"/>
        </w:rPr>
        <w:t>2、业主提供的有关资料及信息。</w:t>
      </w:r>
    </w:p>
    <w:p>
      <w:pPr>
        <w:pStyle w:val="3"/>
        <w:rPr>
          <w:color w:val="auto"/>
          <w:highlight w:val="none"/>
        </w:rPr>
      </w:pPr>
      <w:bookmarkStart w:id="146" w:name="_Toc1844"/>
      <w:r>
        <w:rPr>
          <w:rFonts w:hint="eastAsia"/>
          <w:color w:val="auto"/>
          <w:highlight w:val="none"/>
        </w:rPr>
        <w:t>10.2项目区水土流失及水土保持现状</w:t>
      </w:r>
      <w:bookmarkEnd w:id="146"/>
    </w:p>
    <w:p>
      <w:pPr>
        <w:pStyle w:val="4"/>
        <w:rPr>
          <w:color w:val="auto"/>
          <w:highlight w:val="none"/>
        </w:rPr>
      </w:pPr>
      <w:r>
        <w:rPr>
          <w:rFonts w:hint="eastAsia"/>
          <w:color w:val="auto"/>
          <w:highlight w:val="none"/>
        </w:rPr>
        <w:t>10.1水土流失现状</w:t>
      </w:r>
    </w:p>
    <w:p>
      <w:pPr>
        <w:ind w:firstLine="480"/>
        <w:rPr>
          <w:color w:val="auto"/>
          <w:highlight w:val="none"/>
        </w:rPr>
      </w:pPr>
      <w:r>
        <w:rPr>
          <w:rFonts w:hint="eastAsia"/>
          <w:color w:val="auto"/>
          <w:highlight w:val="none"/>
        </w:rPr>
        <w:t>根据《水利部办公厅&lt;关于印发全国水土保持规划国家级水土流失重点预防区和重点治理区复核划分成果&gt;的通知》（〔2013﹞188号文〕、《山东省水利厅关于发布省级水土流失重点预防区和重点治理区的通告》（鲁水保字[2016]1号），该项目区属山东省水土流失重点监督区，同时考虑到该工程项目的等别，根据《开发建设项目水土流失防治标准》（GB50434-2008）的规定，因此，本工程水土流失防治标准执行等级定为建设类二级标准。根据防治标准要求，水土流失总治理度、林草植被恢复率、林草覆盖率根据当地降雨量修正，项目区年平均降水823mm，因此在原基础上提高2个百分点；根据土壤侵蚀强度基准，项目区以轻度度侵蚀为主，土壤流失控制比取1.0。</w:t>
      </w:r>
    </w:p>
    <w:p>
      <w:pPr>
        <w:ind w:firstLine="480"/>
        <w:rPr>
          <w:color w:val="auto"/>
          <w:highlight w:val="none"/>
        </w:rPr>
      </w:pPr>
      <w:r>
        <w:rPr>
          <w:rFonts w:hint="eastAsia"/>
          <w:color w:val="auto"/>
          <w:highlight w:val="none"/>
        </w:rPr>
        <w:t>制定具体防治目标如下：扰动土地治理率95%，水土流失治理度87%，水土流失模数控制比1，拦渣率95%，植被恢复系数97%，林草覆盖率22%。</w:t>
      </w:r>
    </w:p>
    <w:p>
      <w:pPr>
        <w:pStyle w:val="4"/>
        <w:rPr>
          <w:color w:val="auto"/>
          <w:highlight w:val="none"/>
        </w:rPr>
      </w:pPr>
      <w:r>
        <w:rPr>
          <w:rFonts w:hint="eastAsia"/>
          <w:color w:val="auto"/>
          <w:highlight w:val="none"/>
        </w:rPr>
        <w:t>10.2.2 水土保持现状</w:t>
      </w:r>
    </w:p>
    <w:p>
      <w:pPr>
        <w:ind w:firstLine="480"/>
        <w:rPr>
          <w:color w:val="auto"/>
          <w:highlight w:val="none"/>
        </w:rPr>
      </w:pPr>
      <w:r>
        <w:rPr>
          <w:rFonts w:hint="eastAsia"/>
          <w:color w:val="auto"/>
          <w:highlight w:val="none"/>
        </w:rPr>
        <w:t>近年来，项目区先后实施了多期水土保持重点工程建设项目，把水土保持作为改善农业生产和生活环境的根本措施，因地制宜地兴建了一批水土保持工程。治理措施上分为工程措施、植物措施、耕作措施三大类；工程措施主要为机井和引水渠；植物措施主要为水土保持林、农田林网、经果林。措施配置上，在土地利用结构调整的基础上，进行区别对待。对于水土流失较轻、条件好，可实行保土耕作措施，发展农田林网；对于水土流失较重、条件较差，可通过整地后栽植水保林及经果林；对于引水条件较好的地方通过清淤、开挖引水渠解决水源问题，对于机井分布稀疏、距离沟渠较远，难以利用引水灌溉的地块，增打机井达到以井保丰的目的；在沙、水、田、林、路综合治理的基础上综合配套水利水保工程。</w:t>
      </w:r>
    </w:p>
    <w:p>
      <w:pPr>
        <w:pStyle w:val="3"/>
        <w:rPr>
          <w:color w:val="auto"/>
          <w:highlight w:val="none"/>
        </w:rPr>
      </w:pPr>
      <w:bookmarkStart w:id="147" w:name="_Toc18984"/>
      <w:r>
        <w:rPr>
          <w:rFonts w:hint="eastAsia"/>
          <w:color w:val="auto"/>
          <w:highlight w:val="none"/>
        </w:rPr>
        <w:t>10.3水土流失防治责任范围及防治分区</w:t>
      </w:r>
      <w:bookmarkEnd w:id="147"/>
    </w:p>
    <w:p>
      <w:pPr>
        <w:ind w:firstLine="480"/>
        <w:rPr>
          <w:color w:val="auto"/>
          <w:highlight w:val="none"/>
        </w:rPr>
      </w:pPr>
      <w:r>
        <w:rPr>
          <w:rFonts w:hint="eastAsia"/>
          <w:color w:val="auto"/>
          <w:highlight w:val="none"/>
        </w:rPr>
        <w:t>根据《生产建设项目水土保持技术标准》（GB50433-2018），水土流失防治责任范围为包括项目永久占地、临时占地（含租赁土地）以及其他使用与管辖区域本项目临时占地</w:t>
      </w:r>
      <w:r>
        <w:rPr>
          <w:color w:val="auto"/>
          <w:highlight w:val="none"/>
        </w:rPr>
        <w:t>610</w:t>
      </w:r>
      <w:r>
        <w:rPr>
          <w:rFonts w:hint="eastAsia"/>
          <w:color w:val="auto"/>
          <w:highlight w:val="none"/>
        </w:rPr>
        <w:t>hm</w:t>
      </w:r>
      <w:r>
        <w:rPr>
          <w:rFonts w:hint="eastAsia"/>
          <w:color w:val="auto"/>
          <w:highlight w:val="none"/>
          <w:vertAlign w:val="superscript"/>
        </w:rPr>
        <w:t>2</w:t>
      </w:r>
      <w:r>
        <w:rPr>
          <w:rFonts w:hint="eastAsia"/>
          <w:color w:val="auto"/>
          <w:highlight w:val="none"/>
        </w:rPr>
        <w:t>，故水土流失防治责任范围为</w:t>
      </w:r>
      <w:r>
        <w:rPr>
          <w:color w:val="auto"/>
          <w:highlight w:val="none"/>
        </w:rPr>
        <w:t>610</w:t>
      </w:r>
      <w:r>
        <w:rPr>
          <w:rFonts w:hint="eastAsia"/>
          <w:color w:val="auto"/>
          <w:highlight w:val="none"/>
        </w:rPr>
        <w:t xml:space="preserve">hm </w:t>
      </w:r>
      <w:r>
        <w:rPr>
          <w:rFonts w:hint="eastAsia"/>
          <w:color w:val="auto"/>
          <w:highlight w:val="none"/>
          <w:vertAlign w:val="superscript"/>
        </w:rPr>
        <w:t>2</w:t>
      </w:r>
      <w:r>
        <w:rPr>
          <w:rFonts w:hint="eastAsia"/>
          <w:color w:val="auto"/>
          <w:highlight w:val="none"/>
        </w:rPr>
        <w:t>。</w:t>
      </w:r>
    </w:p>
    <w:p>
      <w:pPr>
        <w:pStyle w:val="3"/>
        <w:rPr>
          <w:color w:val="auto"/>
          <w:highlight w:val="none"/>
        </w:rPr>
      </w:pPr>
      <w:bookmarkStart w:id="148" w:name="_Toc21890"/>
      <w:r>
        <w:rPr>
          <w:rFonts w:hint="eastAsia"/>
          <w:color w:val="auto"/>
          <w:highlight w:val="none"/>
        </w:rPr>
        <w:t>10.4水土流失危害分析</w:t>
      </w:r>
      <w:bookmarkEnd w:id="148"/>
    </w:p>
    <w:p>
      <w:pPr>
        <w:ind w:firstLine="480"/>
        <w:rPr>
          <w:color w:val="auto"/>
          <w:highlight w:val="none"/>
        </w:rPr>
      </w:pPr>
      <w:r>
        <w:rPr>
          <w:rFonts w:hint="eastAsia"/>
          <w:color w:val="auto"/>
          <w:highlight w:val="none"/>
        </w:rPr>
        <w:t>通过水土流失预测可知，在工程施工过程中，共扰动原地表面积</w:t>
      </w:r>
      <w:r>
        <w:rPr>
          <w:color w:val="auto"/>
          <w:highlight w:val="none"/>
        </w:rPr>
        <w:t>610</w:t>
      </w:r>
      <w:r>
        <w:rPr>
          <w:rFonts w:hint="eastAsia"/>
          <w:color w:val="auto"/>
          <w:highlight w:val="none"/>
        </w:rPr>
        <w:t>hm</w:t>
      </w:r>
      <w:r>
        <w:rPr>
          <w:rFonts w:hint="eastAsia"/>
          <w:color w:val="auto"/>
          <w:highlight w:val="none"/>
          <w:vertAlign w:val="superscript"/>
        </w:rPr>
        <w:t>2</w:t>
      </w:r>
      <w:r>
        <w:rPr>
          <w:rFonts w:hint="eastAsia"/>
          <w:color w:val="auto"/>
          <w:highlight w:val="none"/>
        </w:rPr>
        <w:t>，破坏水土保持设施面积</w:t>
      </w:r>
      <w:r>
        <w:rPr>
          <w:color w:val="auto"/>
          <w:highlight w:val="none"/>
        </w:rPr>
        <w:t>610</w:t>
      </w:r>
      <w:r>
        <w:rPr>
          <w:rFonts w:hint="eastAsia"/>
          <w:color w:val="auto"/>
          <w:highlight w:val="none"/>
        </w:rPr>
        <w:t>hm</w:t>
      </w:r>
      <w:r>
        <w:rPr>
          <w:rFonts w:hint="eastAsia"/>
          <w:color w:val="auto"/>
          <w:highlight w:val="none"/>
          <w:vertAlign w:val="superscript"/>
        </w:rPr>
        <w:t>2</w:t>
      </w:r>
      <w:r>
        <w:rPr>
          <w:rFonts w:hint="eastAsia"/>
          <w:color w:val="auto"/>
          <w:highlight w:val="none"/>
        </w:rPr>
        <w:t>，工程土方开挖</w:t>
      </w:r>
      <w:r>
        <w:rPr>
          <w:color w:val="auto"/>
          <w:highlight w:val="none"/>
        </w:rPr>
        <w:t>761</w:t>
      </w:r>
      <w:r>
        <w:rPr>
          <w:rFonts w:hint="eastAsia"/>
          <w:color w:val="auto"/>
          <w:highlight w:val="none"/>
        </w:rPr>
        <w:t>万m</w:t>
      </w:r>
      <w:r>
        <w:rPr>
          <w:rFonts w:hint="eastAsia"/>
          <w:color w:val="auto"/>
          <w:highlight w:val="none"/>
          <w:vertAlign w:val="superscript"/>
        </w:rPr>
        <w:t>3</w:t>
      </w:r>
      <w:r>
        <w:rPr>
          <w:rFonts w:hint="eastAsia"/>
          <w:color w:val="auto"/>
          <w:highlight w:val="none"/>
        </w:rPr>
        <w:t>，回填</w:t>
      </w:r>
      <w:r>
        <w:rPr>
          <w:color w:val="auto"/>
          <w:highlight w:val="none"/>
        </w:rPr>
        <w:t>185</w:t>
      </w:r>
      <w:r>
        <w:rPr>
          <w:rFonts w:hint="eastAsia"/>
          <w:color w:val="auto"/>
          <w:highlight w:val="none"/>
        </w:rPr>
        <w:t>万m</w:t>
      </w:r>
      <w:r>
        <w:rPr>
          <w:rFonts w:hint="eastAsia"/>
          <w:color w:val="auto"/>
          <w:highlight w:val="none"/>
          <w:vertAlign w:val="superscript"/>
        </w:rPr>
        <w:t>3</w:t>
      </w:r>
      <w:r>
        <w:rPr>
          <w:rFonts w:hint="eastAsia"/>
          <w:color w:val="auto"/>
          <w:highlight w:val="none"/>
        </w:rPr>
        <w:t>，弃土合计190.78万m</w:t>
      </w:r>
      <w:r>
        <w:rPr>
          <w:rFonts w:hint="eastAsia"/>
          <w:color w:val="auto"/>
          <w:highlight w:val="none"/>
          <w:vertAlign w:val="superscript"/>
        </w:rPr>
        <w:t>3</w:t>
      </w:r>
      <w:r>
        <w:rPr>
          <w:rFonts w:hint="eastAsia"/>
          <w:color w:val="auto"/>
          <w:highlight w:val="none"/>
        </w:rPr>
        <w:t>（以上均为自然方）。</w:t>
      </w:r>
    </w:p>
    <w:p>
      <w:pPr>
        <w:ind w:firstLine="480"/>
        <w:rPr>
          <w:color w:val="auto"/>
          <w:highlight w:val="none"/>
        </w:rPr>
      </w:pPr>
      <w:r>
        <w:rPr>
          <w:rFonts w:hint="eastAsia"/>
          <w:color w:val="auto"/>
          <w:highlight w:val="none"/>
        </w:rPr>
        <w:t>本工程水土流失治理主要以建筑物建设、施工场地占压产生的水土流失为主，涉及面较窄。故本工程产生的水土流失量较小，对项目区及周边地区影响不大。</w:t>
      </w:r>
    </w:p>
    <w:p>
      <w:pPr>
        <w:ind w:firstLine="480"/>
        <w:rPr>
          <w:color w:val="auto"/>
          <w:highlight w:val="none"/>
        </w:rPr>
      </w:pPr>
      <w:r>
        <w:rPr>
          <w:rFonts w:hint="eastAsia"/>
          <w:color w:val="auto"/>
          <w:highlight w:val="none"/>
        </w:rPr>
        <w:t>1、项目施工准备期和土建施工期</w:t>
      </w:r>
    </w:p>
    <w:p>
      <w:pPr>
        <w:ind w:firstLine="480"/>
        <w:rPr>
          <w:color w:val="auto"/>
          <w:highlight w:val="none"/>
        </w:rPr>
      </w:pPr>
      <w:r>
        <w:rPr>
          <w:rFonts w:hint="eastAsia"/>
          <w:color w:val="auto"/>
          <w:highlight w:val="none"/>
        </w:rPr>
        <w:t>工程在施工准备及施工期间，由于场地清理、路基开挖填筑、土石方临时堆放、外运和回填土石方等施工活动，损坏原地表形态和土壤结构，使地力降低；地表植被受到破坏，增加了裸露面积，加剧了水土流失，并对周边环境产生影响；土石方填方地段，改变了原地貌，埋压地表植被，降低了原有的水土保持功能。施工过程中产生的临时堆土分布在工程区域范围中。若不采取有效的防护措施，随意堆弃，将很容易造成大量水土流失。本项目现状年土壤侵蚀强度较小，但建设期因扰动地表及土石方挖填等活动引起的人为加速土壤侵蚀时间较长；项目建设不但彻底改变了其永久占地土壤的理化性质，也改变了周边土壤的原生态。本项目在施工过程中虽然会增加水土流失，但是只要采取有效的水土流失防治措施，就可以防治所产生的水土流失。工程建设对于项目区域水土流失的影响是暂时的，是可以控制的。</w:t>
      </w:r>
    </w:p>
    <w:p>
      <w:pPr>
        <w:ind w:firstLine="480"/>
        <w:rPr>
          <w:color w:val="auto"/>
          <w:highlight w:val="none"/>
        </w:rPr>
      </w:pPr>
      <w:r>
        <w:rPr>
          <w:rFonts w:hint="eastAsia"/>
          <w:color w:val="auto"/>
          <w:highlight w:val="none"/>
        </w:rPr>
        <w:t>2、自然恢复期</w:t>
      </w:r>
    </w:p>
    <w:p>
      <w:pPr>
        <w:ind w:firstLine="480"/>
        <w:rPr>
          <w:color w:val="auto"/>
          <w:highlight w:val="none"/>
        </w:rPr>
      </w:pPr>
      <w:r>
        <w:rPr>
          <w:rFonts w:hint="eastAsia"/>
          <w:color w:val="auto"/>
          <w:highlight w:val="none"/>
        </w:rPr>
        <w:t>在自然恢复期，土建工程建设完成，项目区部分地表被硬化，此时土壤流失的面积与土建施工期相比有了大幅度的降低。但此时绿化植被刚刚栽植，不能完全覆盖裸露的地表，不可能立即发挥其应有的防护作用，难以完全发挥水土保持功能，因此如遇侵蚀性降雨等水土流失诱发天气仍将不可避免的产生水土流失。</w:t>
      </w:r>
    </w:p>
    <w:p>
      <w:pPr>
        <w:ind w:firstLine="480"/>
        <w:rPr>
          <w:color w:val="auto"/>
          <w:highlight w:val="none"/>
        </w:rPr>
      </w:pPr>
      <w:r>
        <w:rPr>
          <w:rFonts w:hint="eastAsia"/>
          <w:color w:val="auto"/>
          <w:highlight w:val="none"/>
        </w:rPr>
        <w:t>工程针对项目水土流失的特点，采取相应的植物措施和临时措施进行综合治理，保障主体工程建设的安全运行，保护生态环境。</w:t>
      </w:r>
    </w:p>
    <w:p>
      <w:pPr>
        <w:pStyle w:val="3"/>
        <w:rPr>
          <w:color w:val="auto"/>
          <w:highlight w:val="none"/>
        </w:rPr>
      </w:pPr>
      <w:bookmarkStart w:id="149" w:name="_Toc20486"/>
      <w:r>
        <w:rPr>
          <w:rFonts w:hint="eastAsia"/>
          <w:color w:val="auto"/>
          <w:highlight w:val="none"/>
        </w:rPr>
        <w:t>10.5水土流失防治措施</w:t>
      </w:r>
      <w:bookmarkEnd w:id="149"/>
    </w:p>
    <w:p>
      <w:pPr>
        <w:pStyle w:val="4"/>
        <w:rPr>
          <w:color w:val="auto"/>
          <w:highlight w:val="none"/>
        </w:rPr>
      </w:pPr>
      <w:r>
        <w:rPr>
          <w:rFonts w:hint="eastAsia"/>
          <w:color w:val="auto"/>
          <w:highlight w:val="none"/>
        </w:rPr>
        <w:t>10.5.1 水土流失防治措施布设原则</w:t>
      </w:r>
    </w:p>
    <w:p>
      <w:pPr>
        <w:ind w:firstLine="480"/>
        <w:rPr>
          <w:color w:val="auto"/>
          <w:highlight w:val="none"/>
        </w:rPr>
      </w:pPr>
      <w:r>
        <w:rPr>
          <w:rFonts w:hint="eastAsia"/>
          <w:color w:val="auto"/>
          <w:highlight w:val="none"/>
        </w:rPr>
        <w:t>（1）本方案根据工程实际情况和项目区水土流失现状，因地制宜、因害设防、总体设计、全面布局、科学配置各项防治措施。</w:t>
      </w:r>
    </w:p>
    <w:p>
      <w:pPr>
        <w:ind w:firstLine="480"/>
        <w:rPr>
          <w:color w:val="auto"/>
          <w:highlight w:val="none"/>
        </w:rPr>
      </w:pPr>
      <w:r>
        <w:rPr>
          <w:rFonts w:hint="eastAsia"/>
          <w:color w:val="auto"/>
          <w:highlight w:val="none"/>
        </w:rPr>
        <w:t>（2）施工中要尽量减少对原地貌和植被的破坏，对临时堆土区要合理布局，尽量集中堆放，并采取拦挡防护措施。</w:t>
      </w:r>
    </w:p>
    <w:p>
      <w:pPr>
        <w:ind w:firstLine="480"/>
        <w:rPr>
          <w:color w:val="auto"/>
          <w:highlight w:val="none"/>
        </w:rPr>
      </w:pPr>
      <w:r>
        <w:rPr>
          <w:rFonts w:hint="eastAsia"/>
          <w:color w:val="auto"/>
          <w:highlight w:val="none"/>
        </w:rPr>
        <w:t>（3）注重生态环境保护，在工程建设中注重生态环境保护，充分重视项目施工过程中造成的人为扰动区及所产生的废弃物，设计临时性水土保持措施，尽量减少新增水土流失。</w:t>
      </w:r>
    </w:p>
    <w:p>
      <w:pPr>
        <w:ind w:firstLine="480"/>
        <w:rPr>
          <w:color w:val="auto"/>
          <w:highlight w:val="none"/>
        </w:rPr>
      </w:pPr>
      <w:r>
        <w:rPr>
          <w:rFonts w:hint="eastAsia"/>
          <w:color w:val="auto"/>
          <w:highlight w:val="none"/>
        </w:rPr>
        <w:t>（4）树立人与自然和谐相处的理念，尊重自然规律。注重资源节约与综合利用，注重当地水土保持成功经验，借鉴国内外先进技术，尽量做到高科技、低投入、高效益，有效的控制和防治工程建设造成的新增水土流失和原有的水土流失。</w:t>
      </w:r>
    </w:p>
    <w:p>
      <w:pPr>
        <w:ind w:firstLine="480"/>
        <w:rPr>
          <w:color w:val="auto"/>
          <w:highlight w:val="none"/>
        </w:rPr>
      </w:pPr>
      <w:r>
        <w:rPr>
          <w:rFonts w:hint="eastAsia"/>
          <w:color w:val="auto"/>
          <w:highlight w:val="none"/>
        </w:rPr>
        <w:t>（5）工程措施、植物措施、临时措施合理配置、统筹兼顾、形成综合防护体系。</w:t>
      </w:r>
    </w:p>
    <w:p>
      <w:pPr>
        <w:ind w:firstLine="480"/>
        <w:rPr>
          <w:color w:val="auto"/>
          <w:highlight w:val="none"/>
        </w:rPr>
      </w:pPr>
      <w:r>
        <w:rPr>
          <w:rFonts w:hint="eastAsia"/>
          <w:color w:val="auto"/>
          <w:highlight w:val="none"/>
        </w:rPr>
        <w:t>（6）防治措施布设要与主体工程密切配合，相互协调，形成整体。</w:t>
      </w:r>
    </w:p>
    <w:p>
      <w:pPr>
        <w:pStyle w:val="4"/>
        <w:rPr>
          <w:color w:val="auto"/>
          <w:highlight w:val="none"/>
        </w:rPr>
      </w:pPr>
      <w:r>
        <w:rPr>
          <w:rFonts w:hint="eastAsia"/>
          <w:color w:val="auto"/>
          <w:highlight w:val="none"/>
        </w:rPr>
        <w:t>10.5.2 分区水土保持措施设计</w:t>
      </w:r>
    </w:p>
    <w:p>
      <w:pPr>
        <w:ind w:firstLine="480"/>
        <w:rPr>
          <w:color w:val="auto"/>
          <w:highlight w:val="none"/>
        </w:rPr>
      </w:pPr>
      <w:r>
        <w:rPr>
          <w:rFonts w:hint="eastAsia"/>
          <w:color w:val="auto"/>
          <w:highlight w:val="none"/>
        </w:rPr>
        <w:t>1、主体工程防治区</w:t>
      </w:r>
    </w:p>
    <w:p>
      <w:pPr>
        <w:ind w:firstLine="480"/>
        <w:rPr>
          <w:color w:val="auto"/>
          <w:highlight w:val="none"/>
        </w:rPr>
      </w:pPr>
      <w:r>
        <w:rPr>
          <w:rFonts w:hint="eastAsia"/>
          <w:color w:val="auto"/>
          <w:highlight w:val="none"/>
        </w:rPr>
        <w:t>该防治区新增水土保持措施主要是针对本项目水厂及加压泵站采用种植乔、灌木，树下撒播草籽进行绿化。</w:t>
      </w:r>
    </w:p>
    <w:p>
      <w:pPr>
        <w:ind w:firstLine="480"/>
        <w:rPr>
          <w:color w:val="auto"/>
          <w:highlight w:val="none"/>
        </w:rPr>
      </w:pPr>
      <w:r>
        <w:rPr>
          <w:rFonts w:hint="eastAsia"/>
          <w:color w:val="auto"/>
          <w:highlight w:val="none"/>
        </w:rPr>
        <w:t>草籽选取规格：选用标准为I级草籽，播种量为80kg/hm</w:t>
      </w:r>
      <w:r>
        <w:rPr>
          <w:rFonts w:hint="eastAsia"/>
          <w:color w:val="auto"/>
          <w:highlight w:val="none"/>
          <w:vertAlign w:val="superscript"/>
        </w:rPr>
        <w:t>2</w:t>
      </w:r>
      <w:r>
        <w:rPr>
          <w:rFonts w:hint="eastAsia"/>
          <w:color w:val="auto"/>
          <w:highlight w:val="none"/>
        </w:rPr>
        <w:t>。</w:t>
      </w:r>
    </w:p>
    <w:p>
      <w:pPr>
        <w:ind w:firstLine="480"/>
        <w:rPr>
          <w:color w:val="auto"/>
          <w:highlight w:val="none"/>
        </w:rPr>
      </w:pPr>
      <w:r>
        <w:rPr>
          <w:rFonts w:hint="eastAsia"/>
          <w:color w:val="auto"/>
          <w:highlight w:val="none"/>
        </w:rPr>
        <w:t>乔木选择：紫叶李、雪松等；灌木选择红叶石楠、龙柏等。</w:t>
      </w:r>
    </w:p>
    <w:p>
      <w:pPr>
        <w:ind w:firstLine="480"/>
        <w:rPr>
          <w:color w:val="auto"/>
          <w:highlight w:val="none"/>
        </w:rPr>
      </w:pPr>
      <w:r>
        <w:rPr>
          <w:rFonts w:hint="eastAsia"/>
          <w:color w:val="auto"/>
          <w:highlight w:val="none"/>
        </w:rPr>
        <w:t>共需乔木</w:t>
      </w:r>
      <w:r>
        <w:rPr>
          <w:color w:val="auto"/>
          <w:highlight w:val="none"/>
        </w:rPr>
        <w:t>35520</w:t>
      </w:r>
      <w:r>
        <w:rPr>
          <w:rFonts w:hint="eastAsia"/>
          <w:color w:val="auto"/>
          <w:highlight w:val="none"/>
        </w:rPr>
        <w:t>棵、灌木</w:t>
      </w:r>
      <w:r>
        <w:rPr>
          <w:color w:val="auto"/>
          <w:highlight w:val="none"/>
        </w:rPr>
        <w:t>33890</w:t>
      </w:r>
      <w:r>
        <w:rPr>
          <w:rFonts w:hint="eastAsia"/>
          <w:color w:val="auto"/>
          <w:highlight w:val="none"/>
        </w:rPr>
        <w:t>墩，撒播狗牙根和紫羊茅</w:t>
      </w:r>
      <w:r>
        <w:rPr>
          <w:color w:val="auto"/>
          <w:highlight w:val="none"/>
        </w:rPr>
        <w:t>76</w:t>
      </w:r>
      <w:r>
        <w:rPr>
          <w:rFonts w:hint="eastAsia"/>
          <w:color w:val="auto"/>
          <w:highlight w:val="none"/>
        </w:rPr>
        <w:t>.3hm</w:t>
      </w:r>
      <w:r>
        <w:rPr>
          <w:rFonts w:hint="eastAsia"/>
          <w:color w:val="auto"/>
          <w:highlight w:val="none"/>
          <w:vertAlign w:val="superscript"/>
        </w:rPr>
        <w:t>2</w:t>
      </w:r>
      <w:r>
        <w:rPr>
          <w:rFonts w:hint="eastAsia"/>
          <w:color w:val="auto"/>
          <w:highlight w:val="none"/>
        </w:rPr>
        <w:t>。</w:t>
      </w:r>
    </w:p>
    <w:p>
      <w:pPr>
        <w:ind w:firstLine="480"/>
        <w:rPr>
          <w:color w:val="auto"/>
          <w:highlight w:val="none"/>
        </w:rPr>
      </w:pPr>
      <w:r>
        <w:rPr>
          <w:rFonts w:hint="eastAsia"/>
          <w:color w:val="auto"/>
          <w:highlight w:val="none"/>
        </w:rPr>
        <w:t>2、施工临时占压防治区</w:t>
      </w:r>
    </w:p>
    <w:p>
      <w:pPr>
        <w:ind w:firstLine="480"/>
        <w:rPr>
          <w:color w:val="auto"/>
          <w:highlight w:val="none"/>
        </w:rPr>
      </w:pPr>
      <w:r>
        <w:rPr>
          <w:rFonts w:hint="eastAsia"/>
          <w:color w:val="auto"/>
          <w:highlight w:val="none"/>
        </w:rPr>
        <w:t>该区域没有布设具有水土保持功能的防护措施体系，需新增水保措施形成科学、综合的防护措施体系。该区域新增水保措施主要为植物措施。</w:t>
      </w:r>
    </w:p>
    <w:p>
      <w:pPr>
        <w:ind w:firstLine="480"/>
        <w:rPr>
          <w:color w:val="auto"/>
          <w:highlight w:val="none"/>
        </w:rPr>
      </w:pPr>
      <w:r>
        <w:rPr>
          <w:rFonts w:hint="eastAsia"/>
          <w:color w:val="auto"/>
          <w:highlight w:val="none"/>
        </w:rPr>
        <w:t>该区域采取的植物措施主要对弃土区斜坡面撒播草籽护坡，撒播草籽面积</w:t>
      </w:r>
      <w:r>
        <w:rPr>
          <w:color w:val="auto"/>
          <w:highlight w:val="none"/>
        </w:rPr>
        <w:t>260</w:t>
      </w:r>
      <w:r>
        <w:rPr>
          <w:rFonts w:hint="eastAsia"/>
          <w:color w:val="auto"/>
          <w:highlight w:val="none"/>
        </w:rPr>
        <w:t>hm</w:t>
      </w:r>
      <w:r>
        <w:rPr>
          <w:rFonts w:hint="eastAsia"/>
          <w:color w:val="auto"/>
          <w:highlight w:val="none"/>
          <w:vertAlign w:val="superscript"/>
        </w:rPr>
        <w:t>2</w:t>
      </w:r>
      <w:r>
        <w:rPr>
          <w:rFonts w:hint="eastAsia"/>
          <w:color w:val="auto"/>
          <w:highlight w:val="none"/>
        </w:rPr>
        <w:t>。</w:t>
      </w:r>
    </w:p>
    <w:p>
      <w:pPr>
        <w:pStyle w:val="3"/>
        <w:rPr>
          <w:color w:val="auto"/>
          <w:highlight w:val="none"/>
        </w:rPr>
      </w:pPr>
      <w:bookmarkStart w:id="150" w:name="_Toc32561"/>
      <w:r>
        <w:rPr>
          <w:rFonts w:hint="eastAsia"/>
          <w:color w:val="auto"/>
          <w:highlight w:val="none"/>
        </w:rPr>
        <w:t>10.6水土保持工程投资</w:t>
      </w:r>
      <w:bookmarkEnd w:id="150"/>
    </w:p>
    <w:p>
      <w:pPr>
        <w:pStyle w:val="4"/>
        <w:rPr>
          <w:color w:val="auto"/>
          <w:highlight w:val="none"/>
        </w:rPr>
      </w:pPr>
      <w:r>
        <w:rPr>
          <w:rFonts w:hint="eastAsia"/>
          <w:color w:val="auto"/>
          <w:highlight w:val="none"/>
        </w:rPr>
        <w:t>10.6.1 编制依据</w:t>
      </w:r>
    </w:p>
    <w:p>
      <w:pPr>
        <w:ind w:firstLine="480"/>
        <w:rPr>
          <w:color w:val="auto"/>
          <w:highlight w:val="none"/>
        </w:rPr>
      </w:pPr>
      <w:r>
        <w:rPr>
          <w:rFonts w:hint="eastAsia"/>
          <w:color w:val="auto"/>
          <w:highlight w:val="none"/>
        </w:rPr>
        <w:t>根据《开发建设项目水土保持方案技术规范》(SL204-98)的规定，为与主体工程设计部分保持一致，水土保持投资概算原则上采用主体工程建设项目编制依据和定额，不足部分采用水土保持投资概算依据。</w:t>
      </w:r>
    </w:p>
    <w:p>
      <w:pPr>
        <w:ind w:firstLine="480"/>
        <w:rPr>
          <w:color w:val="auto"/>
          <w:highlight w:val="none"/>
        </w:rPr>
      </w:pPr>
      <w:r>
        <w:rPr>
          <w:rFonts w:hint="eastAsia"/>
          <w:color w:val="auto"/>
          <w:highlight w:val="none"/>
        </w:rPr>
        <w:t>（1）《水土保持工程概（估）算编制规定》（水利部水总〔2003〕67号文）；</w:t>
      </w:r>
    </w:p>
    <w:p>
      <w:pPr>
        <w:ind w:firstLine="480"/>
        <w:rPr>
          <w:color w:val="auto"/>
          <w:highlight w:val="none"/>
        </w:rPr>
      </w:pPr>
      <w:r>
        <w:rPr>
          <w:rFonts w:hint="eastAsia"/>
          <w:color w:val="auto"/>
          <w:highlight w:val="none"/>
        </w:rPr>
        <w:t>（2）《国家发展和改革委员会办公厅、建设部办公厅关于印发修订建设监理与咨询服务收费标准的工作方案的通知》（发改办价格〔2005〕632号文）；</w:t>
      </w:r>
    </w:p>
    <w:p>
      <w:pPr>
        <w:ind w:firstLine="480"/>
        <w:rPr>
          <w:color w:val="auto"/>
          <w:highlight w:val="none"/>
        </w:rPr>
      </w:pPr>
      <w:r>
        <w:rPr>
          <w:rFonts w:hint="eastAsia"/>
          <w:color w:val="auto"/>
          <w:highlight w:val="none"/>
        </w:rPr>
        <w:t>（3）《关于发布山东省水利水电工程营业税改征增值税计价依据调整办法的通知》（山东省水利厅鲁水建字〔2016〕5号）；</w:t>
      </w:r>
    </w:p>
    <w:p>
      <w:pPr>
        <w:ind w:firstLine="480"/>
        <w:rPr>
          <w:color w:val="auto"/>
          <w:highlight w:val="none"/>
        </w:rPr>
      </w:pPr>
      <w:r>
        <w:rPr>
          <w:rFonts w:hint="eastAsia"/>
          <w:color w:val="auto"/>
          <w:highlight w:val="none"/>
        </w:rPr>
        <w:t>（4）《关于印发&lt;山东省水土保持补偿费征收使用管理办法&gt;的通知》（山东省财政厅、山东省物价局、山东省水利厅、中国人民银行济南分行鲁财综〔2014〕74 号）；</w:t>
      </w:r>
    </w:p>
    <w:p>
      <w:pPr>
        <w:ind w:firstLine="480"/>
        <w:rPr>
          <w:color w:val="auto"/>
          <w:highlight w:val="none"/>
        </w:rPr>
      </w:pPr>
      <w:r>
        <w:rPr>
          <w:rFonts w:hint="eastAsia"/>
          <w:color w:val="auto"/>
          <w:highlight w:val="none"/>
        </w:rPr>
        <w:t>（5）《省物价局省财政厅省水利厅关于降低水土保持补偿费收费标准的通知》（鲁价费〔2017〕58号）；</w:t>
      </w:r>
    </w:p>
    <w:p>
      <w:pPr>
        <w:ind w:firstLine="480"/>
        <w:rPr>
          <w:color w:val="auto"/>
          <w:highlight w:val="none"/>
        </w:rPr>
      </w:pPr>
      <w:r>
        <w:rPr>
          <w:rFonts w:hint="eastAsia"/>
          <w:color w:val="auto"/>
          <w:highlight w:val="none"/>
        </w:rPr>
        <w:t>（6）《水利部办公厅关于印发&lt;水利工程营业税改征增值税计价依据调整办法&gt;的通知》（办水总[2016]132号）；</w:t>
      </w:r>
    </w:p>
    <w:p>
      <w:pPr>
        <w:ind w:firstLine="480"/>
        <w:rPr>
          <w:color w:val="auto"/>
          <w:highlight w:val="none"/>
        </w:rPr>
      </w:pPr>
      <w:r>
        <w:rPr>
          <w:rFonts w:hint="eastAsia"/>
          <w:color w:val="auto"/>
          <w:highlight w:val="none"/>
        </w:rPr>
        <w:t>（7）《财政部税务总局关于调整增值税税率的通知》财税〔2018〕32号。</w:t>
      </w:r>
    </w:p>
    <w:p>
      <w:pPr>
        <w:pStyle w:val="4"/>
        <w:rPr>
          <w:color w:val="auto"/>
          <w:highlight w:val="none"/>
        </w:rPr>
      </w:pPr>
      <w:r>
        <w:rPr>
          <w:rFonts w:hint="eastAsia"/>
          <w:color w:val="auto"/>
          <w:highlight w:val="none"/>
        </w:rPr>
        <w:t>10.6.2 编制方法</w:t>
      </w:r>
    </w:p>
    <w:p>
      <w:pPr>
        <w:ind w:firstLine="480"/>
        <w:rPr>
          <w:color w:val="auto"/>
          <w:highlight w:val="none"/>
        </w:rPr>
      </w:pPr>
      <w:r>
        <w:rPr>
          <w:rFonts w:hint="eastAsia"/>
          <w:color w:val="auto"/>
          <w:highlight w:val="none"/>
        </w:rPr>
        <w:t>本方案投资概算项目划分：第一部分工程措施，第二部分植物措施，第三部分临时工程；第四部分独立费用，以及基本预备费和水土保持补偿费。</w:t>
      </w:r>
    </w:p>
    <w:p>
      <w:pPr>
        <w:ind w:firstLine="480"/>
        <w:rPr>
          <w:color w:val="auto"/>
          <w:highlight w:val="none"/>
        </w:rPr>
      </w:pPr>
      <w:r>
        <w:rPr>
          <w:rFonts w:hint="eastAsia"/>
          <w:color w:val="auto"/>
          <w:highlight w:val="none"/>
        </w:rPr>
        <w:t>本工程作为工程建设的一个重要内容，主要材料价格与主体工程一致。</w:t>
      </w:r>
    </w:p>
    <w:p>
      <w:pPr>
        <w:ind w:firstLine="480"/>
        <w:rPr>
          <w:color w:val="auto"/>
          <w:highlight w:val="none"/>
        </w:rPr>
      </w:pPr>
      <w:r>
        <w:rPr>
          <w:rFonts w:hint="eastAsia"/>
          <w:color w:val="auto"/>
          <w:highlight w:val="none"/>
        </w:rPr>
        <w:t>1、基础价格</w:t>
      </w:r>
    </w:p>
    <w:p>
      <w:pPr>
        <w:ind w:firstLine="480"/>
        <w:rPr>
          <w:color w:val="auto"/>
          <w:highlight w:val="none"/>
        </w:rPr>
      </w:pPr>
      <w:r>
        <w:rPr>
          <w:rFonts w:hint="eastAsia"/>
          <w:color w:val="auto"/>
          <w:highlight w:val="none"/>
        </w:rPr>
        <w:t>（1）人工工资</w:t>
      </w:r>
    </w:p>
    <w:p>
      <w:pPr>
        <w:ind w:firstLine="480"/>
        <w:rPr>
          <w:color w:val="auto"/>
          <w:highlight w:val="none"/>
        </w:rPr>
      </w:pPr>
      <w:r>
        <w:rPr>
          <w:rFonts w:hint="eastAsia"/>
          <w:color w:val="auto"/>
          <w:highlight w:val="none"/>
        </w:rPr>
        <w:t>本方案人工单价与主体工程一致。</w:t>
      </w:r>
    </w:p>
    <w:p>
      <w:pPr>
        <w:ind w:firstLine="480"/>
        <w:rPr>
          <w:color w:val="auto"/>
          <w:highlight w:val="none"/>
        </w:rPr>
      </w:pPr>
      <w:r>
        <w:rPr>
          <w:rFonts w:hint="eastAsia"/>
          <w:color w:val="auto"/>
          <w:highlight w:val="none"/>
        </w:rPr>
        <w:t>（2）水电价格：</w:t>
      </w:r>
    </w:p>
    <w:p>
      <w:pPr>
        <w:ind w:firstLine="480"/>
        <w:rPr>
          <w:color w:val="auto"/>
          <w:highlight w:val="none"/>
        </w:rPr>
      </w:pPr>
      <w:r>
        <w:rPr>
          <w:rFonts w:hint="eastAsia"/>
          <w:color w:val="auto"/>
          <w:highlight w:val="none"/>
        </w:rPr>
        <w:t>参照主体工程施工组织设计提供的资料和投资概算的数据。</w:t>
      </w:r>
    </w:p>
    <w:p>
      <w:pPr>
        <w:ind w:firstLine="480"/>
        <w:rPr>
          <w:color w:val="auto"/>
          <w:highlight w:val="none"/>
        </w:rPr>
      </w:pPr>
      <w:r>
        <w:rPr>
          <w:rFonts w:hint="eastAsia"/>
          <w:color w:val="auto"/>
          <w:highlight w:val="none"/>
        </w:rPr>
        <w:t>（3）主要材料价格：按市场调查物价计算。</w:t>
      </w:r>
    </w:p>
    <w:p>
      <w:pPr>
        <w:ind w:firstLine="480"/>
        <w:rPr>
          <w:color w:val="auto"/>
          <w:highlight w:val="none"/>
        </w:rPr>
      </w:pPr>
      <w:r>
        <w:rPr>
          <w:rFonts w:hint="eastAsia"/>
          <w:color w:val="auto"/>
          <w:highlight w:val="none"/>
        </w:rPr>
        <w:t>2、费用构成：水土保持工程措施及植物措施由直接工程费、间接费、企业利润和税金组成。</w:t>
      </w:r>
    </w:p>
    <w:p>
      <w:pPr>
        <w:ind w:firstLine="480"/>
        <w:rPr>
          <w:color w:val="auto"/>
          <w:highlight w:val="none"/>
        </w:rPr>
      </w:pPr>
      <w:r>
        <w:rPr>
          <w:rFonts w:hint="eastAsia"/>
          <w:color w:val="auto"/>
          <w:highlight w:val="none"/>
        </w:rPr>
        <w:t>（1）直接费：按定额内容计算；</w:t>
      </w:r>
    </w:p>
    <w:p>
      <w:pPr>
        <w:ind w:firstLine="480"/>
        <w:rPr>
          <w:color w:val="auto"/>
          <w:highlight w:val="none"/>
        </w:rPr>
      </w:pPr>
      <w:r>
        <w:rPr>
          <w:rFonts w:hint="eastAsia"/>
          <w:color w:val="auto"/>
          <w:highlight w:val="none"/>
        </w:rPr>
        <w:t>（2）其他直接费：工程措施按直接费的2.0%计算； 植物措施按直接费的1.5%计算；</w:t>
      </w:r>
    </w:p>
    <w:p>
      <w:pPr>
        <w:ind w:firstLine="480"/>
        <w:rPr>
          <w:color w:val="auto"/>
          <w:highlight w:val="none"/>
        </w:rPr>
      </w:pPr>
      <w:r>
        <w:rPr>
          <w:rFonts w:hint="eastAsia"/>
          <w:color w:val="auto"/>
          <w:highlight w:val="none"/>
        </w:rPr>
        <w:t>（3）现场经费：工程措施按直接费的5.0%计算； 植物措施按直接费的4.0%计算；</w:t>
      </w:r>
    </w:p>
    <w:p>
      <w:pPr>
        <w:ind w:firstLine="480"/>
        <w:rPr>
          <w:color w:val="auto"/>
          <w:highlight w:val="none"/>
        </w:rPr>
      </w:pPr>
      <w:r>
        <w:rPr>
          <w:rFonts w:hint="eastAsia"/>
          <w:color w:val="auto"/>
          <w:highlight w:val="none"/>
        </w:rPr>
        <w:t>（4）间接费：工程措施按直接工程费的5.0%计算；植物措施按直接工程费的3.0%计算。</w:t>
      </w:r>
    </w:p>
    <w:p>
      <w:pPr>
        <w:ind w:firstLine="480"/>
        <w:rPr>
          <w:color w:val="auto"/>
          <w:highlight w:val="none"/>
        </w:rPr>
      </w:pPr>
      <w:r>
        <w:rPr>
          <w:rFonts w:hint="eastAsia"/>
          <w:color w:val="auto"/>
          <w:highlight w:val="none"/>
        </w:rPr>
        <w:t>（5）企业利润；工程措施按直接工程费和间接费之和的7.0%计算；植物措施按直接工程费和间接费之和的5.0%计算。</w:t>
      </w:r>
    </w:p>
    <w:p>
      <w:pPr>
        <w:ind w:firstLine="480"/>
        <w:rPr>
          <w:color w:val="auto"/>
          <w:highlight w:val="none"/>
        </w:rPr>
      </w:pPr>
      <w:r>
        <w:rPr>
          <w:rFonts w:hint="eastAsia"/>
          <w:color w:val="auto"/>
          <w:highlight w:val="none"/>
        </w:rPr>
        <w:t>（6）税金：按（直接工程费+间接费+企业利润）×9%计算。</w:t>
      </w:r>
    </w:p>
    <w:p>
      <w:pPr>
        <w:ind w:firstLine="480"/>
        <w:rPr>
          <w:color w:val="auto"/>
          <w:highlight w:val="none"/>
        </w:rPr>
      </w:pPr>
      <w:r>
        <w:rPr>
          <w:rFonts w:hint="eastAsia"/>
          <w:color w:val="auto"/>
          <w:highlight w:val="none"/>
        </w:rPr>
        <w:t>3、临时工程</w:t>
      </w:r>
    </w:p>
    <w:p>
      <w:pPr>
        <w:ind w:firstLine="480"/>
        <w:rPr>
          <w:color w:val="auto"/>
          <w:highlight w:val="none"/>
        </w:rPr>
      </w:pPr>
      <w:r>
        <w:rPr>
          <w:rFonts w:hint="eastAsia"/>
          <w:color w:val="auto"/>
          <w:highlight w:val="none"/>
        </w:rPr>
        <w:t>包括临时防护工程费和其他临时工程费:前者由临时工程设计方案的工程量乘以单价计算；后者按工程措施和植物措施投资的1.5%计算。</w:t>
      </w:r>
    </w:p>
    <w:p>
      <w:pPr>
        <w:ind w:firstLine="480"/>
        <w:rPr>
          <w:color w:val="auto"/>
          <w:highlight w:val="none"/>
        </w:rPr>
      </w:pPr>
      <w:r>
        <w:rPr>
          <w:rFonts w:hint="eastAsia"/>
          <w:color w:val="auto"/>
          <w:highlight w:val="none"/>
        </w:rPr>
        <w:t>4、独立费用标准</w:t>
      </w:r>
    </w:p>
    <w:p>
      <w:pPr>
        <w:ind w:firstLine="480"/>
        <w:rPr>
          <w:color w:val="auto"/>
          <w:highlight w:val="none"/>
        </w:rPr>
      </w:pPr>
      <w:r>
        <w:rPr>
          <w:rFonts w:hint="eastAsia"/>
          <w:color w:val="auto"/>
          <w:highlight w:val="none"/>
        </w:rPr>
        <w:t>（1）建设管理费：按一至三部分之和的2.0%计算。</w:t>
      </w:r>
    </w:p>
    <w:p>
      <w:pPr>
        <w:ind w:firstLine="480"/>
        <w:rPr>
          <w:color w:val="auto"/>
          <w:highlight w:val="none"/>
        </w:rPr>
      </w:pPr>
      <w:r>
        <w:rPr>
          <w:rFonts w:hint="eastAsia"/>
          <w:color w:val="auto"/>
          <w:highlight w:val="none"/>
        </w:rPr>
        <w:t>（2）工程建设监理费：本部分监测工作与主体同时进行，介于本工程</w:t>
      </w:r>
    </w:p>
    <w:p>
      <w:pPr>
        <w:ind w:firstLine="480"/>
        <w:rPr>
          <w:color w:val="auto"/>
          <w:highlight w:val="none"/>
        </w:rPr>
      </w:pPr>
      <w:r>
        <w:rPr>
          <w:rFonts w:hint="eastAsia"/>
          <w:color w:val="auto"/>
          <w:highlight w:val="none"/>
        </w:rPr>
        <w:t>的特殊性，监测费用按水土保持投资的2.0%计算。</w:t>
      </w:r>
    </w:p>
    <w:p>
      <w:pPr>
        <w:ind w:firstLine="480"/>
        <w:rPr>
          <w:color w:val="auto"/>
          <w:highlight w:val="none"/>
        </w:rPr>
      </w:pPr>
      <w:r>
        <w:rPr>
          <w:rFonts w:hint="eastAsia"/>
          <w:color w:val="auto"/>
          <w:highlight w:val="none"/>
        </w:rPr>
        <w:t>（3）水土保持监测费：本部分监测工作与主体同时进行，介于本工程</w:t>
      </w:r>
    </w:p>
    <w:p>
      <w:pPr>
        <w:ind w:firstLine="480"/>
        <w:rPr>
          <w:color w:val="auto"/>
          <w:highlight w:val="none"/>
        </w:rPr>
      </w:pPr>
      <w:r>
        <w:rPr>
          <w:rFonts w:hint="eastAsia"/>
          <w:color w:val="auto"/>
          <w:highlight w:val="none"/>
        </w:rPr>
        <w:t>的特殊性，监测费用按水土保持投资的1.5%计算。</w:t>
      </w:r>
    </w:p>
    <w:p>
      <w:pPr>
        <w:ind w:firstLine="480"/>
        <w:rPr>
          <w:color w:val="auto"/>
          <w:highlight w:val="none"/>
        </w:rPr>
      </w:pPr>
      <w:r>
        <w:rPr>
          <w:rFonts w:hint="eastAsia"/>
          <w:color w:val="auto"/>
          <w:highlight w:val="none"/>
        </w:rPr>
        <w:t>（4）水土保持设施自查初验费：根据市场并结合实际工作量确定本项目水土保持设施自查初验费按实际计列60万元。</w:t>
      </w:r>
    </w:p>
    <w:p>
      <w:pPr>
        <w:ind w:firstLine="480"/>
        <w:rPr>
          <w:color w:val="auto"/>
          <w:highlight w:val="none"/>
        </w:rPr>
      </w:pPr>
      <w:r>
        <w:rPr>
          <w:rFonts w:hint="eastAsia"/>
          <w:color w:val="auto"/>
          <w:highlight w:val="none"/>
        </w:rPr>
        <w:t>（5）科研勘测设计费：主体已计列，不再重复计列。</w:t>
      </w:r>
    </w:p>
    <w:p>
      <w:pPr>
        <w:ind w:firstLine="480"/>
        <w:rPr>
          <w:color w:val="auto"/>
          <w:highlight w:val="none"/>
        </w:rPr>
      </w:pPr>
      <w:r>
        <w:rPr>
          <w:rFonts w:hint="eastAsia"/>
          <w:color w:val="auto"/>
          <w:highlight w:val="none"/>
        </w:rPr>
        <w:t>5、基本预备费</w:t>
      </w:r>
    </w:p>
    <w:p>
      <w:pPr>
        <w:ind w:firstLine="480"/>
        <w:rPr>
          <w:color w:val="auto"/>
          <w:highlight w:val="none"/>
        </w:rPr>
      </w:pPr>
      <w:r>
        <w:rPr>
          <w:rFonts w:hint="eastAsia"/>
          <w:color w:val="auto"/>
          <w:highlight w:val="none"/>
        </w:rPr>
        <w:t>按一至三部分之和的6%计算。</w:t>
      </w:r>
    </w:p>
    <w:p>
      <w:pPr>
        <w:ind w:firstLine="480"/>
        <w:rPr>
          <w:color w:val="auto"/>
          <w:highlight w:val="none"/>
        </w:rPr>
      </w:pPr>
      <w:r>
        <w:rPr>
          <w:rFonts w:hint="eastAsia"/>
          <w:color w:val="auto"/>
          <w:highlight w:val="none"/>
        </w:rPr>
        <w:t>6、水土保持补偿费</w:t>
      </w:r>
    </w:p>
    <w:p>
      <w:pPr>
        <w:ind w:firstLine="480"/>
        <w:rPr>
          <w:color w:val="auto"/>
          <w:highlight w:val="none"/>
        </w:rPr>
      </w:pPr>
      <w:r>
        <w:rPr>
          <w:rFonts w:hint="eastAsia"/>
          <w:color w:val="auto"/>
          <w:highlight w:val="none"/>
        </w:rPr>
        <w:t>根据《省物价局省财政厅省水利厅关于降低水土保持补偿费收费标准的通知》（鲁价费〔2017〕58号），按照征占用土地面积开工前一次性计征，每平方米1.20元。经计算，水土保持补偿费54万元。</w:t>
      </w:r>
    </w:p>
    <w:p>
      <w:pPr>
        <w:pStyle w:val="4"/>
        <w:rPr>
          <w:color w:val="auto"/>
          <w:highlight w:val="none"/>
        </w:rPr>
      </w:pPr>
      <w:r>
        <w:rPr>
          <w:rFonts w:hint="eastAsia"/>
          <w:color w:val="auto"/>
          <w:highlight w:val="none"/>
        </w:rPr>
        <w:t>10.6.3 价格水平年</w:t>
      </w:r>
    </w:p>
    <w:p>
      <w:pPr>
        <w:ind w:firstLine="480"/>
        <w:rPr>
          <w:color w:val="auto"/>
          <w:highlight w:val="none"/>
        </w:rPr>
      </w:pPr>
      <w:r>
        <w:rPr>
          <w:rFonts w:hint="eastAsia"/>
          <w:color w:val="auto"/>
          <w:highlight w:val="none"/>
        </w:rPr>
        <w:t>与主体工程一致。</w:t>
      </w:r>
    </w:p>
    <w:p>
      <w:pPr>
        <w:pStyle w:val="4"/>
        <w:rPr>
          <w:color w:val="auto"/>
          <w:highlight w:val="none"/>
        </w:rPr>
      </w:pPr>
      <w:r>
        <w:rPr>
          <w:rFonts w:hint="eastAsia"/>
          <w:color w:val="auto"/>
          <w:highlight w:val="none"/>
        </w:rPr>
        <w:t>10.6.4 水土保持投资成果</w:t>
      </w:r>
    </w:p>
    <w:p>
      <w:pPr>
        <w:ind w:firstLine="480"/>
        <w:rPr>
          <w:color w:val="auto"/>
          <w:highlight w:val="none"/>
        </w:rPr>
      </w:pPr>
      <w:r>
        <w:rPr>
          <w:rFonts w:hint="eastAsia"/>
          <w:color w:val="auto"/>
          <w:highlight w:val="none"/>
        </w:rPr>
        <w:t>根据本方案投资概算，本工程水土保持总投资</w:t>
      </w:r>
      <w:r>
        <w:rPr>
          <w:color w:val="auto"/>
          <w:highlight w:val="none"/>
        </w:rPr>
        <w:t>570.01</w:t>
      </w:r>
      <w:r>
        <w:rPr>
          <w:rFonts w:hint="eastAsia"/>
          <w:color w:val="auto"/>
          <w:highlight w:val="none"/>
        </w:rPr>
        <w:t>万元，其中植物措施费</w:t>
      </w:r>
      <w:r>
        <w:rPr>
          <w:color w:val="auto"/>
          <w:highlight w:val="none"/>
        </w:rPr>
        <w:t>372.41</w:t>
      </w:r>
      <w:r>
        <w:rPr>
          <w:rFonts w:hint="eastAsia"/>
          <w:color w:val="auto"/>
          <w:highlight w:val="none"/>
        </w:rPr>
        <w:t>万元，临时措施费</w:t>
      </w:r>
      <w:r>
        <w:rPr>
          <w:color w:val="auto"/>
          <w:highlight w:val="none"/>
        </w:rPr>
        <w:t>13.41</w:t>
      </w:r>
      <w:r>
        <w:rPr>
          <w:rFonts w:hint="eastAsia"/>
          <w:color w:val="auto"/>
          <w:highlight w:val="none"/>
        </w:rPr>
        <w:t>万元，水土保持独立费用</w:t>
      </w:r>
      <w:r>
        <w:rPr>
          <w:color w:val="auto"/>
          <w:highlight w:val="none"/>
        </w:rPr>
        <w:t>100.98</w:t>
      </w:r>
      <w:r>
        <w:rPr>
          <w:rFonts w:hint="eastAsia"/>
          <w:color w:val="auto"/>
          <w:highlight w:val="none"/>
        </w:rPr>
        <w:t>万元，基本预备费</w:t>
      </w:r>
      <w:r>
        <w:rPr>
          <w:color w:val="auto"/>
          <w:highlight w:val="none"/>
        </w:rPr>
        <w:t>29.21</w:t>
      </w:r>
      <w:r>
        <w:rPr>
          <w:rFonts w:hint="eastAsia"/>
          <w:color w:val="auto"/>
          <w:highlight w:val="none"/>
        </w:rPr>
        <w:t>万元，水土保持补偿费54.0万元。</w:t>
      </w:r>
    </w:p>
    <w:p>
      <w:pPr>
        <w:ind w:firstLine="480"/>
        <w:rPr>
          <w:color w:val="auto"/>
          <w:highlight w:val="none"/>
        </w:rPr>
      </w:pPr>
      <w:r>
        <w:rPr>
          <w:rFonts w:hint="eastAsia"/>
          <w:color w:val="auto"/>
          <w:highlight w:val="none"/>
        </w:rPr>
        <w:t>该工程水土保持方案水土保持投资估算详见表1</w:t>
      </w:r>
      <w:r>
        <w:rPr>
          <w:color w:val="auto"/>
          <w:highlight w:val="none"/>
        </w:rPr>
        <w:t>0</w:t>
      </w:r>
      <w:r>
        <w:rPr>
          <w:rFonts w:hint="eastAsia"/>
          <w:color w:val="auto"/>
          <w:highlight w:val="none"/>
        </w:rPr>
        <w:t>.6-1。</w:t>
      </w:r>
    </w:p>
    <w:p>
      <w:pPr>
        <w:spacing w:line="240" w:lineRule="auto"/>
        <w:ind w:firstLine="0" w:firstLineChars="0"/>
        <w:jc w:val="left"/>
        <w:rPr>
          <w:b/>
          <w:bCs/>
          <w:color w:val="auto"/>
          <w:highlight w:val="none"/>
        </w:rPr>
      </w:pPr>
      <w:r>
        <w:rPr>
          <w:rFonts w:hint="eastAsia"/>
          <w:b/>
          <w:bCs/>
          <w:color w:val="auto"/>
          <w:highlight w:val="none"/>
        </w:rPr>
        <w:t>表10.6-1              水土保持方案水土保持投资估算表</w:t>
      </w:r>
    </w:p>
    <w:tbl>
      <w:tblPr>
        <w:tblStyle w:val="33"/>
        <w:tblW w:w="8440" w:type="dxa"/>
        <w:tblInd w:w="108" w:type="dxa"/>
        <w:tblLayout w:type="autofit"/>
        <w:tblCellMar>
          <w:top w:w="0" w:type="dxa"/>
          <w:left w:w="108" w:type="dxa"/>
          <w:bottom w:w="0" w:type="dxa"/>
          <w:right w:w="108" w:type="dxa"/>
        </w:tblCellMar>
      </w:tblPr>
      <w:tblGrid>
        <w:gridCol w:w="1080"/>
        <w:gridCol w:w="2680"/>
        <w:gridCol w:w="1080"/>
        <w:gridCol w:w="1080"/>
        <w:gridCol w:w="1080"/>
        <w:gridCol w:w="1440"/>
      </w:tblGrid>
      <w:tr>
        <w:tblPrEx>
          <w:tblCellMar>
            <w:top w:w="0" w:type="dxa"/>
            <w:left w:w="108" w:type="dxa"/>
            <w:bottom w:w="0" w:type="dxa"/>
            <w:right w:w="108" w:type="dxa"/>
          </w:tblCellMar>
        </w:tblPrEx>
        <w:trPr>
          <w:trHeight w:val="315" w:hRule="atLeast"/>
        </w:trPr>
        <w:tc>
          <w:tcPr>
            <w:tcW w:w="108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spacing w:line="240" w:lineRule="auto"/>
              <w:ind w:firstLine="0" w:firstLineChars="0"/>
              <w:rPr>
                <w:rFonts w:ascii="宋体" w:hAnsi="宋体"/>
                <w:color w:val="auto"/>
                <w:kern w:val="0"/>
                <w:sz w:val="20"/>
                <w:szCs w:val="20"/>
                <w:highlight w:val="none"/>
              </w:rPr>
            </w:pPr>
            <w:r>
              <w:rPr>
                <w:rFonts w:hint="eastAsia" w:ascii="宋体" w:hAnsi="宋体"/>
                <w:color w:val="auto"/>
                <w:kern w:val="0"/>
                <w:sz w:val="20"/>
                <w:szCs w:val="20"/>
                <w:highlight w:val="none"/>
              </w:rPr>
              <w:t>序号</w:t>
            </w:r>
          </w:p>
        </w:tc>
        <w:tc>
          <w:tcPr>
            <w:tcW w:w="2680" w:type="dxa"/>
            <w:tcBorders>
              <w:top w:val="single" w:color="auto" w:sz="8" w:space="0"/>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工程费用或名称</w:t>
            </w:r>
          </w:p>
        </w:tc>
        <w:tc>
          <w:tcPr>
            <w:tcW w:w="1080" w:type="dxa"/>
            <w:tcBorders>
              <w:top w:val="single" w:color="auto" w:sz="8" w:space="0"/>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单位</w:t>
            </w:r>
          </w:p>
        </w:tc>
        <w:tc>
          <w:tcPr>
            <w:tcW w:w="1080" w:type="dxa"/>
            <w:tcBorders>
              <w:top w:val="single" w:color="auto" w:sz="8" w:space="0"/>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数量</w:t>
            </w:r>
          </w:p>
        </w:tc>
        <w:tc>
          <w:tcPr>
            <w:tcW w:w="1080" w:type="dxa"/>
            <w:tcBorders>
              <w:top w:val="single" w:color="auto" w:sz="8" w:space="0"/>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单价（元）</w:t>
            </w:r>
          </w:p>
        </w:tc>
        <w:tc>
          <w:tcPr>
            <w:tcW w:w="1440" w:type="dxa"/>
            <w:tcBorders>
              <w:top w:val="single" w:color="auto" w:sz="8" w:space="0"/>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投资（万元）</w:t>
            </w:r>
          </w:p>
        </w:tc>
      </w:tr>
      <w:tr>
        <w:tblPrEx>
          <w:tblCellMar>
            <w:top w:w="0" w:type="dxa"/>
            <w:left w:w="108" w:type="dxa"/>
            <w:bottom w:w="0" w:type="dxa"/>
            <w:right w:w="108" w:type="dxa"/>
          </w:tblCellMar>
        </w:tblPrEx>
        <w:trPr>
          <w:trHeight w:val="300" w:hRule="atLeast"/>
        </w:trPr>
        <w:tc>
          <w:tcPr>
            <w:tcW w:w="1080" w:type="dxa"/>
            <w:tcBorders>
              <w:top w:val="nil"/>
              <w:left w:val="single" w:color="auto" w:sz="8"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一</w:t>
            </w:r>
          </w:p>
        </w:tc>
        <w:tc>
          <w:tcPr>
            <w:tcW w:w="26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第一部分：植物措施</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144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372.41 </w:t>
            </w:r>
          </w:p>
        </w:tc>
      </w:tr>
      <w:tr>
        <w:tblPrEx>
          <w:tblCellMar>
            <w:top w:w="0" w:type="dxa"/>
            <w:left w:w="108" w:type="dxa"/>
            <w:bottom w:w="0" w:type="dxa"/>
            <w:right w:w="108" w:type="dxa"/>
          </w:tblCellMar>
        </w:tblPrEx>
        <w:trPr>
          <w:trHeight w:val="300" w:hRule="atLeast"/>
        </w:trPr>
        <w:tc>
          <w:tcPr>
            <w:tcW w:w="1080" w:type="dxa"/>
            <w:tcBorders>
              <w:top w:val="nil"/>
              <w:left w:val="single" w:color="auto" w:sz="8"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1</w:t>
            </w:r>
          </w:p>
        </w:tc>
        <w:tc>
          <w:tcPr>
            <w:tcW w:w="26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主体工程</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144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344.31 </w:t>
            </w:r>
          </w:p>
        </w:tc>
      </w:tr>
      <w:tr>
        <w:tblPrEx>
          <w:tblCellMar>
            <w:top w:w="0" w:type="dxa"/>
            <w:left w:w="108" w:type="dxa"/>
            <w:bottom w:w="0" w:type="dxa"/>
            <w:right w:w="108" w:type="dxa"/>
          </w:tblCellMar>
        </w:tblPrEx>
        <w:trPr>
          <w:trHeight w:val="300" w:hRule="atLeast"/>
        </w:trPr>
        <w:tc>
          <w:tcPr>
            <w:tcW w:w="1080" w:type="dxa"/>
            <w:tcBorders>
              <w:top w:val="nil"/>
              <w:left w:val="single" w:color="auto" w:sz="8"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-1</w:t>
            </w:r>
          </w:p>
        </w:tc>
        <w:tc>
          <w:tcPr>
            <w:tcW w:w="26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草籽</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kg</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6608</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100</w:t>
            </w:r>
          </w:p>
        </w:tc>
        <w:tc>
          <w:tcPr>
            <w:tcW w:w="144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66.08 </w:t>
            </w:r>
          </w:p>
        </w:tc>
      </w:tr>
      <w:tr>
        <w:tblPrEx>
          <w:tblCellMar>
            <w:top w:w="0" w:type="dxa"/>
            <w:left w:w="108" w:type="dxa"/>
            <w:bottom w:w="0" w:type="dxa"/>
            <w:right w:w="108" w:type="dxa"/>
          </w:tblCellMar>
        </w:tblPrEx>
        <w:trPr>
          <w:trHeight w:val="300" w:hRule="atLeast"/>
        </w:trPr>
        <w:tc>
          <w:tcPr>
            <w:tcW w:w="1080" w:type="dxa"/>
            <w:tcBorders>
              <w:top w:val="nil"/>
              <w:left w:val="single" w:color="auto" w:sz="8"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-2</w:t>
            </w:r>
          </w:p>
        </w:tc>
        <w:tc>
          <w:tcPr>
            <w:tcW w:w="26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种植费</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hm2</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82.3</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1000</w:t>
            </w:r>
          </w:p>
        </w:tc>
        <w:tc>
          <w:tcPr>
            <w:tcW w:w="144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8.23 </w:t>
            </w:r>
          </w:p>
        </w:tc>
      </w:tr>
      <w:tr>
        <w:tblPrEx>
          <w:tblCellMar>
            <w:top w:w="0" w:type="dxa"/>
            <w:left w:w="108" w:type="dxa"/>
            <w:bottom w:w="0" w:type="dxa"/>
            <w:right w:w="108" w:type="dxa"/>
          </w:tblCellMar>
        </w:tblPrEx>
        <w:trPr>
          <w:trHeight w:val="300" w:hRule="atLeast"/>
        </w:trPr>
        <w:tc>
          <w:tcPr>
            <w:tcW w:w="1080" w:type="dxa"/>
            <w:tcBorders>
              <w:top w:val="nil"/>
              <w:left w:val="single" w:color="auto" w:sz="8"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-3</w:t>
            </w:r>
          </w:p>
        </w:tc>
        <w:tc>
          <w:tcPr>
            <w:tcW w:w="26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杨树</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棵</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28516</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80</w:t>
            </w:r>
          </w:p>
        </w:tc>
        <w:tc>
          <w:tcPr>
            <w:tcW w:w="144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228.13 </w:t>
            </w:r>
          </w:p>
        </w:tc>
      </w:tr>
      <w:tr>
        <w:tblPrEx>
          <w:tblCellMar>
            <w:top w:w="0" w:type="dxa"/>
            <w:left w:w="108" w:type="dxa"/>
            <w:bottom w:w="0" w:type="dxa"/>
            <w:right w:w="108" w:type="dxa"/>
          </w:tblCellMar>
        </w:tblPrEx>
        <w:trPr>
          <w:trHeight w:val="300" w:hRule="atLeast"/>
        </w:trPr>
        <w:tc>
          <w:tcPr>
            <w:tcW w:w="1080" w:type="dxa"/>
            <w:tcBorders>
              <w:top w:val="nil"/>
              <w:left w:val="single" w:color="auto" w:sz="8"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-4</w:t>
            </w:r>
          </w:p>
        </w:tc>
        <w:tc>
          <w:tcPr>
            <w:tcW w:w="26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紫穗槐</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墩</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27912</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15</w:t>
            </w:r>
          </w:p>
        </w:tc>
        <w:tc>
          <w:tcPr>
            <w:tcW w:w="144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41.87 </w:t>
            </w:r>
          </w:p>
        </w:tc>
      </w:tr>
      <w:tr>
        <w:tblPrEx>
          <w:tblCellMar>
            <w:top w:w="0" w:type="dxa"/>
            <w:left w:w="108" w:type="dxa"/>
            <w:bottom w:w="0" w:type="dxa"/>
            <w:right w:w="108" w:type="dxa"/>
          </w:tblCellMar>
        </w:tblPrEx>
        <w:trPr>
          <w:trHeight w:val="300" w:hRule="atLeast"/>
        </w:trPr>
        <w:tc>
          <w:tcPr>
            <w:tcW w:w="1080" w:type="dxa"/>
            <w:tcBorders>
              <w:top w:val="nil"/>
              <w:left w:val="single" w:color="auto" w:sz="8"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2</w:t>
            </w:r>
          </w:p>
        </w:tc>
        <w:tc>
          <w:tcPr>
            <w:tcW w:w="26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弃土区</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144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28.11 </w:t>
            </w:r>
          </w:p>
        </w:tc>
      </w:tr>
      <w:tr>
        <w:tblPrEx>
          <w:tblCellMar>
            <w:top w:w="0" w:type="dxa"/>
            <w:left w:w="108" w:type="dxa"/>
            <w:bottom w:w="0" w:type="dxa"/>
            <w:right w:w="108" w:type="dxa"/>
          </w:tblCellMar>
        </w:tblPrEx>
        <w:trPr>
          <w:trHeight w:val="300" w:hRule="atLeast"/>
        </w:trPr>
        <w:tc>
          <w:tcPr>
            <w:tcW w:w="1080" w:type="dxa"/>
            <w:tcBorders>
              <w:top w:val="nil"/>
              <w:left w:val="single" w:color="auto" w:sz="8"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-1</w:t>
            </w:r>
          </w:p>
        </w:tc>
        <w:tc>
          <w:tcPr>
            <w:tcW w:w="26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草籽</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kg</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1360.8</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100</w:t>
            </w:r>
          </w:p>
        </w:tc>
        <w:tc>
          <w:tcPr>
            <w:tcW w:w="144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13.61 </w:t>
            </w:r>
          </w:p>
        </w:tc>
      </w:tr>
      <w:tr>
        <w:tblPrEx>
          <w:tblCellMar>
            <w:top w:w="0" w:type="dxa"/>
            <w:left w:w="108" w:type="dxa"/>
            <w:bottom w:w="0" w:type="dxa"/>
            <w:right w:w="108" w:type="dxa"/>
          </w:tblCellMar>
        </w:tblPrEx>
        <w:trPr>
          <w:trHeight w:val="300" w:hRule="atLeast"/>
        </w:trPr>
        <w:tc>
          <w:tcPr>
            <w:tcW w:w="1080" w:type="dxa"/>
            <w:tcBorders>
              <w:top w:val="nil"/>
              <w:left w:val="single" w:color="auto" w:sz="8"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-2</w:t>
            </w:r>
          </w:p>
        </w:tc>
        <w:tc>
          <w:tcPr>
            <w:tcW w:w="26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种植费</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hm2</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145</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1000</w:t>
            </w:r>
          </w:p>
        </w:tc>
        <w:tc>
          <w:tcPr>
            <w:tcW w:w="144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14.50 </w:t>
            </w:r>
          </w:p>
        </w:tc>
      </w:tr>
      <w:tr>
        <w:tblPrEx>
          <w:tblCellMar>
            <w:top w:w="0" w:type="dxa"/>
            <w:left w:w="108" w:type="dxa"/>
            <w:bottom w:w="0" w:type="dxa"/>
            <w:right w:w="108" w:type="dxa"/>
          </w:tblCellMar>
        </w:tblPrEx>
        <w:trPr>
          <w:trHeight w:val="300" w:hRule="atLeast"/>
        </w:trPr>
        <w:tc>
          <w:tcPr>
            <w:tcW w:w="1080" w:type="dxa"/>
            <w:tcBorders>
              <w:top w:val="nil"/>
              <w:left w:val="single" w:color="auto" w:sz="8"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二</w:t>
            </w:r>
          </w:p>
        </w:tc>
        <w:tc>
          <w:tcPr>
            <w:tcW w:w="26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第二部分：施工临时工程</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144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13.41 </w:t>
            </w:r>
          </w:p>
        </w:tc>
      </w:tr>
      <w:tr>
        <w:tblPrEx>
          <w:tblCellMar>
            <w:top w:w="0" w:type="dxa"/>
            <w:left w:w="108" w:type="dxa"/>
            <w:bottom w:w="0" w:type="dxa"/>
            <w:right w:w="108" w:type="dxa"/>
          </w:tblCellMar>
        </w:tblPrEx>
        <w:trPr>
          <w:trHeight w:val="300" w:hRule="atLeast"/>
        </w:trPr>
        <w:tc>
          <w:tcPr>
            <w:tcW w:w="1080" w:type="dxa"/>
            <w:tcBorders>
              <w:top w:val="nil"/>
              <w:left w:val="single" w:color="auto" w:sz="8"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1</w:t>
            </w:r>
          </w:p>
        </w:tc>
        <w:tc>
          <w:tcPr>
            <w:tcW w:w="26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其他临时工程</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3.6</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372.41 </w:t>
            </w:r>
          </w:p>
        </w:tc>
        <w:tc>
          <w:tcPr>
            <w:tcW w:w="144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13.41 </w:t>
            </w:r>
          </w:p>
        </w:tc>
      </w:tr>
      <w:tr>
        <w:tblPrEx>
          <w:tblCellMar>
            <w:top w:w="0" w:type="dxa"/>
            <w:left w:w="108" w:type="dxa"/>
            <w:bottom w:w="0" w:type="dxa"/>
            <w:right w:w="108" w:type="dxa"/>
          </w:tblCellMar>
        </w:tblPrEx>
        <w:trPr>
          <w:trHeight w:val="300" w:hRule="atLeast"/>
        </w:trPr>
        <w:tc>
          <w:tcPr>
            <w:tcW w:w="1080" w:type="dxa"/>
            <w:tcBorders>
              <w:top w:val="nil"/>
              <w:left w:val="single" w:color="auto" w:sz="8"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三</w:t>
            </w:r>
          </w:p>
        </w:tc>
        <w:tc>
          <w:tcPr>
            <w:tcW w:w="26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第三部分：独立费用</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144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100.98 </w:t>
            </w:r>
          </w:p>
        </w:tc>
      </w:tr>
      <w:tr>
        <w:tblPrEx>
          <w:tblCellMar>
            <w:top w:w="0" w:type="dxa"/>
            <w:left w:w="108" w:type="dxa"/>
            <w:bottom w:w="0" w:type="dxa"/>
            <w:right w:w="108" w:type="dxa"/>
          </w:tblCellMar>
        </w:tblPrEx>
        <w:trPr>
          <w:trHeight w:val="300" w:hRule="atLeast"/>
        </w:trPr>
        <w:tc>
          <w:tcPr>
            <w:tcW w:w="1080" w:type="dxa"/>
            <w:tcBorders>
              <w:top w:val="nil"/>
              <w:left w:val="single" w:color="auto" w:sz="8"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1</w:t>
            </w:r>
          </w:p>
        </w:tc>
        <w:tc>
          <w:tcPr>
            <w:tcW w:w="26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建设单位管理费</w:t>
            </w:r>
            <w:r>
              <w:rPr>
                <w:rFonts w:cs="Times New Roman"/>
                <w:color w:val="auto"/>
                <w:kern w:val="0"/>
                <w:sz w:val="20"/>
                <w:szCs w:val="20"/>
                <w:highlight w:val="none"/>
              </w:rPr>
              <w:t xml:space="preserve"> </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3.6</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413.93 </w:t>
            </w:r>
          </w:p>
        </w:tc>
        <w:tc>
          <w:tcPr>
            <w:tcW w:w="144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14.90 </w:t>
            </w:r>
          </w:p>
        </w:tc>
      </w:tr>
      <w:tr>
        <w:tblPrEx>
          <w:tblCellMar>
            <w:top w:w="0" w:type="dxa"/>
            <w:left w:w="108" w:type="dxa"/>
            <w:bottom w:w="0" w:type="dxa"/>
            <w:right w:w="108" w:type="dxa"/>
          </w:tblCellMar>
        </w:tblPrEx>
        <w:trPr>
          <w:trHeight w:val="300" w:hRule="atLeast"/>
        </w:trPr>
        <w:tc>
          <w:tcPr>
            <w:tcW w:w="1080" w:type="dxa"/>
            <w:tcBorders>
              <w:top w:val="nil"/>
              <w:left w:val="single" w:color="auto" w:sz="8"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2</w:t>
            </w:r>
          </w:p>
        </w:tc>
        <w:tc>
          <w:tcPr>
            <w:tcW w:w="26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工程建设监理费</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3.6</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413.93 </w:t>
            </w:r>
          </w:p>
        </w:tc>
        <w:tc>
          <w:tcPr>
            <w:tcW w:w="144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14.90 </w:t>
            </w:r>
          </w:p>
        </w:tc>
      </w:tr>
      <w:tr>
        <w:tblPrEx>
          <w:tblCellMar>
            <w:top w:w="0" w:type="dxa"/>
            <w:left w:w="108" w:type="dxa"/>
            <w:bottom w:w="0" w:type="dxa"/>
            <w:right w:w="108" w:type="dxa"/>
          </w:tblCellMar>
        </w:tblPrEx>
        <w:trPr>
          <w:trHeight w:val="300" w:hRule="atLeast"/>
        </w:trPr>
        <w:tc>
          <w:tcPr>
            <w:tcW w:w="1080" w:type="dxa"/>
            <w:tcBorders>
              <w:top w:val="nil"/>
              <w:left w:val="single" w:color="auto" w:sz="8"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3</w:t>
            </w:r>
          </w:p>
        </w:tc>
        <w:tc>
          <w:tcPr>
            <w:tcW w:w="26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水土保持监测费</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2.7</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413.93 </w:t>
            </w:r>
          </w:p>
        </w:tc>
        <w:tc>
          <w:tcPr>
            <w:tcW w:w="144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11.18 </w:t>
            </w:r>
          </w:p>
        </w:tc>
      </w:tr>
      <w:tr>
        <w:tblPrEx>
          <w:tblCellMar>
            <w:top w:w="0" w:type="dxa"/>
            <w:left w:w="108" w:type="dxa"/>
            <w:bottom w:w="0" w:type="dxa"/>
            <w:right w:w="108" w:type="dxa"/>
          </w:tblCellMar>
        </w:tblPrEx>
        <w:trPr>
          <w:trHeight w:val="300" w:hRule="atLeast"/>
        </w:trPr>
        <w:tc>
          <w:tcPr>
            <w:tcW w:w="1080" w:type="dxa"/>
            <w:tcBorders>
              <w:top w:val="nil"/>
              <w:left w:val="single" w:color="auto" w:sz="8"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4</w:t>
            </w:r>
          </w:p>
        </w:tc>
        <w:tc>
          <w:tcPr>
            <w:tcW w:w="26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水土保持设施自查初验费</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144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60.00 </w:t>
            </w:r>
          </w:p>
        </w:tc>
      </w:tr>
      <w:tr>
        <w:tblPrEx>
          <w:tblCellMar>
            <w:top w:w="0" w:type="dxa"/>
            <w:left w:w="108" w:type="dxa"/>
            <w:bottom w:w="0" w:type="dxa"/>
            <w:right w:w="108" w:type="dxa"/>
          </w:tblCellMar>
        </w:tblPrEx>
        <w:trPr>
          <w:trHeight w:val="300" w:hRule="atLeast"/>
        </w:trPr>
        <w:tc>
          <w:tcPr>
            <w:tcW w:w="1080" w:type="dxa"/>
            <w:tcBorders>
              <w:top w:val="nil"/>
              <w:left w:val="single" w:color="auto" w:sz="8"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四</w:t>
            </w:r>
          </w:p>
        </w:tc>
        <w:tc>
          <w:tcPr>
            <w:tcW w:w="26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一至三部分合计</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144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486.80 </w:t>
            </w:r>
          </w:p>
        </w:tc>
      </w:tr>
      <w:tr>
        <w:tblPrEx>
          <w:tblCellMar>
            <w:top w:w="0" w:type="dxa"/>
            <w:left w:w="108" w:type="dxa"/>
            <w:bottom w:w="0" w:type="dxa"/>
            <w:right w:w="108" w:type="dxa"/>
          </w:tblCellMar>
        </w:tblPrEx>
        <w:trPr>
          <w:trHeight w:val="300" w:hRule="atLeast"/>
        </w:trPr>
        <w:tc>
          <w:tcPr>
            <w:tcW w:w="1080" w:type="dxa"/>
            <w:tcBorders>
              <w:top w:val="nil"/>
              <w:left w:val="single" w:color="auto" w:sz="8"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五</w:t>
            </w:r>
          </w:p>
        </w:tc>
        <w:tc>
          <w:tcPr>
            <w:tcW w:w="26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基本预备费</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6</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xml:space="preserve">486.80 </w:t>
            </w:r>
          </w:p>
        </w:tc>
        <w:tc>
          <w:tcPr>
            <w:tcW w:w="144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29.21 </w:t>
            </w:r>
          </w:p>
        </w:tc>
      </w:tr>
      <w:tr>
        <w:tblPrEx>
          <w:tblCellMar>
            <w:top w:w="0" w:type="dxa"/>
            <w:left w:w="108" w:type="dxa"/>
            <w:bottom w:w="0" w:type="dxa"/>
            <w:right w:w="108" w:type="dxa"/>
          </w:tblCellMar>
        </w:tblPrEx>
        <w:trPr>
          <w:trHeight w:val="300" w:hRule="atLeast"/>
        </w:trPr>
        <w:tc>
          <w:tcPr>
            <w:tcW w:w="1080" w:type="dxa"/>
            <w:tcBorders>
              <w:top w:val="nil"/>
              <w:left w:val="single" w:color="auto" w:sz="8"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六</w:t>
            </w:r>
          </w:p>
        </w:tc>
        <w:tc>
          <w:tcPr>
            <w:tcW w:w="26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水土保持补偿费</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144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54.00 </w:t>
            </w:r>
          </w:p>
        </w:tc>
      </w:tr>
      <w:tr>
        <w:tblPrEx>
          <w:tblCellMar>
            <w:top w:w="0" w:type="dxa"/>
            <w:left w:w="108" w:type="dxa"/>
            <w:bottom w:w="0" w:type="dxa"/>
            <w:right w:w="108" w:type="dxa"/>
          </w:tblCellMar>
        </w:tblPrEx>
        <w:trPr>
          <w:trHeight w:val="300" w:hRule="atLeast"/>
        </w:trPr>
        <w:tc>
          <w:tcPr>
            <w:tcW w:w="1080" w:type="dxa"/>
            <w:tcBorders>
              <w:top w:val="nil"/>
              <w:left w:val="single" w:color="auto" w:sz="8"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七</w:t>
            </w:r>
          </w:p>
        </w:tc>
        <w:tc>
          <w:tcPr>
            <w:tcW w:w="26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工程总投资</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108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　</w:t>
            </w:r>
          </w:p>
        </w:tc>
        <w:tc>
          <w:tcPr>
            <w:tcW w:w="1440"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等线" w:cs="Times New Roman"/>
                <w:color w:val="auto"/>
                <w:kern w:val="0"/>
                <w:sz w:val="20"/>
                <w:szCs w:val="20"/>
                <w:highlight w:val="none"/>
              </w:rPr>
            </w:pPr>
            <w:r>
              <w:rPr>
                <w:rFonts w:eastAsia="等线" w:cs="Times New Roman"/>
                <w:color w:val="auto"/>
                <w:kern w:val="0"/>
                <w:sz w:val="20"/>
                <w:szCs w:val="20"/>
                <w:highlight w:val="none"/>
              </w:rPr>
              <w:t xml:space="preserve">570.01 </w:t>
            </w:r>
          </w:p>
        </w:tc>
      </w:tr>
    </w:tbl>
    <w:p>
      <w:pPr>
        <w:spacing w:line="240" w:lineRule="auto"/>
        <w:ind w:firstLine="0" w:firstLineChars="0"/>
        <w:jc w:val="left"/>
        <w:rPr>
          <w:b/>
          <w:bCs/>
          <w:color w:val="auto"/>
          <w:highlight w:val="none"/>
        </w:rPr>
      </w:pPr>
    </w:p>
    <w:p>
      <w:pPr>
        <w:pStyle w:val="3"/>
        <w:rPr>
          <w:color w:val="auto"/>
          <w:highlight w:val="none"/>
        </w:rPr>
      </w:pPr>
      <w:bookmarkStart w:id="151" w:name="_Toc30774"/>
      <w:r>
        <w:rPr>
          <w:rFonts w:hint="eastAsia"/>
          <w:color w:val="auto"/>
          <w:highlight w:val="none"/>
        </w:rPr>
        <w:t>10.7实施保障措施</w:t>
      </w:r>
      <w:bookmarkEnd w:id="151"/>
    </w:p>
    <w:p>
      <w:pPr>
        <w:ind w:firstLine="480"/>
        <w:rPr>
          <w:color w:val="auto"/>
          <w:highlight w:val="none"/>
        </w:rPr>
      </w:pPr>
      <w:r>
        <w:rPr>
          <w:rFonts w:hint="eastAsia"/>
          <w:color w:val="auto"/>
          <w:highlight w:val="none"/>
        </w:rPr>
        <w:t>水土保持方案实施保障措施是保证水土保持方案顺利实施的重要规划。根据《中华人民共和国水土保持法》、《中华人民共和国水土保持法实施条例》、《山东省实施&lt;中华人民共和国水土保持法&gt;办法》等要求，批准后的水土保持方案应严格执行“三同时”制度、方案实施进展定期报告制度，在主体工程竣工验收时应同时验收水土保持设施。为确保本工程水土保持方案的顺利实施、新增水土流失得到有效控制、项目区及周边生态环境良性发展，确保按时保质保量实施批准的水土保持方案，使该方案设计的水土保持措施发挥最大效益，实现本方案确定的防治目标，应建立健全水土保持领导协调的组织、机构，落实方案实施的技术手段和资金来源，严格资金管理，实行全方位管理，确保水土保持方案的顺利实施。</w:t>
      </w:r>
    </w:p>
    <w:p>
      <w:pPr>
        <w:ind w:firstLine="480"/>
        <w:rPr>
          <w:color w:val="auto"/>
          <w:highlight w:val="none"/>
        </w:rPr>
      </w:pPr>
      <w:r>
        <w:rPr>
          <w:rFonts w:hint="eastAsia"/>
          <w:color w:val="auto"/>
          <w:highlight w:val="none"/>
        </w:rPr>
        <w:t>1、组织领导和管理措施</w:t>
      </w:r>
    </w:p>
    <w:p>
      <w:pPr>
        <w:ind w:firstLine="480"/>
        <w:rPr>
          <w:color w:val="auto"/>
          <w:highlight w:val="none"/>
        </w:rPr>
      </w:pPr>
      <w:r>
        <w:rPr>
          <w:rFonts w:hint="eastAsia"/>
          <w:color w:val="auto"/>
          <w:highlight w:val="none"/>
        </w:rPr>
        <w:t>建设项目管理单位应成立水土保持方案实施管理机构，设专人（专职或兼职）统一负责本工程水土保持工作，协调好该水土保持方案与主体工程的关系，负责组织实施审批的水土保持方案，开展水土保持方案的实施检查，同时制定相应的实施、检查、验收等方面的管理办法和制度，做到有机构、有人员、组织健全、人员固定，全力保证该项工程的水土保持工作按年度、按计划进行，并主动与当地水行政主管部门密切配合，自觉接受地方水行政主管部门的监督检查。该工程水土保持管理机构的主要工作职责包括：</w:t>
      </w:r>
    </w:p>
    <w:p>
      <w:pPr>
        <w:ind w:firstLine="480"/>
        <w:rPr>
          <w:color w:val="auto"/>
          <w:highlight w:val="none"/>
        </w:rPr>
      </w:pPr>
      <w:r>
        <w:rPr>
          <w:rFonts w:hint="eastAsia"/>
          <w:color w:val="auto"/>
          <w:highlight w:val="none"/>
        </w:rPr>
        <w:t>（1）建立水土保持目标责任制，把水土保持列为工程进度、质量考核的内容之一，按年度向水行政主管部门报告水土流失防治情况，制定水土保持方案详细实施计划。</w:t>
      </w:r>
    </w:p>
    <w:p>
      <w:pPr>
        <w:ind w:firstLine="480"/>
        <w:rPr>
          <w:color w:val="auto"/>
          <w:highlight w:val="none"/>
        </w:rPr>
      </w:pPr>
      <w:r>
        <w:rPr>
          <w:rFonts w:hint="eastAsia"/>
          <w:color w:val="auto"/>
          <w:highlight w:val="none"/>
        </w:rPr>
        <w:t>（2）工程施工期间，与设计、施工、监理单位保持畅通联系，协调好水土保持方案与主体工程的关系，确保水土保持设施的正常建设，并按时竣工，最大限度减少人为造成的水土流失和生态环境的破坏。</w:t>
      </w:r>
    </w:p>
    <w:p>
      <w:pPr>
        <w:ind w:firstLine="480"/>
        <w:rPr>
          <w:color w:val="auto"/>
          <w:highlight w:val="none"/>
        </w:rPr>
      </w:pPr>
      <w:r>
        <w:rPr>
          <w:rFonts w:hint="eastAsia"/>
          <w:color w:val="auto"/>
          <w:highlight w:val="none"/>
        </w:rPr>
        <w:t>（3）经常深入工程现场进行检查，掌握工程施工和运行期间的水土流失状况及其防治措施落实情况。</w:t>
      </w:r>
    </w:p>
    <w:p>
      <w:pPr>
        <w:ind w:firstLine="480"/>
        <w:rPr>
          <w:color w:val="auto"/>
          <w:highlight w:val="none"/>
        </w:rPr>
      </w:pPr>
      <w:r>
        <w:rPr>
          <w:rFonts w:hint="eastAsia"/>
          <w:color w:val="auto"/>
          <w:highlight w:val="none"/>
        </w:rPr>
        <w:t>（4）注意积累并整理水土保持资料，特别是质量评定的原始资料和临时防护措施的影响资料，为工程水土保持设施专项验收提供基础技术资料。</w:t>
      </w:r>
    </w:p>
    <w:p>
      <w:pPr>
        <w:ind w:firstLine="480"/>
        <w:rPr>
          <w:color w:val="auto"/>
          <w:highlight w:val="none"/>
        </w:rPr>
      </w:pPr>
      <w:r>
        <w:rPr>
          <w:rFonts w:hint="eastAsia"/>
          <w:color w:val="auto"/>
          <w:highlight w:val="none"/>
        </w:rPr>
        <w:t>（5）水土保持工程建成后，为保证工程安全和正常运行，充分发挥工程效益，建设单位必须对永久征地范围内的水土保持设施进行维护和管理。</w:t>
      </w:r>
    </w:p>
    <w:p>
      <w:pPr>
        <w:ind w:firstLine="480"/>
        <w:rPr>
          <w:color w:val="auto"/>
          <w:highlight w:val="none"/>
        </w:rPr>
      </w:pPr>
      <w:r>
        <w:rPr>
          <w:rFonts w:hint="eastAsia"/>
          <w:color w:val="auto"/>
          <w:highlight w:val="none"/>
        </w:rPr>
        <w:t>2、后续设计</w:t>
      </w:r>
    </w:p>
    <w:p>
      <w:pPr>
        <w:ind w:firstLine="480"/>
        <w:rPr>
          <w:color w:val="auto"/>
          <w:highlight w:val="none"/>
        </w:rPr>
      </w:pPr>
      <w:r>
        <w:rPr>
          <w:rFonts w:hint="eastAsia"/>
          <w:color w:val="auto"/>
          <w:highlight w:val="none"/>
        </w:rPr>
        <w:t>水土保持方案经当地水行政主管部门批复后，建设单位应委托具有相应工程设计资质的单位按设计程序完成水土保持工程初步设计和施工图设计工作，并报当地水行政主管部门备案。</w:t>
      </w:r>
    </w:p>
    <w:p>
      <w:pPr>
        <w:ind w:firstLine="480"/>
        <w:rPr>
          <w:color w:val="auto"/>
          <w:highlight w:val="none"/>
        </w:rPr>
      </w:pPr>
      <w:r>
        <w:rPr>
          <w:rFonts w:hint="eastAsia"/>
          <w:color w:val="auto"/>
          <w:highlight w:val="none"/>
        </w:rPr>
        <w:t>最后，在主体工程的初步设计中，要将批复的水土保持防治措施和概算纳入，并单独成章；初步设计审查应有当地水行政主管部门人员参加并提出书面意见。本项目水土保持方案设计的重大变更应按规定程序报当地水行政主管部门审批。</w:t>
      </w:r>
    </w:p>
    <w:p>
      <w:pPr>
        <w:ind w:firstLine="480"/>
        <w:rPr>
          <w:color w:val="auto"/>
          <w:highlight w:val="none"/>
        </w:rPr>
      </w:pPr>
      <w:r>
        <w:rPr>
          <w:rFonts w:hint="eastAsia"/>
          <w:color w:val="auto"/>
          <w:highlight w:val="none"/>
        </w:rPr>
        <w:t>3、水土保持工程招投标</w:t>
      </w:r>
    </w:p>
    <w:p>
      <w:pPr>
        <w:ind w:firstLine="480"/>
        <w:rPr>
          <w:color w:val="auto"/>
          <w:highlight w:val="none"/>
        </w:rPr>
      </w:pPr>
      <w:r>
        <w:rPr>
          <w:rFonts w:hint="eastAsia"/>
          <w:color w:val="auto"/>
          <w:highlight w:val="none"/>
        </w:rPr>
        <w:t>水土保持工程实施招投标制，在工程的发包标书中详细列出水土保持工程内容，明确施工单位的施工责任，明确其防治水土流失的责任范围，并以合同形式明确中标单位应承担的防治水土流失的责任和义务。</w:t>
      </w:r>
    </w:p>
    <w:p>
      <w:pPr>
        <w:ind w:firstLine="480"/>
        <w:rPr>
          <w:color w:val="auto"/>
          <w:highlight w:val="none"/>
        </w:rPr>
      </w:pPr>
      <w:r>
        <w:rPr>
          <w:rFonts w:hint="eastAsia"/>
          <w:color w:val="auto"/>
          <w:highlight w:val="none"/>
        </w:rPr>
        <w:t>中标的施工单位在实施水土保持工程时，对设计内容如有变更，应按有关规定实施报批程序。变动较小的，由施工单位向监理单位报告并征得同意即可；变动较大的，如主要防治措施的规模、位置发生变化时，按方案报批程序报原方案审批机关审批。</w:t>
      </w:r>
    </w:p>
    <w:p>
      <w:pPr>
        <w:ind w:firstLine="480"/>
        <w:rPr>
          <w:color w:val="auto"/>
          <w:highlight w:val="none"/>
        </w:rPr>
      </w:pPr>
      <w:r>
        <w:rPr>
          <w:rFonts w:hint="eastAsia"/>
          <w:color w:val="auto"/>
          <w:highlight w:val="none"/>
        </w:rPr>
        <w:t>4、水土保持工程建设监理</w:t>
      </w:r>
    </w:p>
    <w:p>
      <w:pPr>
        <w:ind w:firstLine="480"/>
        <w:rPr>
          <w:color w:val="auto"/>
          <w:highlight w:val="none"/>
        </w:rPr>
      </w:pPr>
      <w:r>
        <w:rPr>
          <w:rFonts w:hint="eastAsia"/>
          <w:color w:val="auto"/>
          <w:highlight w:val="none"/>
        </w:rPr>
        <w:t>水土保持工程监理是落实水土保持方案的重要措施，通过水土保持监理可为有效防治水土流失提供质量保障，确保达到水土保持方案提出的防治目标和水土保持资金的使用效益，同时为水土保持竣工验收工作奠定基础。根据水利部《水利工程建设监理规定》、《关于加强大中型开发建设项目水土保持监理工作的通知》的规定，该项目必须开展水土保持工程施工监理。该项目法人应当按照水利工程建设项目招标投标管理的规定，通过招标方式选定水土保持措施实施的监理单位，对方案实施进行全过程的监理。承担水土保持工程监理工作的单位必须具有水土保持监理资质，其工作人员必须取得水土保持监理工程师证书或监理资格培训结业证书，同时根据国家建设监理的有关规定和技术规范、批准的水土保持方案及工程设计文件、工程施工合同、监理合同等开展监理工作。</w:t>
      </w:r>
    </w:p>
    <w:p>
      <w:pPr>
        <w:ind w:firstLine="480"/>
        <w:rPr>
          <w:color w:val="auto"/>
          <w:highlight w:val="none"/>
        </w:rPr>
      </w:pPr>
      <w:r>
        <w:rPr>
          <w:rFonts w:hint="eastAsia"/>
          <w:color w:val="auto"/>
          <w:highlight w:val="none"/>
        </w:rPr>
        <w:t>监理单位确定后，需向该水土保持方案批准单位备案。在监理过程中，监理单位应对水土保持设施的单元工程、分部工程、单位工程提出质量评定意见，并在工程结束后向业主提交水土保持工程专项监理报告。</w:t>
      </w:r>
    </w:p>
    <w:p>
      <w:pPr>
        <w:ind w:firstLine="480"/>
        <w:rPr>
          <w:color w:val="auto"/>
          <w:highlight w:val="none"/>
        </w:rPr>
      </w:pPr>
      <w:r>
        <w:rPr>
          <w:rFonts w:hint="eastAsia"/>
          <w:color w:val="auto"/>
          <w:highlight w:val="none"/>
        </w:rPr>
        <w:t>水土保持竣工验收时，需提交水土保持专项监理报告，同时需提交临时措施的影像资料和质量评定的原始资料等，作为水土保持设施专项验收的依据。</w:t>
      </w:r>
    </w:p>
    <w:p>
      <w:pPr>
        <w:ind w:firstLine="480"/>
        <w:rPr>
          <w:color w:val="auto"/>
          <w:highlight w:val="none"/>
        </w:rPr>
      </w:pPr>
      <w:r>
        <w:rPr>
          <w:rFonts w:hint="eastAsia"/>
          <w:color w:val="auto"/>
          <w:highlight w:val="none"/>
        </w:rPr>
        <w:t>5、 水土保持监测</w:t>
      </w:r>
    </w:p>
    <w:p>
      <w:pPr>
        <w:ind w:firstLine="480"/>
        <w:rPr>
          <w:color w:val="auto"/>
          <w:highlight w:val="none"/>
        </w:rPr>
      </w:pPr>
      <w:r>
        <w:rPr>
          <w:rFonts w:hint="eastAsia"/>
          <w:color w:val="auto"/>
          <w:highlight w:val="none"/>
        </w:rPr>
        <w:t>根据水土保持法规政策规定，本工程建设单位必须对开发建设项目水土保持设施的防治情况进行跟踪监测。建设单位应当委托具有乙级及以上水土保持监测资质的机构按本方案规定的监测内容、方法和时段对生产建设活动造成的水土流失进行监测，并编制《水土保持监测实施方案》。实施过程中，监测成果应定期上报当地水行政主管部门，并通过与项目区原生态环境进行对比分析，验证水土流失防治措施的合理性、科学性，并对方案实施后的恢复能力及防治效果作出综合评判，并在监测结束后编制监测报告。</w:t>
      </w:r>
    </w:p>
    <w:p>
      <w:pPr>
        <w:ind w:firstLine="480"/>
        <w:rPr>
          <w:color w:val="auto"/>
          <w:highlight w:val="none"/>
        </w:rPr>
      </w:pPr>
      <w:r>
        <w:rPr>
          <w:rFonts w:hint="eastAsia"/>
          <w:color w:val="auto"/>
          <w:highlight w:val="none"/>
        </w:rPr>
        <w:t>水土保持工程竣工验收时需提交水土保持监测报告、监测的点位和监测影像资料及相关的监测图件等，将作为水土保持设施专项验收的依据。</w:t>
      </w:r>
    </w:p>
    <w:p>
      <w:pPr>
        <w:ind w:firstLine="480"/>
        <w:rPr>
          <w:color w:val="auto"/>
          <w:highlight w:val="none"/>
        </w:rPr>
      </w:pPr>
      <w:r>
        <w:rPr>
          <w:rFonts w:hint="eastAsia"/>
          <w:color w:val="auto"/>
          <w:highlight w:val="none"/>
        </w:rPr>
        <w:t>6、 施工管理</w:t>
      </w:r>
    </w:p>
    <w:p>
      <w:pPr>
        <w:ind w:firstLine="480"/>
        <w:rPr>
          <w:color w:val="auto"/>
          <w:highlight w:val="none"/>
        </w:rPr>
      </w:pPr>
      <w:r>
        <w:rPr>
          <w:rFonts w:hint="eastAsia"/>
          <w:color w:val="auto"/>
          <w:highlight w:val="none"/>
        </w:rPr>
        <w:t>本方案经批准后具有依法强制性，不得擅自变更，根据有关水土保持法律、法规，国家水行政主管部门有权利依法对水土保持方案的实施情况进行监督管理。建设单位应强化施工管理，严格按照方案要求进行自查，并主动与各级水土保持监督部门取得联系，加强与省、市水行政主管部门合作，自觉接受各级水行政主管部门的监督检查，对水行政主管部门的监督检查情况应做好记录，对监督检查中发现的问题应及时处理，保证方案设计各项水土保持措施顺利进行，并作为水土保持设施验收的参考资料。</w:t>
      </w:r>
    </w:p>
    <w:p>
      <w:pPr>
        <w:ind w:firstLine="480"/>
        <w:rPr>
          <w:color w:val="auto"/>
          <w:highlight w:val="none"/>
        </w:rPr>
      </w:pPr>
      <w:r>
        <w:rPr>
          <w:rFonts w:hint="eastAsia"/>
          <w:color w:val="auto"/>
          <w:highlight w:val="none"/>
        </w:rPr>
        <w:t>由于该方案中具有相当数量的水土保持植物措施、临时措施，这些措施的实施和维护需要当地群众的理解、支持和配合。为此，工程建设单位应积极向当地群众宣传《中华人民共和国水土保持法》，制定明确的公众参与制度，实施群众监督。参加本工程建设的施工单位，应与当地政府及其有关部门联系，在他们的支持、协作下，做好群众的宣传、教育工作，使当地群众树立起环境意识和法制观念，爱护树木花草，减少水土流失带来的负面影响，保障项目建成后的安全运营。</w:t>
      </w:r>
    </w:p>
    <w:p>
      <w:pPr>
        <w:ind w:firstLine="480"/>
        <w:rPr>
          <w:color w:val="auto"/>
          <w:highlight w:val="none"/>
        </w:rPr>
      </w:pPr>
      <w:r>
        <w:rPr>
          <w:rFonts w:hint="eastAsia"/>
          <w:color w:val="auto"/>
          <w:highlight w:val="none"/>
        </w:rPr>
        <w:t>7、 检查验收</w:t>
      </w:r>
    </w:p>
    <w:p>
      <w:pPr>
        <w:ind w:firstLine="480"/>
        <w:rPr>
          <w:color w:val="auto"/>
          <w:highlight w:val="none"/>
        </w:rPr>
      </w:pPr>
      <w:r>
        <w:rPr>
          <w:rFonts w:hint="eastAsia"/>
          <w:color w:val="auto"/>
          <w:highlight w:val="none"/>
        </w:rPr>
        <w:t>项目建成后必须开展水土保持设施的验收工作，验收内容、程序等按照《开发建设项目水土保持设施验收管理办法》（2002年10月14号水利部令第16号发布，2005年7月8日水利部令第24号《水利部关于修改部分水利行政许可规章的决定》修改）执行。</w:t>
      </w:r>
    </w:p>
    <w:p>
      <w:pPr>
        <w:ind w:firstLine="480"/>
        <w:rPr>
          <w:color w:val="auto"/>
          <w:highlight w:val="none"/>
        </w:rPr>
      </w:pPr>
      <w:r>
        <w:rPr>
          <w:rFonts w:hint="eastAsia"/>
          <w:color w:val="auto"/>
          <w:highlight w:val="none"/>
        </w:rPr>
        <w:t>验收的重点是水土保持设施总体布局与防治分区是否科学合理、各项防治措施是否按设计实施以及水土流失措施的数量和质量，质量验收中应包括林草成活率、保存率，工程措施经汛期暴雨的考验情况等内容。建设单位、水土保持方案编制单位、设计单位、施工单位、监理单位、监测报告编制单位均应参加现场验收。</w:t>
      </w:r>
    </w:p>
    <w:p>
      <w:pPr>
        <w:ind w:firstLine="480"/>
        <w:rPr>
          <w:color w:val="auto"/>
          <w:highlight w:val="none"/>
        </w:rPr>
      </w:pPr>
      <w:r>
        <w:rPr>
          <w:rFonts w:hint="eastAsia"/>
          <w:color w:val="auto"/>
          <w:highlight w:val="none"/>
        </w:rPr>
        <w:t>水土保持验收合格手续作为开发建设项目竣工验收的重要依据之一。对验收不合格的项目，主体工程不得投入运行，直至验收合格。</w:t>
      </w:r>
    </w:p>
    <w:p>
      <w:pPr>
        <w:ind w:firstLine="480"/>
        <w:rPr>
          <w:color w:val="auto"/>
          <w:highlight w:val="none"/>
        </w:rPr>
      </w:pPr>
      <w:r>
        <w:rPr>
          <w:rFonts w:hint="eastAsia"/>
          <w:color w:val="auto"/>
          <w:highlight w:val="none"/>
        </w:rPr>
        <w:t>8、资金来源及使用管理</w:t>
      </w:r>
    </w:p>
    <w:p>
      <w:pPr>
        <w:ind w:firstLine="480"/>
        <w:rPr>
          <w:color w:val="auto"/>
          <w:highlight w:val="none"/>
        </w:rPr>
      </w:pPr>
      <w:r>
        <w:rPr>
          <w:rFonts w:hint="eastAsia"/>
          <w:color w:val="auto"/>
          <w:highlight w:val="none"/>
        </w:rPr>
        <w:t>（1）资金来源</w:t>
      </w:r>
    </w:p>
    <w:p>
      <w:pPr>
        <w:ind w:firstLine="480"/>
        <w:rPr>
          <w:color w:val="auto"/>
          <w:highlight w:val="none"/>
        </w:rPr>
      </w:pPr>
      <w:r>
        <w:rPr>
          <w:rFonts w:hint="eastAsia"/>
          <w:color w:val="auto"/>
          <w:highlight w:val="none"/>
        </w:rPr>
        <w:t>开发建设单位应负担全部水土流失防治措施投资。建设过程中的水土流失防治费从基本建设投资中列出，运行过程中的水土流失防治费从生产费中列出。水土保持方案经批准后所需要的防治费用，根据主体工程经费预算情况，应尽快落实或申请追加，确保所需资金按年度计划及时足额到位，保证方案按时保质保量完成。</w:t>
      </w:r>
    </w:p>
    <w:p>
      <w:pPr>
        <w:ind w:firstLine="480"/>
        <w:rPr>
          <w:color w:val="auto"/>
          <w:highlight w:val="none"/>
        </w:rPr>
      </w:pPr>
      <w:r>
        <w:rPr>
          <w:rFonts w:hint="eastAsia"/>
          <w:color w:val="auto"/>
          <w:highlight w:val="none"/>
        </w:rPr>
        <w:t>（2）资金管理</w:t>
      </w:r>
    </w:p>
    <w:p>
      <w:pPr>
        <w:ind w:firstLine="480"/>
        <w:rPr>
          <w:color w:val="auto"/>
          <w:highlight w:val="none"/>
        </w:rPr>
      </w:pPr>
      <w:r>
        <w:rPr>
          <w:rFonts w:hint="eastAsia"/>
          <w:color w:val="auto"/>
          <w:highlight w:val="none"/>
        </w:rPr>
        <w:t>建设单位需要做好水土保持资金的使用管理工作，为保证水土保持工程建设资金的及时到位，保障水土保持工程建设顺利进行，防止和避免被挪用或占用，应建立水土保持资金专户储存，专款专用，并按照水土保持实施进度与资金年度计划按期拨付水土流失防治费。水土保持设施竣工验收时，建设单位应就水土保持投资概算调整情况、分年度投资安排、资金到位情况和经费支出情况写出总结报告。</w:t>
      </w:r>
    </w:p>
    <w:p>
      <w:pPr>
        <w:ind w:firstLine="480"/>
        <w:rPr>
          <w:color w:val="auto"/>
          <w:highlight w:val="none"/>
        </w:rPr>
      </w:pPr>
    </w:p>
    <w:p>
      <w:pPr>
        <w:widowControl/>
        <w:spacing w:line="240" w:lineRule="auto"/>
        <w:ind w:firstLine="0" w:firstLineChars="0"/>
        <w:jc w:val="left"/>
        <w:rPr>
          <w:color w:val="auto"/>
          <w:highlight w:val="none"/>
        </w:rPr>
      </w:pPr>
      <w:r>
        <w:rPr>
          <w:color w:val="auto"/>
          <w:highlight w:val="none"/>
        </w:rPr>
        <w:br w:type="page"/>
      </w:r>
    </w:p>
    <w:p>
      <w:pPr>
        <w:pStyle w:val="2"/>
        <w:rPr>
          <w:color w:val="auto"/>
          <w:highlight w:val="none"/>
        </w:rPr>
      </w:pPr>
      <w:bookmarkStart w:id="152" w:name="_Toc4489"/>
      <w:r>
        <w:rPr>
          <w:rFonts w:hint="eastAsia"/>
          <w:color w:val="auto"/>
          <w:highlight w:val="none"/>
        </w:rPr>
        <w:t>11 在劳动安全与卫生</w:t>
      </w:r>
      <w:bookmarkEnd w:id="152"/>
    </w:p>
    <w:p>
      <w:pPr>
        <w:pStyle w:val="3"/>
        <w:rPr>
          <w:color w:val="auto"/>
          <w:highlight w:val="none"/>
        </w:rPr>
      </w:pPr>
      <w:bookmarkStart w:id="153" w:name="_Toc12445"/>
      <w:r>
        <w:rPr>
          <w:rFonts w:hint="eastAsia"/>
          <w:color w:val="auto"/>
          <w:highlight w:val="none"/>
        </w:rPr>
        <w:t>11.1设计依据及标准</w:t>
      </w:r>
      <w:bookmarkEnd w:id="153"/>
    </w:p>
    <w:p>
      <w:pPr>
        <w:ind w:firstLine="480"/>
        <w:rPr>
          <w:color w:val="auto"/>
          <w:highlight w:val="none"/>
        </w:rPr>
      </w:pPr>
      <w:r>
        <w:rPr>
          <w:rFonts w:hint="eastAsia"/>
          <w:color w:val="auto"/>
          <w:highlight w:val="none"/>
        </w:rPr>
        <w:t>1、国家《劳动法》、《安全生产法》；</w:t>
      </w:r>
    </w:p>
    <w:p>
      <w:pPr>
        <w:ind w:firstLine="480"/>
        <w:rPr>
          <w:color w:val="auto"/>
          <w:highlight w:val="none"/>
        </w:rPr>
      </w:pPr>
      <w:r>
        <w:rPr>
          <w:rFonts w:hint="eastAsia"/>
          <w:color w:val="auto"/>
          <w:highlight w:val="none"/>
        </w:rPr>
        <w:t>2、《建设项目（工程）劳动安全卫生检察规定》劳动部第3号令；</w:t>
      </w:r>
    </w:p>
    <w:p>
      <w:pPr>
        <w:ind w:firstLine="480"/>
        <w:rPr>
          <w:color w:val="auto"/>
          <w:highlight w:val="none"/>
        </w:rPr>
      </w:pPr>
      <w:r>
        <w:rPr>
          <w:rFonts w:hint="eastAsia"/>
          <w:color w:val="auto"/>
          <w:highlight w:val="none"/>
        </w:rPr>
        <w:t>3、《工业企业建设项目卫生预评价规范》卫监发（1994）第28号；</w:t>
      </w:r>
    </w:p>
    <w:p>
      <w:pPr>
        <w:ind w:firstLine="480"/>
        <w:rPr>
          <w:color w:val="auto"/>
          <w:highlight w:val="none"/>
        </w:rPr>
      </w:pPr>
      <w:r>
        <w:rPr>
          <w:rFonts w:hint="eastAsia"/>
          <w:color w:val="auto"/>
          <w:highlight w:val="none"/>
        </w:rPr>
        <w:t>4、《食品工业职业安全卫生设计规定（试行）》；</w:t>
      </w:r>
    </w:p>
    <w:p>
      <w:pPr>
        <w:ind w:firstLine="480"/>
        <w:rPr>
          <w:color w:val="auto"/>
          <w:highlight w:val="none"/>
        </w:rPr>
      </w:pPr>
      <w:r>
        <w:rPr>
          <w:rFonts w:hint="eastAsia"/>
          <w:color w:val="auto"/>
          <w:highlight w:val="none"/>
        </w:rPr>
        <w:t>5、《工业企业设计卫生标准》（GBZ1-2010）；</w:t>
      </w:r>
    </w:p>
    <w:p>
      <w:pPr>
        <w:ind w:firstLine="480"/>
        <w:rPr>
          <w:color w:val="auto"/>
          <w:highlight w:val="none"/>
        </w:rPr>
      </w:pPr>
      <w:r>
        <w:rPr>
          <w:rFonts w:hint="eastAsia"/>
          <w:color w:val="auto"/>
          <w:highlight w:val="none"/>
        </w:rPr>
        <w:t>6、《工业企业长界环境噪声排放标准》（GB12348-2008）；</w:t>
      </w:r>
    </w:p>
    <w:p>
      <w:pPr>
        <w:ind w:firstLine="480"/>
        <w:rPr>
          <w:color w:val="auto"/>
          <w:highlight w:val="none"/>
        </w:rPr>
      </w:pPr>
      <w:r>
        <w:rPr>
          <w:rFonts w:hint="eastAsia"/>
          <w:color w:val="auto"/>
          <w:highlight w:val="none"/>
        </w:rPr>
        <w:t>7、《安全标志使用导则》（GB2894-2008）；</w:t>
      </w:r>
    </w:p>
    <w:p>
      <w:pPr>
        <w:ind w:firstLine="480"/>
        <w:rPr>
          <w:color w:val="auto"/>
          <w:highlight w:val="none"/>
        </w:rPr>
      </w:pPr>
      <w:r>
        <w:rPr>
          <w:rFonts w:hint="eastAsia"/>
          <w:color w:val="auto"/>
          <w:highlight w:val="none"/>
        </w:rPr>
        <w:t>8、《水利水电工程劳动安全与工业卫生设计规范》（GB50706-2011）；</w:t>
      </w:r>
    </w:p>
    <w:p>
      <w:pPr>
        <w:ind w:firstLine="480"/>
        <w:rPr>
          <w:color w:val="auto"/>
          <w:highlight w:val="none"/>
        </w:rPr>
      </w:pPr>
      <w:r>
        <w:rPr>
          <w:rFonts w:hint="eastAsia"/>
          <w:color w:val="auto"/>
          <w:highlight w:val="none"/>
        </w:rPr>
        <w:t>9、《生产设备安全卫生设计总则》（GB5083-1999）。</w:t>
      </w:r>
    </w:p>
    <w:p>
      <w:pPr>
        <w:pStyle w:val="3"/>
        <w:rPr>
          <w:color w:val="auto"/>
          <w:highlight w:val="none"/>
        </w:rPr>
      </w:pPr>
      <w:bookmarkStart w:id="154" w:name="_Toc27045"/>
      <w:r>
        <w:rPr>
          <w:rFonts w:hint="eastAsia"/>
          <w:color w:val="auto"/>
          <w:highlight w:val="none"/>
        </w:rPr>
        <w:t>11.2设计原则及防范措施</w:t>
      </w:r>
      <w:bookmarkEnd w:id="154"/>
    </w:p>
    <w:p>
      <w:pPr>
        <w:ind w:firstLine="480"/>
        <w:rPr>
          <w:color w:val="auto"/>
          <w:highlight w:val="none"/>
        </w:rPr>
      </w:pPr>
      <w:r>
        <w:rPr>
          <w:rFonts w:hint="eastAsia"/>
          <w:color w:val="auto"/>
          <w:highlight w:val="none"/>
        </w:rPr>
        <w:t>1、原则</w:t>
      </w:r>
    </w:p>
    <w:p>
      <w:pPr>
        <w:ind w:firstLine="480"/>
        <w:rPr>
          <w:color w:val="auto"/>
          <w:highlight w:val="none"/>
        </w:rPr>
      </w:pPr>
      <w:r>
        <w:rPr>
          <w:rFonts w:hint="eastAsia"/>
          <w:color w:val="auto"/>
          <w:highlight w:val="none"/>
        </w:rPr>
        <w:t>本项目设计有一套完整的安全卫生组织机构，建立相应的安全管理及安全教育制度，配有专职安全员。</w:t>
      </w:r>
    </w:p>
    <w:p>
      <w:pPr>
        <w:ind w:firstLine="480"/>
        <w:rPr>
          <w:color w:val="auto"/>
          <w:highlight w:val="none"/>
        </w:rPr>
      </w:pPr>
      <w:r>
        <w:rPr>
          <w:rFonts w:hint="eastAsia"/>
          <w:color w:val="auto"/>
          <w:highlight w:val="none"/>
        </w:rPr>
        <w:t>本设计贯彻“安全第一，预防为主”的方针，安全卫生设施必须执行与主体工程同时设计，同时施工，同时投产的“三同时”制度，以保证生产安全，提高生产水平，促进企业生产发展。</w:t>
      </w:r>
    </w:p>
    <w:p>
      <w:pPr>
        <w:ind w:firstLine="480"/>
        <w:rPr>
          <w:color w:val="auto"/>
          <w:highlight w:val="none"/>
        </w:rPr>
      </w:pPr>
      <w:r>
        <w:rPr>
          <w:rFonts w:hint="eastAsia"/>
          <w:color w:val="auto"/>
          <w:highlight w:val="none"/>
        </w:rPr>
        <w:t>2、防范措施</w:t>
      </w:r>
    </w:p>
    <w:p>
      <w:pPr>
        <w:ind w:firstLine="480"/>
        <w:rPr>
          <w:color w:val="auto"/>
          <w:highlight w:val="none"/>
        </w:rPr>
      </w:pPr>
      <w:r>
        <w:rPr>
          <w:rFonts w:hint="eastAsia"/>
          <w:color w:val="auto"/>
          <w:highlight w:val="none"/>
        </w:rPr>
        <w:t>（1）建构筑物按设计规定防雷装置，变压器中性点直接接地，低压系统采用 TN-S 接地型式，高低压电气设备正常情况与带点部分绝缘的外露金属部分及金属支架均作保护接地，插座回路均设漏电保护开关，带点设备金属外壳设保护接地，以确保用电安全。</w:t>
      </w:r>
    </w:p>
    <w:p>
      <w:pPr>
        <w:ind w:firstLine="480"/>
        <w:rPr>
          <w:color w:val="auto"/>
          <w:highlight w:val="none"/>
        </w:rPr>
      </w:pPr>
      <w:r>
        <w:rPr>
          <w:rFonts w:hint="eastAsia"/>
          <w:color w:val="auto"/>
          <w:highlight w:val="none"/>
        </w:rPr>
        <w:t>（2）提高自控水平，设计紧急切断系统和报警装置，保证安全生产。</w:t>
      </w:r>
    </w:p>
    <w:p>
      <w:pPr>
        <w:ind w:firstLine="480"/>
        <w:rPr>
          <w:color w:val="auto"/>
          <w:highlight w:val="none"/>
        </w:rPr>
      </w:pPr>
      <w:r>
        <w:rPr>
          <w:rFonts w:hint="eastAsia"/>
          <w:color w:val="auto"/>
          <w:highlight w:val="none"/>
        </w:rPr>
        <w:t>（3）各启闭室内采用全室通风合璧扇降温，在工作环境较差的作业点，夏季应采用多种降温方式，给工人创造良好的工作环境。</w:t>
      </w:r>
    </w:p>
    <w:p>
      <w:pPr>
        <w:ind w:firstLine="480"/>
        <w:rPr>
          <w:color w:val="auto"/>
          <w:highlight w:val="none"/>
        </w:rPr>
      </w:pPr>
      <w:r>
        <w:rPr>
          <w:rFonts w:hint="eastAsia"/>
          <w:color w:val="auto"/>
          <w:highlight w:val="none"/>
        </w:rPr>
        <w:t>（4）对职工进行安全、卫生、防火、防爆等教育，对新职工必须经过三级安全教育，并通过考试，考试合格取得安全作业证后方可上岗。</w:t>
      </w:r>
    </w:p>
    <w:p>
      <w:pPr>
        <w:ind w:firstLine="480"/>
        <w:rPr>
          <w:color w:val="auto"/>
          <w:highlight w:val="none"/>
        </w:rPr>
      </w:pPr>
      <w:r>
        <w:rPr>
          <w:rFonts w:hint="eastAsia"/>
          <w:color w:val="auto"/>
          <w:highlight w:val="none"/>
        </w:rPr>
        <w:t>（5）在危险区域设置安全标志牌，安全标志牌的制作应规范、醒目，并符合相应规范。</w:t>
      </w:r>
    </w:p>
    <w:p>
      <w:pPr>
        <w:ind w:firstLine="480"/>
        <w:rPr>
          <w:color w:val="auto"/>
          <w:highlight w:val="none"/>
        </w:rPr>
      </w:pPr>
      <w:r>
        <w:rPr>
          <w:rFonts w:hint="eastAsia"/>
          <w:color w:val="auto"/>
          <w:highlight w:val="none"/>
        </w:rPr>
        <w:t>（6）临河工地施工期，应设置水情测报系统，防洪防淹。</w:t>
      </w:r>
    </w:p>
    <w:p>
      <w:pPr>
        <w:ind w:firstLine="480"/>
        <w:rPr>
          <w:color w:val="auto"/>
          <w:highlight w:val="none"/>
        </w:rPr>
      </w:pPr>
      <w:r>
        <w:rPr>
          <w:rFonts w:hint="eastAsia"/>
          <w:color w:val="auto"/>
          <w:highlight w:val="none"/>
        </w:rPr>
        <w:t>（7）工程施工各工种需持证上岗，并进行岗前培训，防止机械伤害。</w:t>
      </w:r>
    </w:p>
    <w:p>
      <w:pPr>
        <w:ind w:firstLine="480"/>
        <w:rPr>
          <w:color w:val="auto"/>
          <w:highlight w:val="none"/>
        </w:rPr>
      </w:pPr>
      <w:r>
        <w:rPr>
          <w:rFonts w:hint="eastAsia"/>
          <w:color w:val="auto"/>
          <w:highlight w:val="none"/>
        </w:rPr>
        <w:t>（8）工程施工均在非汛期，不考虑汛期施工安全问题。</w:t>
      </w:r>
    </w:p>
    <w:p>
      <w:pPr>
        <w:pStyle w:val="3"/>
        <w:rPr>
          <w:color w:val="auto"/>
          <w:highlight w:val="none"/>
        </w:rPr>
      </w:pPr>
      <w:bookmarkStart w:id="155" w:name="_Toc13684"/>
      <w:r>
        <w:rPr>
          <w:rFonts w:hint="eastAsia"/>
          <w:color w:val="auto"/>
          <w:highlight w:val="none"/>
        </w:rPr>
        <w:t>11.3安全卫生措施预期效果评价</w:t>
      </w:r>
      <w:bookmarkEnd w:id="155"/>
    </w:p>
    <w:p>
      <w:pPr>
        <w:ind w:firstLine="480"/>
        <w:rPr>
          <w:color w:val="auto"/>
          <w:highlight w:val="none"/>
        </w:rPr>
      </w:pPr>
      <w:r>
        <w:rPr>
          <w:rFonts w:hint="eastAsia"/>
          <w:color w:val="auto"/>
          <w:highlight w:val="none"/>
        </w:rPr>
        <w:t>本项目在设计、建设、生产各阶段严格遵循国家的有关劳动安全卫生的政策，制定了一整套安全规程，对操作工人进行了严格的培训与考核并根据生产的具体情况，采取了相应的有效措施，因此可预计本项目在防火、防爆、通风、安全卫生、劳动保护等方面可达到国家有关部门的规定要求，能最大限度地改善劳动条件，清楚不安全因素，杜绝事故的发生或蔓延；确保生产的正常运行，确保职工的身体健康和安全。</w:t>
      </w:r>
    </w:p>
    <w:p>
      <w:pPr>
        <w:ind w:firstLine="480"/>
        <w:rPr>
          <w:color w:val="auto"/>
          <w:highlight w:val="none"/>
        </w:rPr>
      </w:pPr>
    </w:p>
    <w:p>
      <w:pPr>
        <w:widowControl/>
        <w:spacing w:line="240" w:lineRule="auto"/>
        <w:ind w:firstLine="0" w:firstLineChars="0"/>
        <w:jc w:val="left"/>
        <w:rPr>
          <w:color w:val="auto"/>
          <w:highlight w:val="none"/>
        </w:rPr>
      </w:pPr>
      <w:r>
        <w:rPr>
          <w:color w:val="auto"/>
          <w:highlight w:val="none"/>
        </w:rPr>
        <w:br w:type="page"/>
      </w:r>
    </w:p>
    <w:p>
      <w:pPr>
        <w:pStyle w:val="2"/>
        <w:rPr>
          <w:color w:val="auto"/>
          <w:highlight w:val="none"/>
        </w:rPr>
      </w:pPr>
      <w:bookmarkStart w:id="156" w:name="_Toc63"/>
      <w:r>
        <w:rPr>
          <w:rFonts w:hint="eastAsia"/>
          <w:color w:val="auto"/>
          <w:highlight w:val="none"/>
        </w:rPr>
        <w:t>12节能评价</w:t>
      </w:r>
      <w:bookmarkEnd w:id="156"/>
    </w:p>
    <w:p>
      <w:pPr>
        <w:ind w:firstLine="480"/>
        <w:rPr>
          <w:color w:val="auto"/>
          <w:highlight w:val="none"/>
        </w:rPr>
      </w:pPr>
      <w:r>
        <w:rPr>
          <w:rFonts w:hint="eastAsia"/>
          <w:color w:val="auto"/>
          <w:highlight w:val="none"/>
        </w:rPr>
        <w:t>加强节能工作是深入贯彻科学发展观、落实节约资源等基本国策、建设节约型和谐社会的一项重要措施，也是国民经济和社会发展的一项长远战略方针和紧迫任务。水利工程固定资产投资项目节能评估和审查工作是加强节能工作的重要组成部分，对合理利用能源、提高能源利用效率，优化工程设计具有重要意义。</w:t>
      </w:r>
    </w:p>
    <w:p>
      <w:pPr>
        <w:ind w:firstLine="480"/>
        <w:rPr>
          <w:color w:val="auto"/>
          <w:highlight w:val="none"/>
        </w:rPr>
      </w:pPr>
      <w:r>
        <w:rPr>
          <w:rFonts w:hint="eastAsia"/>
          <w:color w:val="auto"/>
          <w:highlight w:val="none"/>
        </w:rPr>
        <w:t>结合本工程特点，其节能分析主要包括工程特点、合理用能标准及节能设计规范、建设项目能源消耗种类和数量分析、项目所在地能源供应状况分析、能耗指标、节能措施和节能效果分析等内容。</w:t>
      </w:r>
    </w:p>
    <w:p>
      <w:pPr>
        <w:pStyle w:val="3"/>
        <w:rPr>
          <w:color w:val="auto"/>
          <w:highlight w:val="none"/>
        </w:rPr>
      </w:pPr>
      <w:bookmarkStart w:id="157" w:name="_Toc7271"/>
      <w:r>
        <w:rPr>
          <w:rFonts w:hint="eastAsia"/>
          <w:color w:val="auto"/>
          <w:highlight w:val="none"/>
        </w:rPr>
        <w:t>12.1设计依据</w:t>
      </w:r>
      <w:bookmarkEnd w:id="157"/>
    </w:p>
    <w:p>
      <w:pPr>
        <w:pStyle w:val="4"/>
        <w:rPr>
          <w:color w:val="auto"/>
          <w:highlight w:val="none"/>
        </w:rPr>
      </w:pPr>
      <w:r>
        <w:rPr>
          <w:rFonts w:hint="eastAsia"/>
          <w:color w:val="auto"/>
          <w:highlight w:val="none"/>
        </w:rPr>
        <w:t>12.1.1 合理用能标准及节能设计规范</w:t>
      </w:r>
    </w:p>
    <w:p>
      <w:pPr>
        <w:ind w:firstLine="480"/>
        <w:rPr>
          <w:color w:val="auto"/>
          <w:highlight w:val="none"/>
        </w:rPr>
      </w:pPr>
      <w:r>
        <w:rPr>
          <w:rFonts w:hint="eastAsia"/>
          <w:color w:val="auto"/>
          <w:highlight w:val="none"/>
        </w:rPr>
        <w:t>1、《中华人民共和国节约能源法》；</w:t>
      </w:r>
    </w:p>
    <w:p>
      <w:pPr>
        <w:ind w:firstLine="480"/>
        <w:rPr>
          <w:color w:val="auto"/>
          <w:highlight w:val="none"/>
        </w:rPr>
      </w:pPr>
      <w:r>
        <w:rPr>
          <w:rFonts w:hint="eastAsia"/>
          <w:color w:val="auto"/>
          <w:highlight w:val="none"/>
        </w:rPr>
        <w:t>2、《国务院关于加强节能工作的决定》（国发【2006】28号）；</w:t>
      </w:r>
    </w:p>
    <w:p>
      <w:pPr>
        <w:ind w:firstLine="480"/>
        <w:rPr>
          <w:color w:val="auto"/>
          <w:highlight w:val="none"/>
        </w:rPr>
      </w:pPr>
      <w:r>
        <w:rPr>
          <w:rFonts w:hint="eastAsia"/>
          <w:color w:val="auto"/>
          <w:highlight w:val="none"/>
        </w:rPr>
        <w:t>3、“国家发展和改革委员会关于加强固定资产投资项目的节能评估和审查工作的通知”，发改投资【2006】2787号；</w:t>
      </w:r>
    </w:p>
    <w:p>
      <w:pPr>
        <w:ind w:firstLine="480"/>
        <w:rPr>
          <w:color w:val="auto"/>
          <w:highlight w:val="none"/>
        </w:rPr>
      </w:pPr>
      <w:r>
        <w:rPr>
          <w:rFonts w:hint="eastAsia"/>
          <w:color w:val="auto"/>
          <w:highlight w:val="none"/>
        </w:rPr>
        <w:t>4、《中国节能技术政策大纲》2005年，国家发展和改革委员会，科学技术部；</w:t>
      </w:r>
    </w:p>
    <w:p>
      <w:pPr>
        <w:ind w:firstLine="480"/>
        <w:rPr>
          <w:color w:val="auto"/>
          <w:highlight w:val="none"/>
        </w:rPr>
      </w:pPr>
      <w:r>
        <w:rPr>
          <w:rFonts w:hint="eastAsia"/>
          <w:color w:val="auto"/>
          <w:highlight w:val="none"/>
        </w:rPr>
        <w:t>5、 《中华人民共和国国民经济和社会发展第十三个五年（2016-2020年）规划纲要》；</w:t>
      </w:r>
    </w:p>
    <w:p>
      <w:pPr>
        <w:ind w:firstLine="480"/>
        <w:rPr>
          <w:color w:val="auto"/>
          <w:highlight w:val="none"/>
        </w:rPr>
      </w:pPr>
      <w:r>
        <w:rPr>
          <w:rFonts w:hint="eastAsia"/>
          <w:color w:val="auto"/>
          <w:highlight w:val="none"/>
        </w:rPr>
        <w:t>6、《设备及管道绝热技术通则》（GBT4272-2008）；</w:t>
      </w:r>
    </w:p>
    <w:p>
      <w:pPr>
        <w:ind w:firstLine="480"/>
        <w:rPr>
          <w:color w:val="auto"/>
          <w:highlight w:val="none"/>
        </w:rPr>
      </w:pPr>
      <w:r>
        <w:rPr>
          <w:rFonts w:hint="eastAsia"/>
          <w:color w:val="auto"/>
          <w:highlight w:val="none"/>
        </w:rPr>
        <w:t>7、《设备及管道绝热设计导则》（GB/T8175-2008）；</w:t>
      </w:r>
    </w:p>
    <w:p>
      <w:pPr>
        <w:ind w:firstLine="480"/>
        <w:rPr>
          <w:color w:val="auto"/>
          <w:highlight w:val="none"/>
        </w:rPr>
      </w:pPr>
      <w:r>
        <w:rPr>
          <w:rFonts w:hint="eastAsia"/>
          <w:color w:val="auto"/>
          <w:highlight w:val="none"/>
        </w:rPr>
        <w:t>8、《设备及管道绝热效果的测试与评价》（GB/T8175-2008）；</w:t>
      </w:r>
    </w:p>
    <w:p>
      <w:pPr>
        <w:ind w:firstLine="480"/>
        <w:rPr>
          <w:color w:val="auto"/>
          <w:highlight w:val="none"/>
        </w:rPr>
      </w:pPr>
      <w:r>
        <w:rPr>
          <w:rFonts w:hint="eastAsia"/>
          <w:color w:val="auto"/>
          <w:highlight w:val="none"/>
        </w:rPr>
        <w:t>9、国家和地方有关节能技术标准和规范。</w:t>
      </w:r>
    </w:p>
    <w:p>
      <w:pPr>
        <w:pStyle w:val="4"/>
        <w:rPr>
          <w:color w:val="auto"/>
          <w:highlight w:val="none"/>
        </w:rPr>
      </w:pPr>
      <w:r>
        <w:rPr>
          <w:rFonts w:hint="eastAsia"/>
          <w:color w:val="auto"/>
          <w:highlight w:val="none"/>
        </w:rPr>
        <w:t>12.1.2 耗能特点与分析</w:t>
      </w:r>
    </w:p>
    <w:p>
      <w:pPr>
        <w:ind w:firstLine="480"/>
        <w:rPr>
          <w:color w:val="auto"/>
          <w:highlight w:val="none"/>
        </w:rPr>
      </w:pPr>
      <w:r>
        <w:rPr>
          <w:rFonts w:hint="eastAsia"/>
          <w:color w:val="auto"/>
          <w:highlight w:val="none"/>
        </w:rPr>
        <w:t>本工程主要内容是引调水、净水厂及管网建设，工程完成后的能源消耗主要是主要建筑物、构筑物日常维护所需要的燃料消耗。从工程建设本身而言，其能源消耗主要发生在工程建设期，工程运行期能源消耗主要是日常维护等，工程产生的排涝防洪经济效益可以看作能源消耗的产出。</w:t>
      </w:r>
    </w:p>
    <w:p>
      <w:pPr>
        <w:pStyle w:val="4"/>
        <w:rPr>
          <w:color w:val="auto"/>
          <w:highlight w:val="none"/>
        </w:rPr>
      </w:pPr>
      <w:r>
        <w:rPr>
          <w:rFonts w:hint="eastAsia"/>
          <w:color w:val="auto"/>
          <w:highlight w:val="none"/>
        </w:rPr>
        <w:t>12.1.3 当地能源分析</w:t>
      </w:r>
    </w:p>
    <w:p>
      <w:pPr>
        <w:ind w:firstLine="480"/>
        <w:rPr>
          <w:color w:val="auto"/>
          <w:highlight w:val="none"/>
        </w:rPr>
      </w:pPr>
      <w:r>
        <w:rPr>
          <w:rFonts w:hint="eastAsia"/>
          <w:color w:val="auto"/>
          <w:highlight w:val="none"/>
        </w:rPr>
        <w:t>本工程建设和运行期不会消耗大量能源，能源消耗总量相对较小，加之工程所在地煤炭、电力资源丰富，因此本工程的实施不会对当地能源消耗结构及能源利用情况产生大的影响。</w:t>
      </w:r>
    </w:p>
    <w:p>
      <w:pPr>
        <w:pStyle w:val="3"/>
        <w:rPr>
          <w:color w:val="auto"/>
          <w:highlight w:val="none"/>
        </w:rPr>
      </w:pPr>
      <w:bookmarkStart w:id="158" w:name="_Toc31942"/>
      <w:r>
        <w:rPr>
          <w:rFonts w:hint="eastAsia"/>
          <w:color w:val="auto"/>
          <w:highlight w:val="none"/>
        </w:rPr>
        <w:t>12.2工程节能设计</w:t>
      </w:r>
      <w:bookmarkEnd w:id="158"/>
    </w:p>
    <w:p>
      <w:pPr>
        <w:pStyle w:val="4"/>
        <w:rPr>
          <w:color w:val="auto"/>
          <w:highlight w:val="none"/>
        </w:rPr>
      </w:pPr>
      <w:r>
        <w:rPr>
          <w:rFonts w:hint="eastAsia"/>
          <w:color w:val="auto"/>
          <w:highlight w:val="none"/>
        </w:rPr>
        <w:t>12.2.1 节能措施分析</w:t>
      </w:r>
    </w:p>
    <w:p>
      <w:pPr>
        <w:ind w:firstLine="480"/>
        <w:rPr>
          <w:color w:val="auto"/>
          <w:highlight w:val="none"/>
        </w:rPr>
      </w:pPr>
      <w:r>
        <w:rPr>
          <w:rFonts w:hint="eastAsia"/>
          <w:color w:val="auto"/>
          <w:highlight w:val="none"/>
        </w:rPr>
        <w:t>水利工程节能分析，主要从设计、耗能、设备选择、选用及设备政策符合性、施工技术和管理等方面分析工程的节能措施。主要包括以下两个方面。</w:t>
      </w:r>
    </w:p>
    <w:p>
      <w:pPr>
        <w:ind w:firstLine="480"/>
        <w:rPr>
          <w:color w:val="auto"/>
          <w:highlight w:val="none"/>
        </w:rPr>
      </w:pPr>
      <w:r>
        <w:rPr>
          <w:rFonts w:hint="eastAsia"/>
          <w:color w:val="auto"/>
          <w:highlight w:val="none"/>
        </w:rPr>
        <w:t>1、工程设计建设方面</w:t>
      </w:r>
    </w:p>
    <w:p>
      <w:pPr>
        <w:ind w:firstLine="480"/>
        <w:rPr>
          <w:color w:val="auto"/>
          <w:highlight w:val="none"/>
        </w:rPr>
      </w:pPr>
      <w:r>
        <w:rPr>
          <w:rFonts w:hint="eastAsia"/>
          <w:color w:val="auto"/>
          <w:highlight w:val="none"/>
        </w:rPr>
        <w:t>（1）做好工程的优化设计，选择合理、经济的设计方案；在确保系统安全、可靠的情况下，防止设备选型裕度过大。</w:t>
      </w:r>
    </w:p>
    <w:p>
      <w:pPr>
        <w:ind w:firstLine="480"/>
        <w:rPr>
          <w:color w:val="auto"/>
          <w:highlight w:val="none"/>
        </w:rPr>
      </w:pPr>
      <w:r>
        <w:rPr>
          <w:rFonts w:hint="eastAsia"/>
          <w:color w:val="auto"/>
          <w:highlight w:val="none"/>
        </w:rPr>
        <w:t>（2）选用能耗低的机电设备；</w:t>
      </w:r>
    </w:p>
    <w:p>
      <w:pPr>
        <w:ind w:firstLine="480"/>
        <w:rPr>
          <w:color w:val="auto"/>
          <w:highlight w:val="none"/>
        </w:rPr>
      </w:pPr>
      <w:r>
        <w:rPr>
          <w:rFonts w:hint="eastAsia"/>
          <w:color w:val="auto"/>
          <w:highlight w:val="none"/>
        </w:rPr>
        <w:t>（3）提高液压管道的严密性，防止泄漏；</w:t>
      </w:r>
    </w:p>
    <w:p>
      <w:pPr>
        <w:ind w:firstLine="480"/>
        <w:rPr>
          <w:color w:val="auto"/>
          <w:highlight w:val="none"/>
        </w:rPr>
      </w:pPr>
      <w:r>
        <w:rPr>
          <w:rFonts w:hint="eastAsia"/>
          <w:color w:val="auto"/>
          <w:highlight w:val="none"/>
        </w:rPr>
        <w:t>（4）对保温应选用绝热性能好的保温材料，对保温结构进行优化设计，减少散热损失；</w:t>
      </w:r>
    </w:p>
    <w:p>
      <w:pPr>
        <w:ind w:firstLine="480"/>
        <w:rPr>
          <w:color w:val="auto"/>
          <w:highlight w:val="none"/>
        </w:rPr>
      </w:pPr>
      <w:r>
        <w:rPr>
          <w:rFonts w:hint="eastAsia"/>
          <w:color w:val="auto"/>
          <w:highlight w:val="none"/>
        </w:rPr>
        <w:t>（5）施工设计中合理调度、合理安排施工次序，减少不必要的燃料消耗。</w:t>
      </w:r>
    </w:p>
    <w:p>
      <w:pPr>
        <w:ind w:firstLine="480"/>
        <w:rPr>
          <w:color w:val="auto"/>
          <w:highlight w:val="none"/>
        </w:rPr>
      </w:pPr>
      <w:r>
        <w:rPr>
          <w:rFonts w:hint="eastAsia"/>
          <w:color w:val="auto"/>
          <w:highlight w:val="none"/>
        </w:rPr>
        <w:t>2、工程管理运行方面</w:t>
      </w:r>
    </w:p>
    <w:p>
      <w:pPr>
        <w:ind w:firstLine="480"/>
        <w:rPr>
          <w:color w:val="auto"/>
          <w:highlight w:val="none"/>
        </w:rPr>
      </w:pPr>
      <w:r>
        <w:rPr>
          <w:rFonts w:hint="eastAsia"/>
          <w:color w:val="auto"/>
          <w:highlight w:val="none"/>
        </w:rPr>
        <w:t>（1）制定节能管理制度、确定能耗指标；</w:t>
      </w:r>
    </w:p>
    <w:p>
      <w:pPr>
        <w:ind w:firstLine="480"/>
        <w:rPr>
          <w:color w:val="auto"/>
          <w:highlight w:val="none"/>
        </w:rPr>
      </w:pPr>
      <w:r>
        <w:rPr>
          <w:rFonts w:hint="eastAsia"/>
          <w:color w:val="auto"/>
          <w:highlight w:val="none"/>
        </w:rPr>
        <w:t>（2）加强节能宣传、提高人员节能意识；</w:t>
      </w:r>
    </w:p>
    <w:p>
      <w:pPr>
        <w:ind w:firstLine="480"/>
        <w:rPr>
          <w:color w:val="auto"/>
          <w:highlight w:val="none"/>
        </w:rPr>
      </w:pPr>
      <w:r>
        <w:rPr>
          <w:rFonts w:hint="eastAsia"/>
          <w:color w:val="auto"/>
          <w:highlight w:val="none"/>
        </w:rPr>
        <w:t>（3）加强设备保护、提高机电设备效率。</w:t>
      </w:r>
    </w:p>
    <w:p>
      <w:pPr>
        <w:pStyle w:val="4"/>
        <w:rPr>
          <w:color w:val="auto"/>
          <w:highlight w:val="none"/>
        </w:rPr>
      </w:pPr>
      <w:r>
        <w:rPr>
          <w:rFonts w:hint="eastAsia"/>
          <w:color w:val="auto"/>
          <w:highlight w:val="none"/>
        </w:rPr>
        <w:t>12.2.2 设计中的节能措施评价</w:t>
      </w:r>
    </w:p>
    <w:p>
      <w:pPr>
        <w:ind w:firstLine="480"/>
        <w:rPr>
          <w:color w:val="auto"/>
          <w:highlight w:val="none"/>
        </w:rPr>
      </w:pPr>
      <w:r>
        <w:rPr>
          <w:rFonts w:hint="eastAsia"/>
          <w:color w:val="auto"/>
          <w:highlight w:val="none"/>
        </w:rPr>
        <w:t>在工程总体布置和设计中，应充分体现节能理念。主要从挖土区、弃土场选择上，结合工程特点，尽量减少运输距离，以减少施工期运输能耗。施工用电线路就近接入本地电网，减少输变电损失。</w:t>
      </w:r>
    </w:p>
    <w:p>
      <w:pPr>
        <w:ind w:firstLine="480"/>
        <w:rPr>
          <w:color w:val="auto"/>
          <w:highlight w:val="none"/>
        </w:rPr>
      </w:pPr>
      <w:r>
        <w:rPr>
          <w:rFonts w:hint="eastAsia"/>
          <w:color w:val="auto"/>
          <w:highlight w:val="none"/>
        </w:rPr>
        <w:t>在施工组织设计中，选用能耗低、符合国家节能要求、技术先进的施工设备，对不符合国家规定的施工设备不选用，以降低生产能耗。在施工时间上合理安排，减少机械施工的场地运输距离、怠工、窝工等，减少能源消耗。</w:t>
      </w:r>
    </w:p>
    <w:p>
      <w:pPr>
        <w:pStyle w:val="4"/>
        <w:rPr>
          <w:color w:val="auto"/>
          <w:highlight w:val="none"/>
        </w:rPr>
      </w:pPr>
      <w:r>
        <w:rPr>
          <w:rFonts w:hint="eastAsia"/>
          <w:color w:val="auto"/>
          <w:highlight w:val="none"/>
        </w:rPr>
        <w:t>12.2.3 节能管理措施分析</w:t>
      </w:r>
    </w:p>
    <w:p>
      <w:pPr>
        <w:ind w:firstLine="480"/>
        <w:rPr>
          <w:color w:val="auto"/>
          <w:highlight w:val="none"/>
        </w:rPr>
      </w:pPr>
      <w:r>
        <w:rPr>
          <w:rFonts w:hint="eastAsia"/>
          <w:color w:val="auto"/>
          <w:highlight w:val="none"/>
        </w:rPr>
        <w:t>工程建设消耗能源主要为建设期施工过程中的能源消耗、主要建筑物和构筑物日常维护等能源消耗，从节能的角度看，本工程已经在工程设计中选择符合节能标准的设备，同时在工程布置、方案选择中考虑了节能，但从水利工程的运行特点看，节能的主要措施是节能管理措施。</w:t>
      </w:r>
    </w:p>
    <w:p>
      <w:pPr>
        <w:ind w:firstLine="480"/>
        <w:rPr>
          <w:color w:val="auto"/>
          <w:highlight w:val="none"/>
        </w:rPr>
      </w:pPr>
      <w:r>
        <w:rPr>
          <w:rFonts w:hint="eastAsia"/>
          <w:color w:val="auto"/>
          <w:highlight w:val="none"/>
        </w:rPr>
        <w:t>在施工期，应制定能源管理措施和制度、防止能源无谓消耗，应对进场施工人员加强节能宣传，强化节能意识；对施工设备制定和工程施工特点相符合的能耗指标和标准、严格控制能源消耗；加强对能源储存地的安全防护、防止能源损失；合理安排施工次序、做好施工设备的管理和调度。</w:t>
      </w:r>
    </w:p>
    <w:p>
      <w:pPr>
        <w:pStyle w:val="3"/>
        <w:rPr>
          <w:color w:val="auto"/>
          <w:highlight w:val="none"/>
        </w:rPr>
      </w:pPr>
      <w:bookmarkStart w:id="159" w:name="_Toc32209"/>
      <w:r>
        <w:rPr>
          <w:rFonts w:hint="eastAsia"/>
          <w:color w:val="auto"/>
          <w:highlight w:val="none"/>
        </w:rPr>
        <w:t>12.3节能效果综合评价</w:t>
      </w:r>
      <w:bookmarkEnd w:id="159"/>
    </w:p>
    <w:p>
      <w:pPr>
        <w:pStyle w:val="4"/>
        <w:rPr>
          <w:color w:val="auto"/>
          <w:highlight w:val="none"/>
        </w:rPr>
      </w:pPr>
      <w:r>
        <w:rPr>
          <w:rFonts w:hint="eastAsia"/>
          <w:color w:val="auto"/>
          <w:highlight w:val="none"/>
        </w:rPr>
        <w:t>12.3.1 节能指标评价</w:t>
      </w:r>
    </w:p>
    <w:p>
      <w:pPr>
        <w:ind w:firstLine="480"/>
        <w:rPr>
          <w:color w:val="auto"/>
          <w:highlight w:val="none"/>
        </w:rPr>
      </w:pPr>
      <w:r>
        <w:rPr>
          <w:rFonts w:hint="eastAsia"/>
          <w:color w:val="auto"/>
          <w:highlight w:val="none"/>
        </w:rPr>
        <w:t>根据本工程项目燃料消耗总量和产生的经济效益分析计算，本项目万元 GDP能耗约0.37t标准煤，低于2016年我国万元GDP能耗约0.68t标准煤，符合我国十三五期间万元GDP能耗降低15%的目标，也低于选用的0.78t标准煤/万元GDP能耗标准，从燃料消耗和产出看，属于节能投资项目。</w:t>
      </w:r>
    </w:p>
    <w:p>
      <w:pPr>
        <w:pStyle w:val="4"/>
        <w:rPr>
          <w:color w:val="auto"/>
          <w:highlight w:val="none"/>
        </w:rPr>
      </w:pPr>
      <w:r>
        <w:rPr>
          <w:rFonts w:hint="eastAsia"/>
          <w:color w:val="auto"/>
          <w:highlight w:val="none"/>
        </w:rPr>
        <w:t>12.3.2 节能措施评价</w:t>
      </w:r>
    </w:p>
    <w:p>
      <w:pPr>
        <w:ind w:firstLine="480"/>
        <w:rPr>
          <w:color w:val="auto"/>
          <w:highlight w:val="none"/>
        </w:rPr>
      </w:pPr>
      <w:r>
        <w:rPr>
          <w:rFonts w:hint="eastAsia"/>
          <w:color w:val="auto"/>
          <w:highlight w:val="none"/>
        </w:rPr>
        <w:t>本次初设从设计理念、工程布置、设备选用、施工组织设计等多个方面已进行了优化设计、选用了符合国家政策的先进节能设备。在施工组织设计中，合理选用了节能型施工机械，并合理安排了工期和施工次序。符合我国固定资产投资项目节能设计要求。</w:t>
      </w:r>
    </w:p>
    <w:p>
      <w:pPr>
        <w:ind w:firstLine="480"/>
        <w:rPr>
          <w:color w:val="auto"/>
          <w:highlight w:val="none"/>
        </w:rPr>
      </w:pPr>
    </w:p>
    <w:p>
      <w:pPr>
        <w:widowControl/>
        <w:spacing w:line="240" w:lineRule="auto"/>
        <w:ind w:firstLine="0" w:firstLineChars="0"/>
        <w:jc w:val="left"/>
        <w:rPr>
          <w:color w:val="auto"/>
          <w:highlight w:val="none"/>
        </w:rPr>
      </w:pPr>
      <w:r>
        <w:rPr>
          <w:color w:val="auto"/>
          <w:highlight w:val="none"/>
        </w:rPr>
        <w:br w:type="page"/>
      </w:r>
    </w:p>
    <w:p>
      <w:pPr>
        <w:pStyle w:val="2"/>
        <w:rPr>
          <w:color w:val="auto"/>
          <w:highlight w:val="none"/>
        </w:rPr>
      </w:pPr>
      <w:bookmarkStart w:id="160" w:name="_Toc4651"/>
      <w:r>
        <w:rPr>
          <w:rFonts w:hint="eastAsia"/>
          <w:color w:val="auto"/>
          <w:highlight w:val="none"/>
        </w:rPr>
        <w:t>13工程管理</w:t>
      </w:r>
      <w:bookmarkEnd w:id="160"/>
    </w:p>
    <w:p>
      <w:pPr>
        <w:pStyle w:val="3"/>
        <w:rPr>
          <w:color w:val="auto"/>
          <w:highlight w:val="none"/>
        </w:rPr>
      </w:pPr>
      <w:bookmarkStart w:id="161" w:name="_Toc21721"/>
      <w:r>
        <w:rPr>
          <w:rFonts w:hint="eastAsia"/>
          <w:color w:val="auto"/>
          <w:highlight w:val="none"/>
        </w:rPr>
        <w:t>13.1管理体制、机构设置和人员编制</w:t>
      </w:r>
      <w:bookmarkEnd w:id="161"/>
    </w:p>
    <w:p>
      <w:pPr>
        <w:pStyle w:val="4"/>
        <w:rPr>
          <w:color w:val="auto"/>
          <w:highlight w:val="none"/>
        </w:rPr>
      </w:pPr>
      <w:r>
        <w:rPr>
          <w:rFonts w:hint="eastAsia"/>
          <w:color w:val="auto"/>
          <w:highlight w:val="none"/>
        </w:rPr>
        <w:t>13.1.1管理体制</w:t>
      </w:r>
    </w:p>
    <w:p>
      <w:pPr>
        <w:ind w:firstLine="480"/>
        <w:rPr>
          <w:color w:val="auto"/>
          <w:highlight w:val="none"/>
        </w:rPr>
      </w:pPr>
      <w:r>
        <w:rPr>
          <w:rFonts w:hint="eastAsia"/>
          <w:color w:val="auto"/>
          <w:highlight w:val="none"/>
        </w:rPr>
        <w:t>工程峻工验收合格后，维持现有管理体制，由峄城区城乡水务局对本工程进行管理和监督，为该工程的主管部门。</w:t>
      </w:r>
    </w:p>
    <w:p>
      <w:pPr>
        <w:ind w:firstLine="480"/>
        <w:rPr>
          <w:color w:val="auto"/>
          <w:highlight w:val="none"/>
        </w:rPr>
      </w:pPr>
      <w:r>
        <w:rPr>
          <w:rFonts w:hint="eastAsia"/>
          <w:color w:val="auto"/>
          <w:highlight w:val="none"/>
        </w:rPr>
        <w:t>建议峄城区城乡水务局制定切实可行的城乡供水一体化管理体制改革方案，明确河道管理责任主体、管理人员数量、运行和维护养护经费来源，报峄城区人民政府批准。</w:t>
      </w:r>
    </w:p>
    <w:p>
      <w:pPr>
        <w:pStyle w:val="4"/>
        <w:rPr>
          <w:color w:val="auto"/>
          <w:highlight w:val="none"/>
        </w:rPr>
      </w:pPr>
      <w:r>
        <w:rPr>
          <w:rFonts w:hint="eastAsia"/>
          <w:color w:val="auto"/>
          <w:highlight w:val="none"/>
        </w:rPr>
        <w:t>13.1.2机构设置</w:t>
      </w:r>
    </w:p>
    <w:p>
      <w:pPr>
        <w:ind w:firstLine="480"/>
        <w:rPr>
          <w:color w:val="auto"/>
          <w:highlight w:val="none"/>
        </w:rPr>
      </w:pPr>
      <w:r>
        <w:rPr>
          <w:rFonts w:hint="eastAsia"/>
          <w:color w:val="auto"/>
          <w:highlight w:val="none"/>
        </w:rPr>
        <w:t>工程完成后，为确保工程正常运行，长期发挥效益，必须加强工程管理，建立健全与工程相适应的管理体制和管理机构。该项目建成后，由峄城区城乡水务局指派专人管理辖区段各类建筑物的管理，对工程进行养护维修、控制运用和检查观测，严格执行上级防洪调度命令，有效保证防洪安全。</w:t>
      </w:r>
    </w:p>
    <w:p>
      <w:pPr>
        <w:pStyle w:val="4"/>
        <w:rPr>
          <w:color w:val="auto"/>
          <w:highlight w:val="none"/>
        </w:rPr>
      </w:pPr>
      <w:r>
        <w:rPr>
          <w:rFonts w:hint="eastAsia"/>
          <w:color w:val="auto"/>
          <w:highlight w:val="none"/>
        </w:rPr>
        <w:t>13.1.3人员编制</w:t>
      </w:r>
    </w:p>
    <w:p>
      <w:pPr>
        <w:ind w:firstLine="480"/>
        <w:rPr>
          <w:color w:val="auto"/>
          <w:highlight w:val="none"/>
        </w:rPr>
      </w:pPr>
      <w:r>
        <w:rPr>
          <w:rFonts w:hint="eastAsia"/>
          <w:color w:val="auto"/>
          <w:highlight w:val="none"/>
        </w:rPr>
        <w:t>峄城区城乡水务局河道管理处现有岗位类别有单位负责类、行政管理类、技术管理类、财务与资产管理类、水政监察类、运行类、观测类和辅助类等。其中单位负责、行政管理、技术管理、财务与资产管理及水政监察类人员为6人，运行、观测类人员10人，辅助类人员2人，共计18人。人员编制均为事业编。</w:t>
      </w:r>
    </w:p>
    <w:p>
      <w:pPr>
        <w:ind w:firstLine="480"/>
        <w:rPr>
          <w:color w:val="auto"/>
          <w:highlight w:val="none"/>
        </w:rPr>
      </w:pPr>
      <w:r>
        <w:rPr>
          <w:rFonts w:hint="eastAsia"/>
          <w:color w:val="auto"/>
          <w:highlight w:val="none"/>
        </w:rPr>
        <w:t>根据《水利工程管理单位定岗标准（试行）》（水办【2004】307号）和《水利工程维修养护定额标准》，结合实际情况，从简配备人员。结合本工程的现状，按照充分运用现代化信息管理手段和人员力求精简的原则，初步拟定配套工程管理编制定员，并结合实际情况，从简配备人员，现有管理人员不满足管理需求，故新增管理人员14人。</w:t>
      </w:r>
    </w:p>
    <w:p>
      <w:pPr>
        <w:pStyle w:val="3"/>
        <w:rPr>
          <w:color w:val="auto"/>
          <w:highlight w:val="none"/>
        </w:rPr>
      </w:pPr>
      <w:bookmarkStart w:id="162" w:name="_Toc31497"/>
      <w:r>
        <w:rPr>
          <w:rFonts w:hint="eastAsia"/>
          <w:color w:val="auto"/>
          <w:highlight w:val="none"/>
        </w:rPr>
        <w:t>13.2工程运行管理</w:t>
      </w:r>
      <w:bookmarkEnd w:id="162"/>
    </w:p>
    <w:p>
      <w:pPr>
        <w:pStyle w:val="4"/>
        <w:rPr>
          <w:color w:val="auto"/>
          <w:highlight w:val="none"/>
        </w:rPr>
      </w:pPr>
      <w:r>
        <w:rPr>
          <w:rFonts w:hint="eastAsia"/>
          <w:color w:val="auto"/>
          <w:highlight w:val="none"/>
        </w:rPr>
        <w:t>13.2.1 建立健全规章制度</w:t>
      </w:r>
    </w:p>
    <w:p>
      <w:pPr>
        <w:ind w:firstLine="480"/>
        <w:rPr>
          <w:color w:val="auto"/>
          <w:highlight w:val="none"/>
        </w:rPr>
      </w:pPr>
      <w:r>
        <w:rPr>
          <w:rFonts w:hint="eastAsia"/>
          <w:color w:val="auto"/>
          <w:highlight w:val="none"/>
        </w:rPr>
        <w:t>水利工程管理，是水行政主管部门的一项重要工作，工程管理的好坏，直接影响工程效益的发挥。在建立健全管理机构后，完善的规章制度是做好工作的基础。本工程的管理以《水法》、《防洪法》、《河道管理条例》等法律法规为依据，结合本单位的工作实际，制定相应的《堤防管理办法》、《财务管理制度》等规章制度，逐步实现工程管理制度化、规范化、现代化，不断提高现代化管理水平。</w:t>
      </w:r>
    </w:p>
    <w:p>
      <w:pPr>
        <w:pStyle w:val="4"/>
        <w:rPr>
          <w:color w:val="auto"/>
          <w:highlight w:val="none"/>
        </w:rPr>
      </w:pPr>
      <w:r>
        <w:rPr>
          <w:rFonts w:hint="eastAsia"/>
          <w:color w:val="auto"/>
          <w:highlight w:val="none"/>
        </w:rPr>
        <w:t>13.2.2 搞好工程维修养护</w:t>
      </w:r>
    </w:p>
    <w:p>
      <w:pPr>
        <w:ind w:firstLine="480"/>
        <w:rPr>
          <w:color w:val="auto"/>
          <w:highlight w:val="none"/>
        </w:rPr>
      </w:pPr>
      <w:r>
        <w:rPr>
          <w:rFonts w:hint="eastAsia"/>
          <w:color w:val="auto"/>
          <w:highlight w:val="none"/>
        </w:rPr>
        <w:t>工程完成后，成立专业管理队伍，做好工程的日常检查观测、养护修理、调度运用和清理淤积等工作，杜绝脏、乱、差，保持清洁美观的形象，维护工程完整，定期进行维修和水毁工程修复，确保工程安全，发挥工程的最大社会效益和经济效益。参照其它工程实例，工程实施后所增加的工程及福利费、材料、燃料及动力费、工程维护费、其他直接费、管理费等由项目管理单位负担。</w:t>
      </w:r>
    </w:p>
    <w:p>
      <w:pPr>
        <w:pStyle w:val="4"/>
        <w:rPr>
          <w:color w:val="auto"/>
          <w:highlight w:val="none"/>
        </w:rPr>
      </w:pPr>
      <w:r>
        <w:rPr>
          <w:rFonts w:hint="eastAsia"/>
          <w:color w:val="auto"/>
          <w:highlight w:val="none"/>
        </w:rPr>
        <w:t>13.2.3 做好计划管理质量管理</w:t>
      </w:r>
    </w:p>
    <w:p>
      <w:pPr>
        <w:ind w:firstLine="480"/>
        <w:rPr>
          <w:color w:val="auto"/>
          <w:highlight w:val="none"/>
        </w:rPr>
      </w:pPr>
      <w:r>
        <w:rPr>
          <w:rFonts w:hint="eastAsia"/>
          <w:color w:val="auto"/>
          <w:highlight w:val="none"/>
        </w:rPr>
        <w:t>完成上级下达的管理任务，制定工程维修计划、财务计划，每年市财政拨出一定数额的资金用于项目的维修，同时加强水政执法的力度。</w:t>
      </w:r>
    </w:p>
    <w:p>
      <w:pPr>
        <w:pStyle w:val="4"/>
        <w:rPr>
          <w:color w:val="auto"/>
          <w:highlight w:val="none"/>
        </w:rPr>
      </w:pPr>
      <w:r>
        <w:rPr>
          <w:rFonts w:hint="eastAsia"/>
          <w:color w:val="auto"/>
          <w:highlight w:val="none"/>
        </w:rPr>
        <w:t>13.2.4 加强管理队伍建设</w:t>
      </w:r>
    </w:p>
    <w:p>
      <w:pPr>
        <w:ind w:firstLine="480"/>
        <w:rPr>
          <w:color w:val="auto"/>
          <w:highlight w:val="none"/>
        </w:rPr>
      </w:pPr>
      <w:r>
        <w:rPr>
          <w:rFonts w:hint="eastAsia"/>
          <w:color w:val="auto"/>
          <w:highlight w:val="none"/>
        </w:rPr>
        <w:t>工程管理水平的高低，管理人员的素质是决定性因素。搞好职工的生活和劳动保护工作，改善工作和生活条件，使职工热爱本职工作，搞好职工学习，努力提高职工的技术水平和文化素质，在努力提高管理人员业务素质的同时，重视思想教育工作，使职工爱岗敬业，搞好单位的精神文明建设。</w:t>
      </w:r>
    </w:p>
    <w:p>
      <w:pPr>
        <w:pStyle w:val="3"/>
        <w:rPr>
          <w:color w:val="auto"/>
          <w:highlight w:val="none"/>
        </w:rPr>
      </w:pPr>
      <w:bookmarkStart w:id="163" w:name="_Toc13691"/>
      <w:r>
        <w:rPr>
          <w:rFonts w:hint="eastAsia"/>
          <w:color w:val="auto"/>
          <w:highlight w:val="none"/>
        </w:rPr>
        <w:t>13.3管理设施与设备</w:t>
      </w:r>
      <w:bookmarkEnd w:id="163"/>
    </w:p>
    <w:p>
      <w:pPr>
        <w:ind w:firstLine="480"/>
        <w:rPr>
          <w:color w:val="auto"/>
          <w:highlight w:val="none"/>
        </w:rPr>
      </w:pPr>
      <w:r>
        <w:rPr>
          <w:rFonts w:hint="eastAsia"/>
          <w:color w:val="auto"/>
          <w:highlight w:val="none"/>
        </w:rPr>
        <w:t>本工程建成后交由峄城区城乡水务局管理。为方便管理调水管线，设管道标志桩410个，警示带40940m。</w:t>
      </w:r>
    </w:p>
    <w:p>
      <w:pPr>
        <w:widowControl/>
        <w:spacing w:line="240" w:lineRule="auto"/>
        <w:ind w:firstLine="0" w:firstLineChars="0"/>
        <w:jc w:val="left"/>
        <w:rPr>
          <w:color w:val="auto"/>
          <w:highlight w:val="none"/>
        </w:rPr>
      </w:pPr>
      <w:r>
        <w:rPr>
          <w:color w:val="auto"/>
          <w:highlight w:val="none"/>
        </w:rPr>
        <w:br w:type="page"/>
      </w:r>
    </w:p>
    <w:p>
      <w:pPr>
        <w:pStyle w:val="2"/>
        <w:rPr>
          <w:color w:val="auto"/>
          <w:highlight w:val="none"/>
        </w:rPr>
      </w:pPr>
      <w:bookmarkStart w:id="164" w:name="_Toc22546"/>
      <w:r>
        <w:rPr>
          <w:rFonts w:hint="eastAsia"/>
          <w:color w:val="auto"/>
          <w:highlight w:val="none"/>
        </w:rPr>
        <w:t>14投资估算</w:t>
      </w:r>
      <w:bookmarkEnd w:id="164"/>
    </w:p>
    <w:p>
      <w:pPr>
        <w:pStyle w:val="3"/>
        <w:rPr>
          <w:color w:val="auto"/>
          <w:highlight w:val="none"/>
        </w:rPr>
      </w:pPr>
      <w:bookmarkStart w:id="165" w:name="_Toc12218"/>
      <w:r>
        <w:rPr>
          <w:rFonts w:hint="eastAsia"/>
          <w:color w:val="auto"/>
          <w:highlight w:val="none"/>
        </w:rPr>
        <w:t>14.1编制说明</w:t>
      </w:r>
      <w:bookmarkEnd w:id="165"/>
    </w:p>
    <w:p>
      <w:pPr>
        <w:pStyle w:val="4"/>
        <w:rPr>
          <w:color w:val="auto"/>
          <w:highlight w:val="none"/>
        </w:rPr>
      </w:pPr>
      <w:r>
        <w:rPr>
          <w:rFonts w:hint="eastAsia"/>
          <w:color w:val="auto"/>
          <w:highlight w:val="none"/>
        </w:rPr>
        <w:t>14.1.1 编制依据</w:t>
      </w:r>
    </w:p>
    <w:p>
      <w:pPr>
        <w:ind w:firstLine="480"/>
        <w:rPr>
          <w:color w:val="auto"/>
          <w:highlight w:val="none"/>
        </w:rPr>
      </w:pPr>
      <w:r>
        <w:rPr>
          <w:rFonts w:hint="eastAsia"/>
          <w:color w:val="auto"/>
          <w:highlight w:val="none"/>
        </w:rPr>
        <w:t>1、编制依据</w:t>
      </w:r>
    </w:p>
    <w:p>
      <w:pPr>
        <w:ind w:firstLine="480"/>
        <w:rPr>
          <w:color w:val="auto"/>
          <w:highlight w:val="none"/>
        </w:rPr>
      </w:pPr>
      <w:r>
        <w:rPr>
          <w:rFonts w:hint="eastAsia"/>
          <w:color w:val="auto"/>
          <w:highlight w:val="none"/>
        </w:rPr>
        <w:t>（1）山东省水利厅鲁水建字[2015]3号文《山东省水利厅关于发布山东省水利水电水利工程预算定额及设计概（估）算编制办法的通知》；</w:t>
      </w:r>
    </w:p>
    <w:p>
      <w:pPr>
        <w:ind w:firstLine="480"/>
        <w:rPr>
          <w:color w:val="auto"/>
          <w:highlight w:val="none"/>
        </w:rPr>
      </w:pPr>
      <w:r>
        <w:rPr>
          <w:rFonts w:hint="eastAsia"/>
          <w:color w:val="auto"/>
          <w:highlight w:val="none"/>
        </w:rPr>
        <w:t>（2）山东省水利厅鲁水建字[2016]5号文《山东省水利厅关于发布山东省水利水电水利工程营业税改增值税计价依据调整办法的通知》；</w:t>
      </w:r>
    </w:p>
    <w:p>
      <w:pPr>
        <w:ind w:firstLine="480"/>
        <w:rPr>
          <w:color w:val="auto"/>
          <w:highlight w:val="none"/>
        </w:rPr>
      </w:pPr>
      <w:r>
        <w:rPr>
          <w:rFonts w:hint="eastAsia"/>
          <w:color w:val="auto"/>
          <w:highlight w:val="none"/>
        </w:rPr>
        <w:t>（3）水利部办公厅办财务函〔2019〕448号《关于调整水利工程计价依据增值税计算标准的通知》</w:t>
      </w:r>
    </w:p>
    <w:p>
      <w:pPr>
        <w:ind w:firstLine="480"/>
        <w:rPr>
          <w:color w:val="auto"/>
          <w:highlight w:val="none"/>
        </w:rPr>
      </w:pPr>
      <w:r>
        <w:rPr>
          <w:rFonts w:hint="eastAsia"/>
          <w:color w:val="auto"/>
          <w:highlight w:val="none"/>
        </w:rPr>
        <w:t>（4）水利部水国科[2005]515号文颁发的《水利水电工程设计工程量计算规定》(SL 328—2005)；</w:t>
      </w:r>
    </w:p>
    <w:p>
      <w:pPr>
        <w:ind w:firstLine="480"/>
        <w:rPr>
          <w:color w:val="auto"/>
          <w:highlight w:val="none"/>
        </w:rPr>
      </w:pPr>
      <w:r>
        <w:rPr>
          <w:rFonts w:hint="eastAsia"/>
          <w:color w:val="auto"/>
          <w:highlight w:val="none"/>
        </w:rPr>
        <w:t>（5）国家计委、建设部计价格[2002]10号文发布的《工程勘测设计收费标准》；</w:t>
      </w:r>
    </w:p>
    <w:p>
      <w:pPr>
        <w:ind w:firstLine="480"/>
        <w:rPr>
          <w:color w:val="auto"/>
          <w:highlight w:val="none"/>
        </w:rPr>
      </w:pPr>
      <w:r>
        <w:rPr>
          <w:rFonts w:hint="eastAsia"/>
          <w:color w:val="auto"/>
          <w:highlight w:val="none"/>
        </w:rPr>
        <w:t>（6）国家发改委发改价格[2007]670号文发布的《建设工程监理与相关服务收费标准》；</w:t>
      </w:r>
    </w:p>
    <w:p>
      <w:pPr>
        <w:ind w:firstLine="480"/>
        <w:rPr>
          <w:color w:val="auto"/>
          <w:highlight w:val="none"/>
        </w:rPr>
      </w:pPr>
      <w:r>
        <w:rPr>
          <w:rFonts w:hint="eastAsia"/>
          <w:color w:val="auto"/>
          <w:highlight w:val="none"/>
        </w:rPr>
        <w:t>（7）山东省水利厅鲁水建字[2006]138号文关于印发《山东省水利工程质量检测管理暂行办法》的通知；</w:t>
      </w:r>
    </w:p>
    <w:p>
      <w:pPr>
        <w:ind w:firstLine="480"/>
        <w:rPr>
          <w:color w:val="auto"/>
          <w:highlight w:val="none"/>
        </w:rPr>
      </w:pPr>
      <w:r>
        <w:rPr>
          <w:rFonts w:hint="eastAsia"/>
          <w:color w:val="auto"/>
          <w:highlight w:val="none"/>
        </w:rPr>
        <w:t>（8）国家和主管部门颁发的有关法令、法规、标准及规定等。</w:t>
      </w:r>
    </w:p>
    <w:p>
      <w:pPr>
        <w:ind w:firstLine="480"/>
        <w:rPr>
          <w:color w:val="auto"/>
          <w:highlight w:val="none"/>
        </w:rPr>
      </w:pPr>
      <w:r>
        <w:rPr>
          <w:rFonts w:hint="eastAsia"/>
          <w:color w:val="auto"/>
          <w:highlight w:val="none"/>
        </w:rPr>
        <w:t>2、价格水平年</w:t>
      </w:r>
    </w:p>
    <w:p>
      <w:pPr>
        <w:ind w:firstLine="480"/>
        <w:rPr>
          <w:color w:val="auto"/>
          <w:highlight w:val="none"/>
        </w:rPr>
      </w:pPr>
      <w:r>
        <w:rPr>
          <w:rFonts w:hint="eastAsia"/>
          <w:color w:val="auto"/>
          <w:highlight w:val="none"/>
        </w:rPr>
        <w:t>本工程取2020年为价格水平年，材料价格按照2020年第一季度的价格计入。</w:t>
      </w:r>
    </w:p>
    <w:p>
      <w:pPr>
        <w:pStyle w:val="4"/>
        <w:rPr>
          <w:color w:val="auto"/>
          <w:highlight w:val="none"/>
        </w:rPr>
      </w:pPr>
      <w:r>
        <w:rPr>
          <w:rFonts w:hint="eastAsia"/>
          <w:color w:val="auto"/>
          <w:highlight w:val="none"/>
        </w:rPr>
        <w:t>14.1.2 定额采用</w:t>
      </w:r>
    </w:p>
    <w:p>
      <w:pPr>
        <w:ind w:firstLine="480"/>
        <w:rPr>
          <w:color w:val="auto"/>
          <w:highlight w:val="none"/>
        </w:rPr>
      </w:pPr>
      <w:r>
        <w:rPr>
          <w:rFonts w:hint="eastAsia"/>
          <w:color w:val="auto"/>
          <w:highlight w:val="none"/>
        </w:rPr>
        <w:t>1、建筑工程：采用山东省水利厅鲁水建字［2015］3号文颁发的《山东省水利水电建筑工程预算定额》上、下册；</w:t>
      </w:r>
    </w:p>
    <w:p>
      <w:pPr>
        <w:ind w:firstLine="480"/>
        <w:rPr>
          <w:color w:val="auto"/>
          <w:highlight w:val="none"/>
        </w:rPr>
      </w:pPr>
      <w:r>
        <w:rPr>
          <w:rFonts w:hint="eastAsia"/>
          <w:color w:val="auto"/>
          <w:highlight w:val="none"/>
        </w:rPr>
        <w:t>2、施工机械台班费：采用山东省水利厅鲁水建字［2015］3号文颁发的《山东省水利水电工程施工机械台班费定额》。</w:t>
      </w:r>
    </w:p>
    <w:p>
      <w:pPr>
        <w:pStyle w:val="4"/>
        <w:rPr>
          <w:color w:val="auto"/>
          <w:highlight w:val="none"/>
        </w:rPr>
      </w:pPr>
      <w:r>
        <w:rPr>
          <w:rFonts w:hint="eastAsia"/>
          <w:color w:val="auto"/>
          <w:highlight w:val="none"/>
        </w:rPr>
        <w:t>14.1.3 基础价格</w:t>
      </w:r>
    </w:p>
    <w:p>
      <w:pPr>
        <w:ind w:firstLine="480"/>
        <w:rPr>
          <w:color w:val="auto"/>
          <w:highlight w:val="none"/>
        </w:rPr>
      </w:pPr>
      <w:r>
        <w:rPr>
          <w:rFonts w:hint="eastAsia"/>
          <w:color w:val="auto"/>
          <w:highlight w:val="none"/>
        </w:rPr>
        <w:t>1、人工费：按照山东省水利厅鲁水定字［2015］3号文《山东省水利厅关于发布山东省水利水电水利工程预算定额及设计概（估）算编制办法》中的标准。即：人工单价72元/工日。</w:t>
      </w:r>
    </w:p>
    <w:p>
      <w:pPr>
        <w:ind w:firstLine="480"/>
        <w:rPr>
          <w:color w:val="auto"/>
          <w:highlight w:val="none"/>
        </w:rPr>
      </w:pPr>
      <w:r>
        <w:rPr>
          <w:rFonts w:hint="eastAsia"/>
          <w:color w:val="auto"/>
          <w:highlight w:val="none"/>
        </w:rPr>
        <w:t>2、材料预算价格</w:t>
      </w:r>
    </w:p>
    <w:p>
      <w:pPr>
        <w:ind w:firstLine="480"/>
        <w:rPr>
          <w:color w:val="auto"/>
          <w:highlight w:val="none"/>
        </w:rPr>
      </w:pPr>
      <w:r>
        <w:rPr>
          <w:rFonts w:hint="eastAsia"/>
          <w:color w:val="auto"/>
          <w:highlight w:val="none"/>
        </w:rPr>
        <w:t>（1）主要材料预算价格</w:t>
      </w:r>
    </w:p>
    <w:p>
      <w:pPr>
        <w:ind w:firstLine="480"/>
        <w:rPr>
          <w:color w:val="auto"/>
          <w:highlight w:val="none"/>
        </w:rPr>
      </w:pPr>
      <w:r>
        <w:rPr>
          <w:rFonts w:hint="eastAsia"/>
          <w:color w:val="auto"/>
          <w:highlight w:val="none"/>
        </w:rPr>
        <w:t>汽油、柴油按不包含增值税的价格进入单价，材料预算价格超过规定价格时，其价差计入单价中。规定直接进入单价的价格标准为：柴油3000元/t，汽油3100元/t。</w:t>
      </w:r>
    </w:p>
    <w:p>
      <w:pPr>
        <w:ind w:firstLine="480"/>
        <w:rPr>
          <w:color w:val="auto"/>
          <w:highlight w:val="none"/>
        </w:rPr>
      </w:pPr>
      <w:r>
        <w:rPr>
          <w:rFonts w:hint="eastAsia"/>
          <w:color w:val="auto"/>
          <w:highlight w:val="none"/>
        </w:rPr>
        <w:t>根据鲁水建字［2015］3号文规定，外购沙石料价格不包含增值税。砂、碎石（砾石）、块石等预算价超过70元/m</w:t>
      </w:r>
      <w:r>
        <w:rPr>
          <w:rFonts w:hint="eastAsia"/>
          <w:color w:val="auto"/>
          <w:highlight w:val="none"/>
          <w:vertAlign w:val="superscript"/>
        </w:rPr>
        <w:t>3</w:t>
      </w:r>
      <w:r>
        <w:rPr>
          <w:rFonts w:hint="eastAsia"/>
          <w:color w:val="auto"/>
          <w:highlight w:val="none"/>
        </w:rPr>
        <w:t>；料石(含条石、方块石）预算价超过70元/m</w:t>
      </w:r>
      <w:r>
        <w:rPr>
          <w:rFonts w:hint="eastAsia"/>
          <w:color w:val="auto"/>
          <w:highlight w:val="none"/>
          <w:vertAlign w:val="superscript"/>
        </w:rPr>
        <w:t>3</w:t>
      </w:r>
      <w:r>
        <w:rPr>
          <w:rFonts w:hint="eastAsia"/>
          <w:color w:val="auto"/>
          <w:highlight w:val="none"/>
        </w:rPr>
        <w:t>的部分列入相应单价。</w:t>
      </w:r>
    </w:p>
    <w:p>
      <w:pPr>
        <w:ind w:firstLine="480"/>
        <w:rPr>
          <w:color w:val="auto"/>
          <w:highlight w:val="none"/>
        </w:rPr>
      </w:pPr>
      <w:r>
        <w:rPr>
          <w:rFonts w:hint="eastAsia"/>
          <w:color w:val="auto"/>
          <w:highlight w:val="none"/>
        </w:rPr>
        <w:t>混凝土材料单价按混凝土配合比中各材料的数量和不含增值税的材料价格进行计算，基价执行260元/m</w:t>
      </w:r>
      <w:r>
        <w:rPr>
          <w:rFonts w:hint="eastAsia"/>
          <w:color w:val="auto"/>
          <w:highlight w:val="none"/>
          <w:vertAlign w:val="superscript"/>
        </w:rPr>
        <w:t>3</w:t>
      </w:r>
      <w:r>
        <w:rPr>
          <w:rFonts w:hint="eastAsia"/>
          <w:color w:val="auto"/>
          <w:highlight w:val="none"/>
        </w:rPr>
        <w:t>。商品混凝土单价采用不含增值税的价格，执行基价260元/m</w:t>
      </w:r>
      <w:r>
        <w:rPr>
          <w:rFonts w:hint="eastAsia"/>
          <w:color w:val="auto"/>
          <w:highlight w:val="none"/>
          <w:vertAlign w:val="superscript"/>
        </w:rPr>
        <w:t>3</w:t>
      </w:r>
      <w:r>
        <w:rPr>
          <w:rFonts w:hint="eastAsia"/>
          <w:color w:val="auto"/>
          <w:highlight w:val="none"/>
        </w:rPr>
        <w:t>。</w:t>
      </w:r>
    </w:p>
    <w:p>
      <w:pPr>
        <w:ind w:firstLine="480"/>
        <w:rPr>
          <w:color w:val="auto"/>
          <w:highlight w:val="none"/>
        </w:rPr>
      </w:pPr>
      <w:r>
        <w:rPr>
          <w:rFonts w:hint="eastAsia"/>
          <w:color w:val="auto"/>
          <w:highlight w:val="none"/>
        </w:rPr>
        <w:t>（2）次要材料以以近期当地材料价格信息公布的价格作为预算价格。</w:t>
      </w:r>
    </w:p>
    <w:p>
      <w:pPr>
        <w:ind w:firstLine="480"/>
        <w:rPr>
          <w:color w:val="auto"/>
          <w:highlight w:val="none"/>
        </w:rPr>
      </w:pPr>
      <w:r>
        <w:rPr>
          <w:rFonts w:hint="eastAsia"/>
          <w:color w:val="auto"/>
          <w:highlight w:val="none"/>
        </w:rPr>
        <w:t>3、施工用风、水、电预算价格</w:t>
      </w:r>
    </w:p>
    <w:p>
      <w:pPr>
        <w:ind w:firstLine="480"/>
        <w:rPr>
          <w:color w:val="auto"/>
          <w:highlight w:val="none"/>
        </w:rPr>
      </w:pPr>
      <w:r>
        <w:rPr>
          <w:rFonts w:hint="eastAsia"/>
          <w:color w:val="auto"/>
          <w:highlight w:val="none"/>
        </w:rPr>
        <w:t>经计算：施工用风、水、电价格按照以下价格：施工用电1.00元/kWh；施工用风0.20元/m</w:t>
      </w:r>
      <w:r>
        <w:rPr>
          <w:rFonts w:hint="eastAsia"/>
          <w:color w:val="auto"/>
          <w:highlight w:val="none"/>
          <w:vertAlign w:val="superscript"/>
        </w:rPr>
        <w:t>3</w:t>
      </w:r>
      <w:r>
        <w:rPr>
          <w:rFonts w:hint="eastAsia"/>
          <w:color w:val="auto"/>
          <w:highlight w:val="none"/>
        </w:rPr>
        <w:t>；施工用水0.58元/m</w:t>
      </w:r>
      <w:r>
        <w:rPr>
          <w:rFonts w:hint="eastAsia"/>
          <w:color w:val="auto"/>
          <w:highlight w:val="none"/>
          <w:vertAlign w:val="superscript"/>
        </w:rPr>
        <w:t>3</w:t>
      </w:r>
      <w:r>
        <w:rPr>
          <w:rFonts w:hint="eastAsia"/>
          <w:color w:val="auto"/>
          <w:highlight w:val="none"/>
        </w:rPr>
        <w:t>。</w:t>
      </w:r>
    </w:p>
    <w:p>
      <w:pPr>
        <w:ind w:firstLine="480"/>
        <w:rPr>
          <w:color w:val="auto"/>
          <w:highlight w:val="none"/>
        </w:rPr>
      </w:pPr>
      <w:r>
        <w:rPr>
          <w:rFonts w:hint="eastAsia"/>
          <w:color w:val="auto"/>
          <w:highlight w:val="none"/>
        </w:rPr>
        <w:t>4、机械使用费</w:t>
      </w:r>
    </w:p>
    <w:p>
      <w:pPr>
        <w:ind w:firstLine="480"/>
        <w:rPr>
          <w:color w:val="auto"/>
          <w:highlight w:val="none"/>
        </w:rPr>
      </w:pPr>
      <w:r>
        <w:rPr>
          <w:rFonts w:hint="eastAsia"/>
          <w:color w:val="auto"/>
          <w:highlight w:val="none"/>
        </w:rPr>
        <w:t>施工机械费用按照《山东省水利水电工程施工机械台班费定额》、《山东省水利厅关于发布山东省水利水电水利工程营业税改增值税计价依据调整办法的通知》及有关规定计算。对于定额缺项的施工定额，可补充编制台班费定额。其中施工机械台班费定额折旧费除以1.15调整系数，修理费除以1.11调整系数。</w:t>
      </w:r>
    </w:p>
    <w:p>
      <w:pPr>
        <w:pStyle w:val="4"/>
        <w:rPr>
          <w:color w:val="auto"/>
          <w:highlight w:val="none"/>
        </w:rPr>
      </w:pPr>
      <w:r>
        <w:rPr>
          <w:rFonts w:hint="eastAsia"/>
          <w:color w:val="auto"/>
          <w:highlight w:val="none"/>
        </w:rPr>
        <w:t>14.1.4 工程取费标准</w:t>
      </w:r>
    </w:p>
    <w:p>
      <w:pPr>
        <w:ind w:firstLine="480"/>
        <w:rPr>
          <w:color w:val="auto"/>
          <w:highlight w:val="none"/>
        </w:rPr>
      </w:pPr>
      <w:r>
        <w:rPr>
          <w:rFonts w:hint="eastAsia"/>
          <w:color w:val="auto"/>
          <w:highlight w:val="none"/>
        </w:rPr>
        <w:t>1、其它直接费</w:t>
      </w:r>
    </w:p>
    <w:p>
      <w:pPr>
        <w:ind w:firstLine="480"/>
        <w:rPr>
          <w:color w:val="auto"/>
          <w:highlight w:val="none"/>
        </w:rPr>
      </w:pPr>
      <w:r>
        <w:rPr>
          <w:rFonts w:hint="eastAsia"/>
          <w:color w:val="auto"/>
          <w:highlight w:val="none"/>
        </w:rPr>
        <w:t>计算基础为直接费，建筑工程费率为6.9%，安装工程费率为7.6%。（附表）</w:t>
      </w:r>
    </w:p>
    <w:p>
      <w:pPr>
        <w:ind w:firstLine="480"/>
        <w:rPr>
          <w:color w:val="auto"/>
          <w:highlight w:val="none"/>
        </w:rPr>
      </w:pPr>
      <w:r>
        <w:rPr>
          <w:rFonts w:hint="eastAsia"/>
          <w:color w:val="auto"/>
          <w:highlight w:val="none"/>
        </w:rPr>
        <w:t>2、间接费</w:t>
      </w:r>
    </w:p>
    <w:p>
      <w:pPr>
        <w:ind w:firstLine="480"/>
        <w:rPr>
          <w:color w:val="auto"/>
          <w:highlight w:val="none"/>
        </w:rPr>
      </w:pPr>
      <w:r>
        <w:rPr>
          <w:rFonts w:hint="eastAsia"/>
          <w:color w:val="auto"/>
          <w:highlight w:val="none"/>
        </w:rPr>
        <w:t>间接费费率，详见表16.1-1。</w:t>
      </w:r>
    </w:p>
    <w:p>
      <w:pPr>
        <w:ind w:firstLine="480"/>
        <w:rPr>
          <w:color w:val="auto"/>
          <w:highlight w:val="none"/>
        </w:rPr>
      </w:pPr>
    </w:p>
    <w:p>
      <w:pPr>
        <w:spacing w:line="240" w:lineRule="auto"/>
        <w:ind w:firstLine="0" w:firstLineChars="0"/>
        <w:rPr>
          <w:b/>
          <w:bCs/>
          <w:color w:val="auto"/>
          <w:highlight w:val="none"/>
        </w:rPr>
      </w:pPr>
      <w:r>
        <w:rPr>
          <w:rFonts w:hint="eastAsia"/>
          <w:b/>
          <w:bCs/>
          <w:color w:val="auto"/>
          <w:highlight w:val="none"/>
        </w:rPr>
        <w:t>表14.1-1                      间接费费率表</w:t>
      </w:r>
    </w:p>
    <w:tbl>
      <w:tblPr>
        <w:tblStyle w:val="33"/>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70"/>
        <w:gridCol w:w="2887"/>
        <w:gridCol w:w="2395"/>
        <w:gridCol w:w="197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45"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序号</w:t>
            </w:r>
          </w:p>
        </w:tc>
        <w:tc>
          <w:tcPr>
            <w:tcW w:w="1694"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费用名称</w:t>
            </w:r>
          </w:p>
        </w:tc>
        <w:tc>
          <w:tcPr>
            <w:tcW w:w="1405"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计算基础</w:t>
            </w:r>
          </w:p>
        </w:tc>
        <w:tc>
          <w:tcPr>
            <w:tcW w:w="1157"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费率（％）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45"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1</w:t>
            </w:r>
          </w:p>
        </w:tc>
        <w:tc>
          <w:tcPr>
            <w:tcW w:w="1694"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土石方工程</w:t>
            </w:r>
          </w:p>
        </w:tc>
        <w:tc>
          <w:tcPr>
            <w:tcW w:w="1405"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直接费</w:t>
            </w:r>
          </w:p>
        </w:tc>
        <w:tc>
          <w:tcPr>
            <w:tcW w:w="1157" w:type="pct"/>
            <w:shd w:val="clear" w:color="auto" w:fill="auto"/>
            <w:vAlign w:val="center"/>
          </w:tcPr>
          <w:p>
            <w:pPr>
              <w:spacing w:line="240" w:lineRule="auto"/>
              <w:ind w:firstLine="0" w:firstLineChars="0"/>
              <w:jc w:val="center"/>
              <w:rPr>
                <w:color w:val="auto"/>
                <w:sz w:val="20"/>
                <w:szCs w:val="20"/>
                <w:highlight w:val="none"/>
              </w:rPr>
            </w:pPr>
            <w:r>
              <w:rPr>
                <w:color w:val="auto"/>
                <w:sz w:val="20"/>
                <w:szCs w:val="20"/>
                <w:highlight w:val="none"/>
              </w:rPr>
              <w:t>10.5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45"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2</w:t>
            </w:r>
          </w:p>
        </w:tc>
        <w:tc>
          <w:tcPr>
            <w:tcW w:w="1694"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砌筑工程</w:t>
            </w:r>
          </w:p>
        </w:tc>
        <w:tc>
          <w:tcPr>
            <w:tcW w:w="1405"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直接费</w:t>
            </w:r>
          </w:p>
        </w:tc>
        <w:tc>
          <w:tcPr>
            <w:tcW w:w="1157" w:type="pct"/>
            <w:shd w:val="clear" w:color="auto" w:fill="auto"/>
            <w:vAlign w:val="center"/>
          </w:tcPr>
          <w:p>
            <w:pPr>
              <w:spacing w:line="240" w:lineRule="auto"/>
              <w:ind w:firstLine="0" w:firstLineChars="0"/>
              <w:jc w:val="center"/>
              <w:rPr>
                <w:color w:val="auto"/>
                <w:sz w:val="20"/>
                <w:szCs w:val="20"/>
                <w:highlight w:val="none"/>
              </w:rPr>
            </w:pPr>
            <w:r>
              <w:rPr>
                <w:color w:val="auto"/>
                <w:sz w:val="20"/>
                <w:szCs w:val="20"/>
                <w:highlight w:val="none"/>
              </w:rPr>
              <w:t>13.5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45"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3</w:t>
            </w:r>
          </w:p>
        </w:tc>
        <w:tc>
          <w:tcPr>
            <w:tcW w:w="1694"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模板及混凝土工程</w:t>
            </w:r>
          </w:p>
        </w:tc>
        <w:tc>
          <w:tcPr>
            <w:tcW w:w="1405"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直接费</w:t>
            </w:r>
          </w:p>
        </w:tc>
        <w:tc>
          <w:tcPr>
            <w:tcW w:w="1157" w:type="pct"/>
            <w:shd w:val="clear" w:color="auto" w:fill="auto"/>
            <w:vAlign w:val="center"/>
          </w:tcPr>
          <w:p>
            <w:pPr>
              <w:spacing w:line="240" w:lineRule="auto"/>
              <w:ind w:firstLine="0" w:firstLineChars="0"/>
              <w:jc w:val="center"/>
              <w:rPr>
                <w:color w:val="auto"/>
                <w:sz w:val="20"/>
                <w:szCs w:val="20"/>
                <w:highlight w:val="none"/>
              </w:rPr>
            </w:pPr>
            <w:r>
              <w:rPr>
                <w:color w:val="auto"/>
                <w:sz w:val="20"/>
                <w:szCs w:val="20"/>
                <w:highlight w:val="none"/>
              </w:rPr>
              <w:t xml:space="preserve">11.5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45"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4</w:t>
            </w:r>
          </w:p>
        </w:tc>
        <w:tc>
          <w:tcPr>
            <w:tcW w:w="1694"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钻孔灌浆及锚固工程</w:t>
            </w:r>
          </w:p>
        </w:tc>
        <w:tc>
          <w:tcPr>
            <w:tcW w:w="1405"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直接费</w:t>
            </w:r>
          </w:p>
        </w:tc>
        <w:tc>
          <w:tcPr>
            <w:tcW w:w="1157" w:type="pct"/>
            <w:shd w:val="clear" w:color="auto" w:fill="auto"/>
            <w:vAlign w:val="center"/>
          </w:tcPr>
          <w:p>
            <w:pPr>
              <w:spacing w:line="240" w:lineRule="auto"/>
              <w:ind w:firstLine="0" w:firstLineChars="0"/>
              <w:jc w:val="center"/>
              <w:rPr>
                <w:color w:val="auto"/>
                <w:sz w:val="20"/>
                <w:szCs w:val="20"/>
                <w:highlight w:val="none"/>
              </w:rPr>
            </w:pPr>
            <w:r>
              <w:rPr>
                <w:color w:val="auto"/>
                <w:sz w:val="20"/>
                <w:szCs w:val="20"/>
                <w:highlight w:val="none"/>
              </w:rPr>
              <w:t xml:space="preserve">10.5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45"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5</w:t>
            </w:r>
          </w:p>
        </w:tc>
        <w:tc>
          <w:tcPr>
            <w:tcW w:w="1694"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疏浚工程</w:t>
            </w:r>
          </w:p>
        </w:tc>
        <w:tc>
          <w:tcPr>
            <w:tcW w:w="1405"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直接费</w:t>
            </w:r>
          </w:p>
        </w:tc>
        <w:tc>
          <w:tcPr>
            <w:tcW w:w="1157" w:type="pct"/>
            <w:shd w:val="clear" w:color="auto" w:fill="auto"/>
            <w:vAlign w:val="center"/>
          </w:tcPr>
          <w:p>
            <w:pPr>
              <w:spacing w:line="240" w:lineRule="auto"/>
              <w:ind w:firstLine="0" w:firstLineChars="0"/>
              <w:jc w:val="center"/>
              <w:rPr>
                <w:color w:val="auto"/>
                <w:sz w:val="20"/>
                <w:szCs w:val="20"/>
                <w:highlight w:val="none"/>
              </w:rPr>
            </w:pPr>
            <w:r>
              <w:rPr>
                <w:color w:val="auto"/>
                <w:sz w:val="20"/>
                <w:szCs w:val="20"/>
                <w:highlight w:val="none"/>
              </w:rPr>
              <w:t xml:space="preserve">9.5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45"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6</w:t>
            </w:r>
          </w:p>
        </w:tc>
        <w:tc>
          <w:tcPr>
            <w:tcW w:w="1694"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绿化工程</w:t>
            </w:r>
          </w:p>
        </w:tc>
        <w:tc>
          <w:tcPr>
            <w:tcW w:w="1405"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直接费</w:t>
            </w:r>
          </w:p>
        </w:tc>
        <w:tc>
          <w:tcPr>
            <w:tcW w:w="1157" w:type="pct"/>
            <w:shd w:val="clear" w:color="auto" w:fill="auto"/>
            <w:vAlign w:val="center"/>
          </w:tcPr>
          <w:p>
            <w:pPr>
              <w:spacing w:line="240" w:lineRule="auto"/>
              <w:ind w:firstLine="0" w:firstLineChars="0"/>
              <w:jc w:val="center"/>
              <w:rPr>
                <w:color w:val="auto"/>
                <w:sz w:val="20"/>
                <w:szCs w:val="20"/>
                <w:highlight w:val="none"/>
              </w:rPr>
            </w:pPr>
            <w:r>
              <w:rPr>
                <w:color w:val="auto"/>
                <w:sz w:val="20"/>
                <w:szCs w:val="20"/>
                <w:highlight w:val="none"/>
              </w:rPr>
              <w:t xml:space="preserve">9.5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45"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7</w:t>
            </w:r>
          </w:p>
        </w:tc>
        <w:tc>
          <w:tcPr>
            <w:tcW w:w="1694"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管道工程</w:t>
            </w:r>
          </w:p>
        </w:tc>
        <w:tc>
          <w:tcPr>
            <w:tcW w:w="1405"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直接费</w:t>
            </w:r>
          </w:p>
        </w:tc>
        <w:tc>
          <w:tcPr>
            <w:tcW w:w="1157" w:type="pct"/>
            <w:shd w:val="clear" w:color="auto" w:fill="auto"/>
            <w:vAlign w:val="center"/>
          </w:tcPr>
          <w:p>
            <w:pPr>
              <w:spacing w:line="240" w:lineRule="auto"/>
              <w:ind w:firstLine="0" w:firstLineChars="0"/>
              <w:jc w:val="center"/>
              <w:rPr>
                <w:color w:val="auto"/>
                <w:sz w:val="20"/>
                <w:szCs w:val="20"/>
                <w:highlight w:val="none"/>
              </w:rPr>
            </w:pPr>
            <w:r>
              <w:rPr>
                <w:color w:val="auto"/>
                <w:sz w:val="20"/>
                <w:szCs w:val="20"/>
                <w:highlight w:val="none"/>
              </w:rPr>
              <w:t xml:space="preserve">13.0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45"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8</w:t>
            </w:r>
          </w:p>
        </w:tc>
        <w:tc>
          <w:tcPr>
            <w:tcW w:w="1694"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其他工程</w:t>
            </w:r>
          </w:p>
        </w:tc>
        <w:tc>
          <w:tcPr>
            <w:tcW w:w="1405"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直接费</w:t>
            </w:r>
          </w:p>
        </w:tc>
        <w:tc>
          <w:tcPr>
            <w:tcW w:w="1157" w:type="pct"/>
            <w:shd w:val="clear" w:color="auto" w:fill="auto"/>
            <w:vAlign w:val="center"/>
          </w:tcPr>
          <w:p>
            <w:pPr>
              <w:spacing w:line="240" w:lineRule="auto"/>
              <w:ind w:firstLine="0" w:firstLineChars="0"/>
              <w:jc w:val="center"/>
              <w:rPr>
                <w:color w:val="auto"/>
                <w:sz w:val="20"/>
                <w:szCs w:val="20"/>
                <w:highlight w:val="none"/>
              </w:rPr>
            </w:pPr>
            <w:r>
              <w:rPr>
                <w:color w:val="auto"/>
                <w:sz w:val="20"/>
                <w:szCs w:val="20"/>
                <w:highlight w:val="none"/>
              </w:rPr>
              <w:t xml:space="preserve">10.5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45" w:type="pct"/>
            <w:shd w:val="clear" w:color="auto" w:fill="auto"/>
            <w:vAlign w:val="center"/>
          </w:tcPr>
          <w:p>
            <w:pPr>
              <w:widowControl/>
              <w:spacing w:line="240" w:lineRule="auto"/>
              <w:ind w:firstLine="0" w:firstLineChars="0"/>
              <w:jc w:val="center"/>
              <w:rPr>
                <w:color w:val="auto"/>
                <w:kern w:val="0"/>
                <w:sz w:val="20"/>
                <w:szCs w:val="20"/>
                <w:highlight w:val="none"/>
              </w:rPr>
            </w:pPr>
            <w:r>
              <w:rPr>
                <w:color w:val="auto"/>
                <w:kern w:val="0"/>
                <w:sz w:val="20"/>
                <w:szCs w:val="20"/>
                <w:highlight w:val="none"/>
              </w:rPr>
              <w:t>9</w:t>
            </w:r>
          </w:p>
        </w:tc>
        <w:tc>
          <w:tcPr>
            <w:tcW w:w="1694"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设备安装工程</w:t>
            </w:r>
          </w:p>
        </w:tc>
        <w:tc>
          <w:tcPr>
            <w:tcW w:w="1405"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人工费</w:t>
            </w:r>
          </w:p>
        </w:tc>
        <w:tc>
          <w:tcPr>
            <w:tcW w:w="1157" w:type="pct"/>
            <w:shd w:val="clear" w:color="auto" w:fill="auto"/>
            <w:vAlign w:val="center"/>
          </w:tcPr>
          <w:p>
            <w:pPr>
              <w:spacing w:line="240" w:lineRule="auto"/>
              <w:ind w:firstLine="0" w:firstLineChars="0"/>
              <w:jc w:val="center"/>
              <w:rPr>
                <w:color w:val="auto"/>
                <w:sz w:val="20"/>
                <w:szCs w:val="20"/>
                <w:highlight w:val="none"/>
              </w:rPr>
            </w:pPr>
            <w:r>
              <w:rPr>
                <w:color w:val="auto"/>
                <w:sz w:val="20"/>
                <w:szCs w:val="20"/>
                <w:highlight w:val="none"/>
              </w:rPr>
              <w:t xml:space="preserve">70.0 </w:t>
            </w:r>
          </w:p>
        </w:tc>
      </w:tr>
    </w:tbl>
    <w:p>
      <w:pPr>
        <w:ind w:firstLine="480"/>
        <w:rPr>
          <w:color w:val="auto"/>
          <w:highlight w:val="none"/>
        </w:rPr>
      </w:pPr>
      <w:r>
        <w:rPr>
          <w:rFonts w:hint="eastAsia"/>
          <w:color w:val="auto"/>
          <w:highlight w:val="none"/>
        </w:rPr>
        <w:t>3、企业利润</w:t>
      </w:r>
    </w:p>
    <w:p>
      <w:pPr>
        <w:ind w:firstLine="480"/>
        <w:rPr>
          <w:color w:val="auto"/>
          <w:highlight w:val="none"/>
        </w:rPr>
      </w:pPr>
      <w:r>
        <w:rPr>
          <w:rFonts w:hint="eastAsia"/>
          <w:color w:val="auto"/>
          <w:highlight w:val="none"/>
        </w:rPr>
        <w:t>按直接费、间接费之和的7%计算。</w:t>
      </w:r>
    </w:p>
    <w:p>
      <w:pPr>
        <w:ind w:firstLine="480"/>
        <w:rPr>
          <w:color w:val="auto"/>
          <w:highlight w:val="none"/>
        </w:rPr>
      </w:pPr>
      <w:r>
        <w:rPr>
          <w:rFonts w:hint="eastAsia"/>
          <w:color w:val="auto"/>
          <w:highlight w:val="none"/>
        </w:rPr>
        <w:t>4、税金</w:t>
      </w:r>
    </w:p>
    <w:p>
      <w:pPr>
        <w:ind w:firstLine="480"/>
        <w:rPr>
          <w:color w:val="auto"/>
          <w:highlight w:val="none"/>
        </w:rPr>
      </w:pPr>
      <w:r>
        <w:rPr>
          <w:rFonts w:hint="eastAsia"/>
          <w:color w:val="auto"/>
          <w:highlight w:val="none"/>
        </w:rPr>
        <w:t>税金指计入建筑安装工程内的增值税，税率为9%。</w:t>
      </w:r>
    </w:p>
    <w:p>
      <w:pPr>
        <w:ind w:firstLine="480"/>
        <w:rPr>
          <w:color w:val="auto"/>
          <w:highlight w:val="none"/>
        </w:rPr>
      </w:pPr>
      <w:r>
        <w:rPr>
          <w:rFonts w:hint="eastAsia"/>
          <w:color w:val="auto"/>
          <w:highlight w:val="none"/>
        </w:rPr>
        <w:t>5、单价扩大系数</w:t>
      </w:r>
    </w:p>
    <w:p>
      <w:pPr>
        <w:ind w:firstLine="480"/>
        <w:rPr>
          <w:color w:val="auto"/>
          <w:highlight w:val="none"/>
        </w:rPr>
      </w:pPr>
      <w:r>
        <w:rPr>
          <w:rFonts w:hint="eastAsia"/>
          <w:color w:val="auto"/>
          <w:highlight w:val="none"/>
        </w:rPr>
        <w:t>本工程采用《山东省水利水电建筑工程预算定额》及《山东省水利水电安装工程预算定额》，目前阶段为估算阶段，单价扩大系数按10%考虑。</w:t>
      </w:r>
    </w:p>
    <w:p>
      <w:pPr>
        <w:pStyle w:val="4"/>
        <w:rPr>
          <w:color w:val="auto"/>
          <w:highlight w:val="none"/>
        </w:rPr>
      </w:pPr>
      <w:r>
        <w:rPr>
          <w:rFonts w:hint="eastAsia"/>
          <w:color w:val="auto"/>
          <w:highlight w:val="none"/>
        </w:rPr>
        <w:t>14.1.5 临时工程</w:t>
      </w:r>
    </w:p>
    <w:p>
      <w:pPr>
        <w:ind w:firstLine="480"/>
        <w:rPr>
          <w:color w:val="auto"/>
          <w:highlight w:val="none"/>
        </w:rPr>
      </w:pPr>
      <w:r>
        <w:rPr>
          <w:rFonts w:hint="eastAsia"/>
          <w:color w:val="auto"/>
          <w:highlight w:val="none"/>
        </w:rPr>
        <w:t>1、施工交通工程</w:t>
      </w:r>
    </w:p>
    <w:p>
      <w:pPr>
        <w:ind w:firstLine="480"/>
        <w:rPr>
          <w:color w:val="auto"/>
          <w:highlight w:val="none"/>
        </w:rPr>
      </w:pPr>
      <w:r>
        <w:rPr>
          <w:rFonts w:hint="eastAsia"/>
          <w:color w:val="auto"/>
          <w:highlight w:val="none"/>
        </w:rPr>
        <w:t>根据施工组织设计所确定的工程量乘以单位指标计算。</w:t>
      </w:r>
    </w:p>
    <w:p>
      <w:pPr>
        <w:ind w:firstLine="480"/>
        <w:rPr>
          <w:color w:val="auto"/>
          <w:highlight w:val="none"/>
        </w:rPr>
      </w:pPr>
      <w:r>
        <w:rPr>
          <w:rFonts w:hint="eastAsia"/>
          <w:color w:val="auto"/>
          <w:highlight w:val="none"/>
        </w:rPr>
        <w:t>2、临时房屋建筑工程</w:t>
      </w:r>
    </w:p>
    <w:p>
      <w:pPr>
        <w:ind w:firstLine="480"/>
        <w:rPr>
          <w:color w:val="auto"/>
          <w:highlight w:val="none"/>
        </w:rPr>
      </w:pPr>
      <w:r>
        <w:rPr>
          <w:rFonts w:hint="eastAsia"/>
          <w:color w:val="auto"/>
          <w:highlight w:val="none"/>
        </w:rPr>
        <w:t>（1）施工仓库：建筑面积根据施工组织设计确定，单位造价指标按300元/m</w:t>
      </w:r>
      <w:r>
        <w:rPr>
          <w:rFonts w:hint="eastAsia"/>
          <w:color w:val="auto"/>
          <w:highlight w:val="none"/>
          <w:vertAlign w:val="superscript"/>
        </w:rPr>
        <w:t>2</w:t>
      </w:r>
      <w:r>
        <w:rPr>
          <w:rFonts w:hint="eastAsia"/>
          <w:color w:val="auto"/>
          <w:highlight w:val="none"/>
        </w:rPr>
        <w:t>。</w:t>
      </w:r>
    </w:p>
    <w:p>
      <w:pPr>
        <w:ind w:firstLine="480"/>
        <w:rPr>
          <w:color w:val="auto"/>
          <w:highlight w:val="none"/>
        </w:rPr>
      </w:pPr>
      <w:r>
        <w:rPr>
          <w:rFonts w:hint="eastAsia"/>
          <w:color w:val="auto"/>
          <w:highlight w:val="none"/>
        </w:rPr>
        <w:t>（2）临时用房：按第一至第四部分建安工作量的1.5%计入；</w:t>
      </w:r>
    </w:p>
    <w:p>
      <w:pPr>
        <w:ind w:firstLine="480"/>
        <w:rPr>
          <w:color w:val="auto"/>
          <w:highlight w:val="none"/>
        </w:rPr>
      </w:pPr>
      <w:r>
        <w:rPr>
          <w:rFonts w:hint="eastAsia"/>
          <w:color w:val="auto"/>
          <w:highlight w:val="none"/>
        </w:rPr>
        <w:t>（3）其他施工临时工程：按第一至第四部分建安工作量（不包括其他施工临时工程）之和的2%计算。</w:t>
      </w:r>
    </w:p>
    <w:p>
      <w:pPr>
        <w:pStyle w:val="4"/>
        <w:rPr>
          <w:color w:val="auto"/>
          <w:highlight w:val="none"/>
        </w:rPr>
      </w:pPr>
      <w:r>
        <w:rPr>
          <w:rFonts w:hint="eastAsia"/>
          <w:color w:val="auto"/>
          <w:highlight w:val="none"/>
        </w:rPr>
        <w:t>14.1.6 独立费用</w:t>
      </w:r>
    </w:p>
    <w:p>
      <w:pPr>
        <w:ind w:firstLine="480"/>
        <w:rPr>
          <w:color w:val="auto"/>
          <w:highlight w:val="none"/>
        </w:rPr>
      </w:pPr>
      <w:r>
        <w:rPr>
          <w:rFonts w:hint="eastAsia"/>
          <w:color w:val="auto"/>
          <w:highlight w:val="none"/>
        </w:rPr>
        <w:t>1、建设管理费</w:t>
      </w:r>
    </w:p>
    <w:p>
      <w:pPr>
        <w:ind w:firstLine="480"/>
        <w:rPr>
          <w:color w:val="auto"/>
          <w:highlight w:val="none"/>
        </w:rPr>
      </w:pPr>
      <w:r>
        <w:rPr>
          <w:rFonts w:hint="eastAsia"/>
          <w:color w:val="auto"/>
          <w:highlight w:val="none"/>
        </w:rPr>
        <w:t>建设单位管理费按一至四部分建安工作量为计算基数，按照编制规定所列费率，以超额累计方法计算。</w:t>
      </w:r>
    </w:p>
    <w:p>
      <w:pPr>
        <w:ind w:firstLine="480"/>
        <w:rPr>
          <w:color w:val="auto"/>
          <w:highlight w:val="none"/>
        </w:rPr>
      </w:pPr>
      <w:r>
        <w:rPr>
          <w:rFonts w:hint="eastAsia"/>
          <w:color w:val="auto"/>
          <w:highlight w:val="none"/>
        </w:rPr>
        <w:t>2、项目经济技术服务费</w:t>
      </w:r>
    </w:p>
    <w:p>
      <w:pPr>
        <w:ind w:firstLine="480"/>
        <w:rPr>
          <w:color w:val="auto"/>
          <w:highlight w:val="none"/>
        </w:rPr>
      </w:pPr>
      <w:r>
        <w:rPr>
          <w:rFonts w:hint="eastAsia"/>
          <w:color w:val="auto"/>
          <w:highlight w:val="none"/>
        </w:rPr>
        <w:t>按一至四部分投资为计算基数，按照编制规定所列费率，以超额累计方法计算。</w:t>
      </w:r>
    </w:p>
    <w:p>
      <w:pPr>
        <w:ind w:firstLine="480"/>
        <w:rPr>
          <w:color w:val="auto"/>
          <w:highlight w:val="none"/>
        </w:rPr>
      </w:pPr>
      <w:r>
        <w:rPr>
          <w:rFonts w:hint="eastAsia"/>
          <w:color w:val="auto"/>
          <w:highlight w:val="none"/>
        </w:rPr>
        <w:t>3、工程建设监理费</w:t>
      </w:r>
    </w:p>
    <w:p>
      <w:pPr>
        <w:ind w:firstLine="480"/>
        <w:rPr>
          <w:color w:val="auto"/>
          <w:highlight w:val="none"/>
        </w:rPr>
      </w:pPr>
      <w:r>
        <w:rPr>
          <w:rFonts w:hint="eastAsia"/>
          <w:color w:val="auto"/>
          <w:highlight w:val="none"/>
        </w:rPr>
        <w:t>按国家发改委发改价格[2007]670 号文“建设工程监理与相关服务收费管理规定”及其他相关规定计取。</w:t>
      </w:r>
    </w:p>
    <w:p>
      <w:pPr>
        <w:ind w:firstLine="480"/>
        <w:rPr>
          <w:color w:val="auto"/>
          <w:highlight w:val="none"/>
        </w:rPr>
      </w:pPr>
      <w:r>
        <w:rPr>
          <w:rFonts w:hint="eastAsia"/>
          <w:color w:val="auto"/>
          <w:highlight w:val="none"/>
        </w:rPr>
        <w:t>4、生产准备费暂未计列。</w:t>
      </w:r>
    </w:p>
    <w:p>
      <w:pPr>
        <w:ind w:firstLine="480"/>
        <w:rPr>
          <w:color w:val="auto"/>
          <w:highlight w:val="none"/>
        </w:rPr>
      </w:pPr>
      <w:r>
        <w:rPr>
          <w:rFonts w:hint="eastAsia"/>
          <w:color w:val="auto"/>
          <w:highlight w:val="none"/>
        </w:rPr>
        <w:t>5、科研勘测设计咨询费</w:t>
      </w:r>
    </w:p>
    <w:p>
      <w:pPr>
        <w:ind w:firstLine="480"/>
        <w:rPr>
          <w:color w:val="auto"/>
          <w:highlight w:val="none"/>
        </w:rPr>
      </w:pPr>
      <w:r>
        <w:rPr>
          <w:rFonts w:hint="eastAsia"/>
          <w:color w:val="auto"/>
          <w:highlight w:val="none"/>
        </w:rPr>
        <w:t>（1）工程科学研究试验费</w:t>
      </w:r>
    </w:p>
    <w:p>
      <w:pPr>
        <w:ind w:firstLine="480"/>
        <w:rPr>
          <w:color w:val="auto"/>
          <w:highlight w:val="none"/>
        </w:rPr>
      </w:pPr>
      <w:r>
        <w:rPr>
          <w:rFonts w:hint="eastAsia"/>
          <w:color w:val="auto"/>
          <w:highlight w:val="none"/>
        </w:rPr>
        <w:t>按工程类别按建安工作量的0.3%~0.5%计算，本工程暂未计列。</w:t>
      </w:r>
    </w:p>
    <w:p>
      <w:pPr>
        <w:ind w:firstLine="480"/>
        <w:rPr>
          <w:color w:val="auto"/>
          <w:highlight w:val="none"/>
        </w:rPr>
      </w:pPr>
      <w:r>
        <w:rPr>
          <w:rFonts w:hint="eastAsia"/>
          <w:color w:val="auto"/>
          <w:highlight w:val="none"/>
        </w:rPr>
        <w:t>（2）工程勘测设计费</w:t>
      </w:r>
    </w:p>
    <w:p>
      <w:pPr>
        <w:ind w:firstLine="480"/>
        <w:rPr>
          <w:color w:val="auto"/>
          <w:highlight w:val="none"/>
        </w:rPr>
      </w:pPr>
      <w:r>
        <w:rPr>
          <w:rFonts w:hint="eastAsia"/>
          <w:color w:val="auto"/>
          <w:highlight w:val="none"/>
        </w:rPr>
        <w:t>项目建议书、可行性研究等前期阶段的勘察费和设计费按国家计委计价格[1999]1283号文颁布的《建设项目前期工作咨询收费暂行规定》、国家发展和改革委员会、建设部发改价格[2006]1352号文发布的《水利、水电、电力建设项目前期工作工程勘察收费暂行规定》执行。</w:t>
      </w:r>
    </w:p>
    <w:p>
      <w:pPr>
        <w:ind w:firstLine="480"/>
        <w:rPr>
          <w:color w:val="auto"/>
          <w:highlight w:val="none"/>
        </w:rPr>
      </w:pPr>
      <w:r>
        <w:rPr>
          <w:rFonts w:hint="eastAsia"/>
          <w:color w:val="auto"/>
          <w:highlight w:val="none"/>
        </w:rPr>
        <w:t>初步设计、招标设计和施工图设计三阶段的勘察费、设计费按照国家计委、建设部计价格［2002］10号文关于发布《工程勘察设计收费管理规定》的通知颁发的《工程勘察设计收费标准》执行。</w:t>
      </w:r>
    </w:p>
    <w:p>
      <w:pPr>
        <w:ind w:firstLine="480"/>
        <w:rPr>
          <w:color w:val="auto"/>
          <w:highlight w:val="none"/>
        </w:rPr>
      </w:pPr>
      <w:r>
        <w:rPr>
          <w:rFonts w:hint="eastAsia"/>
          <w:color w:val="auto"/>
          <w:highlight w:val="none"/>
        </w:rPr>
        <w:t>7、科研勘测设计咨询费</w:t>
      </w:r>
    </w:p>
    <w:p>
      <w:pPr>
        <w:ind w:firstLine="480"/>
        <w:rPr>
          <w:color w:val="auto"/>
          <w:highlight w:val="none"/>
        </w:rPr>
      </w:pPr>
      <w:r>
        <w:rPr>
          <w:rFonts w:hint="eastAsia"/>
          <w:color w:val="auto"/>
          <w:highlight w:val="none"/>
        </w:rPr>
        <w:t>（1）工程质量检测费</w:t>
      </w:r>
    </w:p>
    <w:p>
      <w:pPr>
        <w:ind w:firstLine="480"/>
        <w:rPr>
          <w:color w:val="auto"/>
          <w:highlight w:val="none"/>
        </w:rPr>
      </w:pPr>
      <w:r>
        <w:rPr>
          <w:rFonts w:hint="eastAsia"/>
          <w:color w:val="auto"/>
          <w:highlight w:val="none"/>
        </w:rPr>
        <w:t>按建安工作量的0.5%~1%计算，本工程按1%计算。</w:t>
      </w:r>
    </w:p>
    <w:p>
      <w:pPr>
        <w:ind w:firstLine="480"/>
        <w:rPr>
          <w:color w:val="auto"/>
          <w:highlight w:val="none"/>
        </w:rPr>
      </w:pPr>
      <w:r>
        <w:rPr>
          <w:rFonts w:hint="eastAsia"/>
          <w:color w:val="auto"/>
          <w:highlight w:val="none"/>
        </w:rPr>
        <w:t>（2）工程保险费</w:t>
      </w:r>
    </w:p>
    <w:p>
      <w:pPr>
        <w:ind w:firstLine="480"/>
        <w:rPr>
          <w:color w:val="auto"/>
          <w:highlight w:val="none"/>
        </w:rPr>
      </w:pPr>
      <w:r>
        <w:rPr>
          <w:rFonts w:hint="eastAsia"/>
          <w:color w:val="auto"/>
          <w:highlight w:val="none"/>
        </w:rPr>
        <w:t>按第一至第四部分投资之和的0.45%~0.5%计列，本工程按0.45%计算。</w:t>
      </w:r>
    </w:p>
    <w:p>
      <w:pPr>
        <w:ind w:firstLine="480"/>
        <w:rPr>
          <w:color w:val="auto"/>
          <w:highlight w:val="none"/>
        </w:rPr>
      </w:pPr>
      <w:r>
        <w:rPr>
          <w:rFonts w:hint="eastAsia"/>
          <w:color w:val="auto"/>
          <w:highlight w:val="none"/>
        </w:rPr>
        <w:t>（3）其他税费</w:t>
      </w:r>
    </w:p>
    <w:p>
      <w:pPr>
        <w:ind w:firstLine="480"/>
        <w:rPr>
          <w:color w:val="auto"/>
          <w:highlight w:val="none"/>
        </w:rPr>
      </w:pPr>
      <w:r>
        <w:rPr>
          <w:rFonts w:hint="eastAsia"/>
          <w:color w:val="auto"/>
          <w:highlight w:val="none"/>
        </w:rPr>
        <w:t>按国家有关规定计取。本工程未计列。</w:t>
      </w:r>
    </w:p>
    <w:p>
      <w:pPr>
        <w:pStyle w:val="4"/>
        <w:rPr>
          <w:color w:val="auto"/>
          <w:highlight w:val="none"/>
        </w:rPr>
      </w:pPr>
      <w:r>
        <w:rPr>
          <w:rFonts w:hint="eastAsia"/>
          <w:color w:val="auto"/>
          <w:highlight w:val="none"/>
        </w:rPr>
        <w:t>14.1.7 预备费</w:t>
      </w:r>
    </w:p>
    <w:p>
      <w:pPr>
        <w:ind w:firstLine="480"/>
        <w:rPr>
          <w:color w:val="auto"/>
          <w:highlight w:val="none"/>
        </w:rPr>
      </w:pPr>
      <w:r>
        <w:rPr>
          <w:rFonts w:hint="eastAsia"/>
          <w:color w:val="auto"/>
          <w:highlight w:val="none"/>
        </w:rPr>
        <w:t>1、基本预备费：按第一至第五部分投资合计的百分数计算，一般项目建议书阶段按 15%计算，可行性研究阶段按 10%计算，初步设计按 5%~6%计算，本工程属于可行性研究阶段，按10%计取。</w:t>
      </w:r>
    </w:p>
    <w:p>
      <w:pPr>
        <w:ind w:firstLine="480"/>
        <w:rPr>
          <w:color w:val="auto"/>
          <w:highlight w:val="none"/>
        </w:rPr>
      </w:pPr>
      <w:r>
        <w:rPr>
          <w:rFonts w:hint="eastAsia"/>
          <w:color w:val="auto"/>
          <w:highlight w:val="none"/>
        </w:rPr>
        <w:t>2、价差预备费：不计列。</w:t>
      </w:r>
    </w:p>
    <w:p>
      <w:pPr>
        <w:pStyle w:val="3"/>
        <w:rPr>
          <w:color w:val="auto"/>
          <w:highlight w:val="none"/>
        </w:rPr>
      </w:pPr>
      <w:bookmarkStart w:id="166" w:name="_Toc2792"/>
      <w:r>
        <w:rPr>
          <w:rFonts w:hint="eastAsia"/>
          <w:color w:val="auto"/>
          <w:highlight w:val="none"/>
        </w:rPr>
        <w:t>14.2工程估算及资金筹措</w:t>
      </w:r>
      <w:bookmarkEnd w:id="166"/>
    </w:p>
    <w:p>
      <w:pPr>
        <w:ind w:firstLine="480"/>
        <w:rPr>
          <w:rFonts w:hint="eastAsia" w:ascii="Times New Roman" w:hAnsi="Times New Roman"/>
          <w:color w:val="auto"/>
          <w:highlight w:val="none"/>
        </w:rPr>
      </w:pPr>
      <w:r>
        <w:rPr>
          <w:rFonts w:hint="eastAsia" w:ascii="Times New Roman" w:hAnsi="Times New Roman"/>
          <w:color w:val="auto"/>
          <w:highlight w:val="none"/>
        </w:rPr>
        <w:t>1、工程估算</w:t>
      </w:r>
    </w:p>
    <w:p>
      <w:pPr>
        <w:ind w:firstLine="480"/>
        <w:rPr>
          <w:rFonts w:hint="default" w:ascii="Times New Roman" w:hAnsi="Times New Roman"/>
          <w:color w:val="auto"/>
          <w:highlight w:val="none"/>
          <w:lang w:val="en-US" w:eastAsia="zh-CN"/>
        </w:rPr>
      </w:pPr>
      <w:r>
        <w:rPr>
          <w:rFonts w:hint="default" w:ascii="Times New Roman" w:hAnsi="Times New Roman"/>
          <w:color w:val="auto"/>
          <w:highlight w:val="none"/>
        </w:rPr>
        <w:t>峄城区城乡供水一体化项目工程建设投资</w:t>
      </w:r>
      <w:r>
        <w:rPr>
          <w:rFonts w:hint="eastAsia"/>
          <w:color w:val="auto"/>
          <w:highlight w:val="none"/>
          <w:lang w:eastAsia="zh-CN"/>
        </w:rPr>
        <w:t>120643.69</w:t>
      </w:r>
      <w:r>
        <w:rPr>
          <w:rFonts w:hint="default" w:ascii="Times New Roman" w:hAnsi="Times New Roman"/>
          <w:color w:val="auto"/>
          <w:highlight w:val="none"/>
        </w:rPr>
        <w:t xml:space="preserve"> 万元，其中工程部分投资 93225.95 万元，临时工程费 3262.91 万元，独立费用 12447.07 万元，水土保持投资为 570.01 万元，环境保护投资为 244.16 万元，基本预备费 10893.59 万元</w:t>
      </w:r>
      <w:r>
        <w:rPr>
          <w:rFonts w:hint="default" w:ascii="Times New Roman" w:hAnsi="Times New Roman"/>
          <w:color w:val="auto"/>
          <w:highlight w:val="none"/>
          <w:lang w:val="en-US" w:eastAsia="zh-CN"/>
        </w:rPr>
        <w:t>。</w:t>
      </w:r>
    </w:p>
    <w:p>
      <w:pPr>
        <w:ind w:firstLine="480"/>
        <w:rPr>
          <w:rFonts w:hint="eastAsia" w:ascii="Times New Roman" w:hAnsi="Times New Roman"/>
          <w:color w:val="auto"/>
          <w:highlight w:val="none"/>
        </w:rPr>
      </w:pPr>
      <w:r>
        <w:rPr>
          <w:rFonts w:hint="eastAsia" w:ascii="Times New Roman" w:hAnsi="Times New Roman"/>
          <w:color w:val="auto"/>
          <w:highlight w:val="none"/>
        </w:rPr>
        <w:t>2、资金筹措</w:t>
      </w:r>
    </w:p>
    <w:p>
      <w:pPr>
        <w:ind w:firstLine="480"/>
        <w:rPr>
          <w:rFonts w:hint="eastAsia" w:ascii="Times New Roman" w:hAnsi="Times New Roman"/>
          <w:color w:val="auto"/>
          <w:highlight w:val="none"/>
        </w:rPr>
      </w:pPr>
      <w:r>
        <w:rPr>
          <w:rFonts w:hint="eastAsia" w:ascii="Times New Roman" w:hAnsi="Times New Roman"/>
          <w:color w:val="auto"/>
          <w:highlight w:val="none"/>
        </w:rPr>
        <w:t>该工程建设总投资</w:t>
      </w:r>
      <w:r>
        <w:rPr>
          <w:rFonts w:hint="eastAsia"/>
          <w:color w:val="auto"/>
          <w:highlight w:val="none"/>
          <w:lang w:eastAsia="zh-CN"/>
        </w:rPr>
        <w:t>120643.69</w:t>
      </w:r>
      <w:r>
        <w:rPr>
          <w:rFonts w:hint="eastAsia" w:ascii="Times New Roman" w:hAnsi="Times New Roman"/>
          <w:color w:val="auto"/>
          <w:highlight w:val="none"/>
        </w:rPr>
        <w:t xml:space="preserve"> 万元，资金筹措方案为：</w:t>
      </w:r>
    </w:p>
    <w:p>
      <w:pPr>
        <w:ind w:firstLine="480"/>
        <w:rPr>
          <w:rFonts w:hint="eastAsia" w:ascii="Times New Roman" w:hAnsi="Times New Roman"/>
          <w:color w:val="auto"/>
          <w:highlight w:val="none"/>
        </w:rPr>
      </w:pPr>
      <w:r>
        <w:rPr>
          <w:rFonts w:hint="eastAsia" w:ascii="Times New Roman" w:hAnsi="Times New Roman"/>
          <w:color w:val="auto"/>
          <w:highlight w:val="none"/>
        </w:rPr>
        <w:t xml:space="preserve">（1）申请银行贷款 </w:t>
      </w:r>
      <w:r>
        <w:rPr>
          <w:rFonts w:hint="eastAsia" w:ascii="Times New Roman" w:hAnsi="Times New Roman"/>
          <w:color w:val="auto"/>
          <w:highlight w:val="none"/>
          <w:lang w:val="en-US" w:eastAsia="zh-CN"/>
        </w:rPr>
        <w:t>80</w:t>
      </w:r>
      <w:r>
        <w:rPr>
          <w:rFonts w:hint="eastAsia" w:ascii="Times New Roman" w:hAnsi="Times New Roman"/>
          <w:color w:val="auto"/>
          <w:highlight w:val="none"/>
        </w:rPr>
        <w:t xml:space="preserve">000.00  万元，占投资的 </w:t>
      </w:r>
      <w:r>
        <w:rPr>
          <w:rFonts w:hint="eastAsia" w:ascii="Times New Roman" w:hAnsi="Times New Roman"/>
          <w:color w:val="auto"/>
          <w:highlight w:val="none"/>
          <w:lang w:val="en-US" w:eastAsia="zh-CN"/>
        </w:rPr>
        <w:t>64.89</w:t>
      </w:r>
      <w:r>
        <w:rPr>
          <w:rFonts w:hint="eastAsia" w:ascii="Times New Roman" w:hAnsi="Times New Roman"/>
          <w:color w:val="auto"/>
          <w:highlight w:val="none"/>
        </w:rPr>
        <w:t>%；</w:t>
      </w:r>
    </w:p>
    <w:p>
      <w:pPr>
        <w:ind w:firstLine="480"/>
        <w:rPr>
          <w:rFonts w:hint="eastAsia" w:ascii="Times New Roman" w:hAnsi="Times New Roman"/>
          <w:color w:val="auto"/>
          <w:highlight w:val="none"/>
        </w:rPr>
      </w:pPr>
      <w:r>
        <w:rPr>
          <w:rFonts w:hint="eastAsia" w:ascii="Times New Roman" w:hAnsi="Times New Roman"/>
          <w:color w:val="auto"/>
          <w:highlight w:val="none"/>
        </w:rPr>
        <w:t xml:space="preserve">（2）其余 </w:t>
      </w:r>
      <w:r>
        <w:rPr>
          <w:rFonts w:hint="eastAsia"/>
          <w:color w:val="auto"/>
          <w:highlight w:val="none"/>
          <w:lang w:val="en-US" w:eastAsia="zh-CN"/>
        </w:rPr>
        <w:t>40643</w:t>
      </w:r>
      <w:r>
        <w:rPr>
          <w:rFonts w:hint="eastAsia" w:ascii="Times New Roman" w:hAnsi="Times New Roman"/>
          <w:color w:val="auto"/>
          <w:highlight w:val="none"/>
          <w:lang w:val="en-US" w:eastAsia="zh-CN"/>
        </w:rPr>
        <w:t>.69</w:t>
      </w:r>
      <w:r>
        <w:rPr>
          <w:rFonts w:hint="eastAsia" w:ascii="Times New Roman" w:hAnsi="Times New Roman"/>
          <w:color w:val="auto"/>
          <w:highlight w:val="none"/>
        </w:rPr>
        <w:t xml:space="preserve">  万元由项目单位自筹解决，占投资的 </w:t>
      </w:r>
      <w:r>
        <w:rPr>
          <w:rFonts w:hint="eastAsia" w:ascii="Times New Roman" w:hAnsi="Times New Roman"/>
          <w:color w:val="auto"/>
          <w:highlight w:val="none"/>
          <w:lang w:val="en-US" w:eastAsia="zh-CN"/>
        </w:rPr>
        <w:t>35.11</w:t>
      </w:r>
      <w:r>
        <w:rPr>
          <w:rFonts w:hint="eastAsia" w:ascii="Times New Roman" w:hAnsi="Times New Roman"/>
          <w:color w:val="auto"/>
          <w:highlight w:val="none"/>
        </w:rPr>
        <w:t>%。</w:t>
      </w:r>
    </w:p>
    <w:p>
      <w:pPr>
        <w:ind w:firstLine="480"/>
        <w:rPr>
          <w:color w:val="auto"/>
          <w:highlight w:val="none"/>
        </w:rPr>
      </w:pPr>
      <w:r>
        <w:rPr>
          <w:rFonts w:hint="eastAsia"/>
          <w:color w:val="auto"/>
          <w:highlight w:val="none"/>
        </w:rPr>
        <w:t>详见附件：</w:t>
      </w:r>
    </w:p>
    <w:p>
      <w:pPr>
        <w:pStyle w:val="128"/>
        <w:numPr>
          <w:ilvl w:val="0"/>
          <w:numId w:val="1"/>
        </w:numPr>
        <w:ind w:firstLineChars="0"/>
        <w:rPr>
          <w:color w:val="auto"/>
          <w:highlight w:val="none"/>
        </w:rPr>
      </w:pPr>
      <w:r>
        <w:rPr>
          <w:rFonts w:hint="eastAsia"/>
          <w:color w:val="auto"/>
          <w:highlight w:val="none"/>
        </w:rPr>
        <w:t>峄城区城乡供水一体化工程估算总表</w:t>
      </w:r>
    </w:p>
    <w:p>
      <w:pPr>
        <w:pStyle w:val="128"/>
        <w:numPr>
          <w:ilvl w:val="0"/>
          <w:numId w:val="1"/>
        </w:numPr>
        <w:ind w:firstLineChars="0"/>
        <w:rPr>
          <w:color w:val="auto"/>
          <w:highlight w:val="none"/>
        </w:rPr>
      </w:pPr>
      <w:r>
        <w:rPr>
          <w:rFonts w:hint="eastAsia"/>
          <w:color w:val="auto"/>
          <w:highlight w:val="none"/>
        </w:rPr>
        <w:t>峄城区城乡供水一体化工程7个分项估算表</w:t>
      </w:r>
    </w:p>
    <w:p>
      <w:pPr>
        <w:pStyle w:val="128"/>
        <w:numPr>
          <w:ilvl w:val="0"/>
          <w:numId w:val="1"/>
        </w:numPr>
        <w:ind w:firstLineChars="0"/>
        <w:rPr>
          <w:color w:val="auto"/>
          <w:highlight w:val="none"/>
        </w:rPr>
      </w:pPr>
      <w:r>
        <w:rPr>
          <w:rFonts w:hint="eastAsia"/>
          <w:color w:val="auto"/>
          <w:highlight w:val="none"/>
        </w:rPr>
        <w:t>峄城区城乡供水一体化工程临时工程估算表</w:t>
      </w:r>
    </w:p>
    <w:p>
      <w:pPr>
        <w:pStyle w:val="128"/>
        <w:numPr>
          <w:ilvl w:val="0"/>
          <w:numId w:val="1"/>
        </w:numPr>
        <w:ind w:firstLineChars="0"/>
        <w:rPr>
          <w:color w:val="auto"/>
          <w:highlight w:val="none"/>
        </w:rPr>
      </w:pPr>
      <w:r>
        <w:rPr>
          <w:rFonts w:hint="eastAsia"/>
          <w:color w:val="auto"/>
          <w:highlight w:val="none"/>
        </w:rPr>
        <w:t>峄城区城乡供水一体化工程独立费用估算表</w:t>
      </w:r>
    </w:p>
    <w:p>
      <w:pPr>
        <w:pStyle w:val="128"/>
        <w:numPr>
          <w:ilvl w:val="0"/>
          <w:numId w:val="1"/>
        </w:numPr>
        <w:ind w:firstLineChars="0"/>
        <w:rPr>
          <w:color w:val="auto"/>
          <w:highlight w:val="none"/>
        </w:rPr>
      </w:pPr>
      <w:r>
        <w:rPr>
          <w:rFonts w:hint="eastAsia"/>
          <w:color w:val="auto"/>
          <w:highlight w:val="none"/>
        </w:rPr>
        <w:t>峄城区城乡供水一体化工程主要材料价格表</w:t>
      </w:r>
    </w:p>
    <w:p>
      <w:pPr>
        <w:widowControl/>
        <w:spacing w:line="240" w:lineRule="auto"/>
        <w:ind w:firstLine="0" w:firstLineChars="0"/>
        <w:jc w:val="left"/>
        <w:rPr>
          <w:color w:val="auto"/>
          <w:highlight w:val="none"/>
        </w:rPr>
      </w:pPr>
      <w:r>
        <w:rPr>
          <w:color w:val="auto"/>
          <w:highlight w:val="none"/>
        </w:rPr>
        <w:br w:type="page"/>
      </w:r>
    </w:p>
    <w:p>
      <w:pPr>
        <w:pStyle w:val="2"/>
        <w:rPr>
          <w:color w:val="auto"/>
          <w:highlight w:val="none"/>
        </w:rPr>
      </w:pPr>
      <w:bookmarkStart w:id="167" w:name="_Toc12695"/>
      <w:r>
        <w:rPr>
          <w:rFonts w:hint="eastAsia"/>
          <w:color w:val="auto"/>
          <w:highlight w:val="none"/>
        </w:rPr>
        <w:t>15效益分析</w:t>
      </w:r>
      <w:bookmarkEnd w:id="167"/>
    </w:p>
    <w:p>
      <w:pPr>
        <w:pStyle w:val="3"/>
        <w:rPr>
          <w:rFonts w:cs="Times New Roman"/>
          <w:color w:val="auto"/>
          <w:highlight w:val="none"/>
        </w:rPr>
      </w:pPr>
      <w:bookmarkStart w:id="168" w:name="_Toc50215623"/>
      <w:bookmarkStart w:id="169" w:name="_Toc14546"/>
      <w:r>
        <w:rPr>
          <w:rFonts w:cs="Times New Roman"/>
          <w:color w:val="auto"/>
          <w:highlight w:val="none"/>
        </w:rPr>
        <w:t>15.1评价依据及基本参数</w:t>
      </w:r>
      <w:bookmarkEnd w:id="168"/>
      <w:bookmarkEnd w:id="169"/>
    </w:p>
    <w:p>
      <w:pPr>
        <w:pStyle w:val="4"/>
        <w:rPr>
          <w:rFonts w:cs="Times New Roman"/>
          <w:color w:val="auto"/>
          <w:highlight w:val="none"/>
        </w:rPr>
      </w:pPr>
      <w:r>
        <w:rPr>
          <w:rFonts w:cs="Times New Roman"/>
          <w:color w:val="auto"/>
          <w:highlight w:val="none"/>
        </w:rPr>
        <w:t>15.1.1评价依据</w:t>
      </w:r>
    </w:p>
    <w:p>
      <w:pPr>
        <w:ind w:firstLine="480"/>
        <w:rPr>
          <w:rFonts w:cs="Times New Roman"/>
          <w:color w:val="auto"/>
          <w:highlight w:val="none"/>
        </w:rPr>
      </w:pPr>
      <w:r>
        <w:rPr>
          <w:rFonts w:cs="Times New Roman"/>
          <w:color w:val="auto"/>
          <w:highlight w:val="none"/>
        </w:rPr>
        <w:t>1、《建设项目经济评价方法与参数》（第三版）；</w:t>
      </w:r>
    </w:p>
    <w:p>
      <w:pPr>
        <w:ind w:firstLine="480"/>
        <w:rPr>
          <w:rFonts w:cs="Times New Roman"/>
          <w:color w:val="auto"/>
          <w:highlight w:val="none"/>
        </w:rPr>
      </w:pPr>
      <w:r>
        <w:rPr>
          <w:rFonts w:cs="Times New Roman"/>
          <w:color w:val="auto"/>
          <w:highlight w:val="none"/>
        </w:rPr>
        <w:t>2、《水利建设项目经济评价规范》（SL72-2013）；</w:t>
      </w:r>
    </w:p>
    <w:p>
      <w:pPr>
        <w:ind w:firstLine="480"/>
        <w:rPr>
          <w:rFonts w:cs="Times New Roman"/>
          <w:color w:val="auto"/>
          <w:highlight w:val="none"/>
        </w:rPr>
      </w:pPr>
      <w:r>
        <w:rPr>
          <w:rFonts w:cs="Times New Roman"/>
          <w:color w:val="auto"/>
          <w:highlight w:val="none"/>
        </w:rPr>
        <w:t>3、《水利产业政策》（国发[1997]35号）；</w:t>
      </w:r>
    </w:p>
    <w:p>
      <w:pPr>
        <w:ind w:firstLine="480"/>
        <w:rPr>
          <w:rFonts w:cs="Times New Roman"/>
          <w:color w:val="auto"/>
          <w:highlight w:val="none"/>
        </w:rPr>
      </w:pPr>
      <w:r>
        <w:rPr>
          <w:rFonts w:cs="Times New Roman"/>
          <w:color w:val="auto"/>
          <w:highlight w:val="none"/>
        </w:rPr>
        <w:t>4、《江河流域规划编制规范》（SL201-97）。</w:t>
      </w:r>
    </w:p>
    <w:p>
      <w:pPr>
        <w:pStyle w:val="4"/>
        <w:rPr>
          <w:rFonts w:cs="Times New Roman"/>
          <w:color w:val="auto"/>
          <w:highlight w:val="none"/>
        </w:rPr>
      </w:pPr>
      <w:r>
        <w:rPr>
          <w:rFonts w:cs="Times New Roman"/>
          <w:color w:val="auto"/>
          <w:highlight w:val="none"/>
        </w:rPr>
        <w:t>15.1.2基本参数</w:t>
      </w:r>
    </w:p>
    <w:p>
      <w:pPr>
        <w:ind w:firstLine="480"/>
        <w:rPr>
          <w:rFonts w:cs="Times New Roman"/>
          <w:color w:val="auto"/>
          <w:highlight w:val="none"/>
        </w:rPr>
      </w:pPr>
      <w:r>
        <w:rPr>
          <w:rFonts w:cs="Times New Roman"/>
          <w:color w:val="auto"/>
          <w:highlight w:val="none"/>
        </w:rPr>
        <w:t>经济评价是水利项目经济评价的核心，按照资源合理配置的原则，从经济整体角度出发，用社会折现率等经济参数分析、计算项目给经济带来的净贡献，评价其经济合理性。《方法与参数》规定：“项目经济评价以动态分析为主”。因此，在进行经济评价时，应把工程的全部费用（投入）和全部效益（产出）综合起来，采用动态分析方法进行总体评价。主要参数如下：</w:t>
      </w:r>
    </w:p>
    <w:p>
      <w:pPr>
        <w:ind w:firstLine="480"/>
        <w:rPr>
          <w:rFonts w:cs="Times New Roman"/>
          <w:color w:val="auto"/>
          <w:highlight w:val="none"/>
        </w:rPr>
      </w:pPr>
      <w:r>
        <w:rPr>
          <w:rFonts w:cs="Times New Roman"/>
          <w:color w:val="auto"/>
          <w:highlight w:val="none"/>
        </w:rPr>
        <w:t>1、社会折现率</w:t>
      </w:r>
    </w:p>
    <w:p>
      <w:pPr>
        <w:ind w:firstLine="480"/>
        <w:rPr>
          <w:rFonts w:cs="Times New Roman"/>
          <w:color w:val="auto"/>
          <w:highlight w:val="none"/>
        </w:rPr>
      </w:pPr>
      <w:r>
        <w:rPr>
          <w:rFonts w:cs="Times New Roman"/>
          <w:color w:val="auto"/>
          <w:highlight w:val="none"/>
        </w:rPr>
        <w:t>根据《规范》的规定，本项目经济评价采用8%作为社会折现率。</w:t>
      </w:r>
    </w:p>
    <w:p>
      <w:pPr>
        <w:ind w:firstLine="480"/>
        <w:rPr>
          <w:rFonts w:cs="Times New Roman"/>
          <w:color w:val="auto"/>
          <w:highlight w:val="none"/>
        </w:rPr>
      </w:pPr>
      <w:r>
        <w:rPr>
          <w:rFonts w:cs="Times New Roman"/>
          <w:color w:val="auto"/>
          <w:highlight w:val="none"/>
        </w:rPr>
        <w:t>2、计算期和基准年</w:t>
      </w:r>
    </w:p>
    <w:p>
      <w:pPr>
        <w:ind w:firstLine="480"/>
        <w:rPr>
          <w:rFonts w:cs="Times New Roman"/>
          <w:color w:val="auto"/>
          <w:highlight w:val="none"/>
        </w:rPr>
      </w:pPr>
      <w:r>
        <w:rPr>
          <w:rFonts w:cs="Times New Roman"/>
          <w:color w:val="auto"/>
          <w:highlight w:val="none"/>
        </w:rPr>
        <w:t>计算期为计算总费用和效益所指定的时间范围，包括建设期和运行期。根据工程安排，建设期为</w:t>
      </w:r>
      <w:r>
        <w:rPr>
          <w:rFonts w:hint="eastAsia" w:cs="Times New Roman"/>
          <w:color w:val="auto"/>
          <w:highlight w:val="none"/>
          <w:lang w:val="en-US" w:eastAsia="zh-CN"/>
        </w:rPr>
        <w:t>2</w:t>
      </w:r>
      <w:r>
        <w:rPr>
          <w:rFonts w:cs="Times New Roman"/>
          <w:color w:val="auto"/>
          <w:highlight w:val="none"/>
        </w:rPr>
        <w:t>年，经营期采用10年，该工程的计算期为1</w:t>
      </w:r>
      <w:r>
        <w:rPr>
          <w:rFonts w:hint="eastAsia" w:cs="Times New Roman"/>
          <w:color w:val="auto"/>
          <w:highlight w:val="none"/>
          <w:lang w:val="en-US" w:eastAsia="zh-CN"/>
        </w:rPr>
        <w:t>2</w:t>
      </w:r>
      <w:r>
        <w:rPr>
          <w:rFonts w:cs="Times New Roman"/>
          <w:color w:val="auto"/>
          <w:highlight w:val="none"/>
        </w:rPr>
        <w:t>年，以项目建设当年为基准年。</w:t>
      </w:r>
    </w:p>
    <w:p>
      <w:pPr>
        <w:ind w:firstLine="480"/>
        <w:rPr>
          <w:rFonts w:cs="Times New Roman"/>
          <w:color w:val="auto"/>
          <w:highlight w:val="none"/>
        </w:rPr>
      </w:pPr>
      <w:r>
        <w:rPr>
          <w:rFonts w:cs="Times New Roman"/>
          <w:color w:val="auto"/>
          <w:highlight w:val="none"/>
        </w:rPr>
        <w:t>3、主要评价指标</w:t>
      </w:r>
    </w:p>
    <w:p>
      <w:pPr>
        <w:ind w:firstLine="480"/>
        <w:rPr>
          <w:rFonts w:cs="Times New Roman"/>
          <w:color w:val="auto"/>
          <w:highlight w:val="none"/>
        </w:rPr>
      </w:pPr>
      <w:r>
        <w:rPr>
          <w:rFonts w:cs="Times New Roman"/>
          <w:color w:val="auto"/>
          <w:highlight w:val="none"/>
        </w:rPr>
        <w:t>根据《方法与参数》和《规范》的有关规定，本项目以经济内部</w:t>
      </w:r>
      <w:bookmarkStart w:id="182" w:name="_GoBack"/>
      <w:bookmarkEnd w:id="182"/>
      <w:r>
        <w:rPr>
          <w:rFonts w:cs="Times New Roman"/>
          <w:color w:val="auto"/>
          <w:highlight w:val="none"/>
        </w:rPr>
        <w:t>收益率（EIRR）、经济净现值（ENPV）和效益费用比（EBCR）作为其经济评价的主要评价指标。</w:t>
      </w:r>
    </w:p>
    <w:p>
      <w:pPr>
        <w:pStyle w:val="4"/>
        <w:rPr>
          <w:rFonts w:cs="Times New Roman"/>
          <w:color w:val="auto"/>
          <w:highlight w:val="none"/>
        </w:rPr>
      </w:pPr>
      <w:r>
        <w:rPr>
          <w:rFonts w:cs="Times New Roman"/>
          <w:color w:val="auto"/>
          <w:highlight w:val="none"/>
        </w:rPr>
        <w:t>15.2.1工程效益</w:t>
      </w:r>
    </w:p>
    <w:p>
      <w:pPr>
        <w:ind w:firstLine="480"/>
        <w:rPr>
          <w:rFonts w:hint="eastAsia" w:eastAsia="宋体" w:cs="Times New Roman"/>
          <w:color w:val="auto"/>
          <w:highlight w:val="none"/>
          <w:lang w:eastAsia="zh-CN"/>
        </w:rPr>
      </w:pPr>
      <w:r>
        <w:rPr>
          <w:rFonts w:cs="Times New Roman"/>
          <w:color w:val="auto"/>
          <w:highlight w:val="none"/>
        </w:rPr>
        <w:t>项目建成后收入主要为生活供水、</w:t>
      </w:r>
      <w:r>
        <w:rPr>
          <w:rFonts w:hint="eastAsia" w:cs="Times New Roman"/>
          <w:color w:val="auto"/>
          <w:highlight w:val="none"/>
          <w:lang w:val="en-US" w:eastAsia="zh-CN"/>
        </w:rPr>
        <w:t>灌溉用水、</w:t>
      </w:r>
      <w:r>
        <w:rPr>
          <w:rFonts w:cs="Times New Roman"/>
          <w:color w:val="auto"/>
          <w:highlight w:val="none"/>
        </w:rPr>
        <w:t>砂石收入及污水处理费。</w:t>
      </w:r>
      <w:r>
        <w:rPr>
          <w:rFonts w:hint="eastAsia" w:cs="Times New Roman"/>
          <w:color w:val="auto"/>
          <w:highlight w:val="none"/>
          <w:lang w:val="en-US" w:eastAsia="zh-CN"/>
        </w:rPr>
        <w:t>除去龙泉庄水库渗漏和管网漏失量，</w:t>
      </w:r>
      <w:r>
        <w:rPr>
          <w:rFonts w:cs="Times New Roman"/>
          <w:color w:val="auto"/>
          <w:highlight w:val="none"/>
        </w:rPr>
        <w:t>年可实现用水</w:t>
      </w:r>
      <w:r>
        <w:rPr>
          <w:rFonts w:hint="eastAsia" w:cs="Times New Roman"/>
          <w:color w:val="auto"/>
          <w:highlight w:val="none"/>
          <w:lang w:val="en-US" w:eastAsia="zh-CN"/>
        </w:rPr>
        <w:t>1083.1</w:t>
      </w:r>
      <w:r>
        <w:rPr>
          <w:rFonts w:cs="Times New Roman"/>
          <w:color w:val="auto"/>
          <w:highlight w:val="none"/>
        </w:rPr>
        <w:t>万m</w:t>
      </w:r>
      <w:r>
        <w:rPr>
          <w:rFonts w:cs="Times New Roman"/>
          <w:color w:val="auto"/>
          <w:highlight w:val="none"/>
          <w:vertAlign w:val="superscript"/>
        </w:rPr>
        <w:t>3</w:t>
      </w:r>
      <w:r>
        <w:rPr>
          <w:rFonts w:cs="Times New Roman"/>
          <w:color w:val="auto"/>
          <w:highlight w:val="none"/>
        </w:rPr>
        <w:t>/</w:t>
      </w:r>
      <w:r>
        <w:rPr>
          <w:rFonts w:hint="eastAsia" w:cs="Times New Roman"/>
          <w:color w:val="auto"/>
          <w:highlight w:val="none"/>
          <w:lang w:val="en-US" w:eastAsia="zh-CN"/>
        </w:rPr>
        <w:t>a。</w:t>
      </w:r>
    </w:p>
    <w:p>
      <w:pPr>
        <w:ind w:firstLine="480"/>
        <w:rPr>
          <w:rFonts w:cs="Times New Roman"/>
          <w:color w:val="auto"/>
          <w:highlight w:val="none"/>
          <w:lang w:val="en-US" w:eastAsia="zh-CN"/>
        </w:rPr>
      </w:pPr>
      <w:r>
        <w:rPr>
          <w:rFonts w:hint="eastAsia" w:cs="Times New Roman"/>
          <w:color w:val="auto"/>
          <w:highlight w:val="none"/>
          <w:lang w:val="en-US" w:eastAsia="zh-CN"/>
        </w:rPr>
        <w:t>1、</w:t>
      </w:r>
      <w:r>
        <w:rPr>
          <w:rFonts w:cs="Times New Roman"/>
          <w:color w:val="auto"/>
          <w:highlight w:val="none"/>
          <w:lang w:val="en-US" w:eastAsia="zh-CN"/>
        </w:rPr>
        <w:t>工业用水</w:t>
      </w:r>
    </w:p>
    <w:p>
      <w:pPr>
        <w:ind w:firstLine="480"/>
        <w:rPr>
          <w:rFonts w:cs="Times New Roman"/>
          <w:color w:val="auto"/>
          <w:highlight w:val="none"/>
          <w:lang w:val="en-US" w:eastAsia="zh-CN"/>
        </w:rPr>
      </w:pPr>
      <w:r>
        <w:rPr>
          <w:rFonts w:hint="eastAsia" w:cs="Times New Roman"/>
          <w:color w:val="auto"/>
          <w:highlight w:val="none"/>
          <w:lang w:val="en-US" w:eastAsia="zh-CN"/>
        </w:rPr>
        <w:t>2013-2018年，峄城区平均工业用水量为702万m³。项目建成后年可实现供应工业用水 500 万 m</w:t>
      </w:r>
      <w:r>
        <w:rPr>
          <w:rFonts w:hint="eastAsia" w:cs="Times New Roman"/>
          <w:color w:val="auto"/>
          <w:highlight w:val="none"/>
          <w:vertAlign w:val="superscript"/>
          <w:lang w:val="en-US" w:eastAsia="zh-CN"/>
        </w:rPr>
        <w:t>3</w:t>
      </w:r>
      <w:r>
        <w:rPr>
          <w:rFonts w:hint="eastAsia" w:cs="Times New Roman"/>
          <w:color w:val="auto"/>
          <w:highlight w:val="none"/>
          <w:lang w:val="en-US" w:eastAsia="zh-CN"/>
        </w:rPr>
        <w:t>/a，水价按 4.10 元/m</w:t>
      </w:r>
      <w:r>
        <w:rPr>
          <w:rFonts w:hint="eastAsia" w:cs="Times New Roman"/>
          <w:color w:val="auto"/>
          <w:highlight w:val="none"/>
          <w:vertAlign w:val="superscript"/>
          <w:lang w:val="en-US" w:eastAsia="zh-CN"/>
        </w:rPr>
        <w:t>3</w:t>
      </w:r>
      <w:r>
        <w:rPr>
          <w:rFonts w:hint="eastAsia" w:cs="Times New Roman"/>
          <w:color w:val="auto"/>
          <w:highlight w:val="none"/>
          <w:lang w:val="en-US" w:eastAsia="zh-CN"/>
        </w:rPr>
        <w:t>，</w:t>
      </w:r>
      <w:r>
        <w:rPr>
          <w:rFonts w:cs="Times New Roman"/>
          <w:color w:val="auto"/>
          <w:highlight w:val="none"/>
          <w:lang w:val="en-US" w:eastAsia="zh-CN"/>
        </w:rPr>
        <w:t xml:space="preserve">实现售水收入 </w:t>
      </w:r>
      <w:r>
        <w:rPr>
          <w:rFonts w:hint="eastAsia" w:cs="Times New Roman"/>
          <w:color w:val="auto"/>
          <w:highlight w:val="none"/>
          <w:lang w:val="en-US" w:eastAsia="zh-CN"/>
        </w:rPr>
        <w:t>2050</w:t>
      </w:r>
      <w:r>
        <w:rPr>
          <w:rFonts w:cs="Times New Roman"/>
          <w:color w:val="auto"/>
          <w:highlight w:val="none"/>
          <w:lang w:val="en-US" w:eastAsia="zh-CN"/>
        </w:rPr>
        <w:t xml:space="preserve"> 万元。</w:t>
      </w:r>
    </w:p>
    <w:p>
      <w:pPr>
        <w:ind w:firstLine="480"/>
        <w:rPr>
          <w:rFonts w:cs="Times New Roman"/>
          <w:color w:val="auto"/>
          <w:highlight w:val="none"/>
        </w:rPr>
      </w:pPr>
      <w:r>
        <w:rPr>
          <w:rFonts w:hint="eastAsia" w:cs="Times New Roman"/>
          <w:color w:val="auto"/>
          <w:highlight w:val="none"/>
          <w:lang w:val="en-US" w:eastAsia="zh-CN"/>
        </w:rPr>
        <w:t>2</w:t>
      </w:r>
      <w:r>
        <w:rPr>
          <w:rFonts w:cs="Times New Roman"/>
          <w:color w:val="auto"/>
          <w:highlight w:val="none"/>
        </w:rPr>
        <w:t>、生活供水</w:t>
      </w:r>
    </w:p>
    <w:p>
      <w:pPr>
        <w:ind w:firstLine="480"/>
        <w:rPr>
          <w:rFonts w:hint="default" w:cs="Times New Roman"/>
          <w:color w:val="auto"/>
          <w:highlight w:val="none"/>
          <w:lang w:val="en-US" w:eastAsia="zh-CN"/>
        </w:rPr>
      </w:pPr>
      <w:r>
        <w:rPr>
          <w:rFonts w:hint="eastAsia" w:cs="Times New Roman"/>
          <w:color w:val="auto"/>
          <w:highlight w:val="none"/>
          <w:lang w:val="en-US" w:eastAsia="zh-CN"/>
        </w:rPr>
        <w:t>规划2023 年城乡供水一体化供水项目城镇人口16.46 万人，农村人口为26.63 万人。城镇人口需水量为660.9万m³，农村人口需水量为777.6万m³，总需水量为1438.5万m³。项</w:t>
      </w:r>
      <w:r>
        <w:rPr>
          <w:rFonts w:cs="Times New Roman"/>
          <w:color w:val="auto"/>
          <w:highlight w:val="none"/>
        </w:rPr>
        <w:t>目建成后，</w:t>
      </w:r>
      <w:r>
        <w:rPr>
          <w:rFonts w:hint="eastAsia" w:cs="Times New Roman"/>
          <w:color w:val="auto"/>
          <w:highlight w:val="none"/>
          <w:lang w:val="en-US" w:eastAsia="zh-CN"/>
        </w:rPr>
        <w:t>根据枣庄市峄城区城市供排水中心收费标准，生活用水按照2.30</w:t>
      </w:r>
      <w:r>
        <w:rPr>
          <w:rFonts w:cs="Times New Roman"/>
          <w:color w:val="auto"/>
          <w:highlight w:val="none"/>
        </w:rPr>
        <w:t>元/m</w:t>
      </w:r>
      <w:r>
        <w:rPr>
          <w:rFonts w:cs="Times New Roman"/>
          <w:color w:val="auto"/>
          <w:highlight w:val="none"/>
          <w:vertAlign w:val="superscript"/>
        </w:rPr>
        <w:t>3</w:t>
      </w:r>
      <w:r>
        <w:rPr>
          <w:rFonts w:cs="Times New Roman"/>
          <w:color w:val="auto"/>
          <w:highlight w:val="none"/>
        </w:rPr>
        <w:t>，</w:t>
      </w:r>
      <w:r>
        <w:rPr>
          <w:rFonts w:hint="eastAsia" w:cs="Times New Roman"/>
          <w:color w:val="auto"/>
          <w:highlight w:val="none"/>
          <w:lang w:val="en-US" w:eastAsia="zh-CN"/>
        </w:rPr>
        <w:t>年可实现供应生活用水583.1万m3/a，实现售水收入1341.13万元。</w:t>
      </w:r>
    </w:p>
    <w:p>
      <w:pPr>
        <w:ind w:firstLine="480"/>
        <w:rPr>
          <w:rFonts w:hint="eastAsia" w:cs="Times New Roman"/>
          <w:color w:val="auto"/>
          <w:highlight w:val="none"/>
          <w:lang w:val="en-US" w:eastAsia="zh-CN"/>
        </w:rPr>
      </w:pPr>
      <w:r>
        <w:rPr>
          <w:rFonts w:hint="eastAsia" w:cs="Times New Roman"/>
          <w:color w:val="auto"/>
          <w:highlight w:val="none"/>
          <w:lang w:val="en-US" w:eastAsia="zh-CN"/>
        </w:rPr>
        <w:t>3、砂石收入</w:t>
      </w:r>
    </w:p>
    <w:p>
      <w:pPr>
        <w:ind w:firstLine="480"/>
        <w:rPr>
          <w:rFonts w:cs="Times New Roman"/>
          <w:color w:val="auto"/>
          <w:highlight w:val="none"/>
        </w:rPr>
      </w:pPr>
      <w:r>
        <w:rPr>
          <w:rFonts w:cs="Times New Roman"/>
          <w:color w:val="auto"/>
          <w:highlight w:val="none"/>
        </w:rPr>
        <w:t>（1）清淤砂石收入</w:t>
      </w:r>
    </w:p>
    <w:p>
      <w:pPr>
        <w:ind w:firstLine="480"/>
        <w:rPr>
          <w:rFonts w:cs="Times New Roman"/>
          <w:color w:val="auto"/>
          <w:highlight w:val="none"/>
        </w:rPr>
      </w:pPr>
      <w:r>
        <w:rPr>
          <w:rFonts w:hint="eastAsia" w:cs="Times New Roman"/>
          <w:color w:val="auto"/>
          <w:highlight w:val="none"/>
          <w:lang w:val="en-US" w:eastAsia="zh-CN"/>
        </w:rPr>
        <w:t>龙泉庄水库清淤量为29.78万m³，左庄沙河综合整治工程清淤量57.93万m，大刘河综合整治工程清淤量45.45万m³，拉沟河综合整治工程清淤量58.82万m³，新沟河（东支）综合整治工程清淤量83.78万m³，新沟河（西支）综合整治工程清淤量73.78万m³，陶沟河综合整治工程清淤量63.78万m³，</w:t>
      </w:r>
      <w:r>
        <w:rPr>
          <w:rFonts w:cs="Times New Roman"/>
          <w:color w:val="auto"/>
          <w:highlight w:val="none"/>
        </w:rPr>
        <w:t>项目建设期共清淤量</w:t>
      </w:r>
      <w:r>
        <w:rPr>
          <w:rFonts w:hint="eastAsia" w:cs="Times New Roman"/>
          <w:color w:val="auto"/>
          <w:highlight w:val="none"/>
          <w:lang w:val="en-US" w:eastAsia="zh-CN"/>
        </w:rPr>
        <w:t>443.1</w:t>
      </w:r>
      <w:r>
        <w:rPr>
          <w:rFonts w:cs="Times New Roman"/>
          <w:color w:val="auto"/>
          <w:highlight w:val="none"/>
        </w:rPr>
        <w:t>万m</w:t>
      </w:r>
      <w:r>
        <w:rPr>
          <w:rFonts w:cs="Times New Roman"/>
          <w:color w:val="auto"/>
          <w:highlight w:val="none"/>
          <w:vertAlign w:val="superscript"/>
        </w:rPr>
        <w:t>3</w:t>
      </w:r>
      <w:r>
        <w:rPr>
          <w:rFonts w:hint="eastAsia" w:cs="Times New Roman"/>
          <w:color w:val="auto"/>
          <w:highlight w:val="none"/>
          <w:lang w:eastAsia="zh-CN"/>
        </w:rPr>
        <w:t>。</w:t>
      </w:r>
      <w:r>
        <w:rPr>
          <w:rFonts w:cs="Times New Roman"/>
          <w:color w:val="auto"/>
          <w:highlight w:val="none"/>
        </w:rPr>
        <w:t>外售砂石</w:t>
      </w:r>
      <w:r>
        <w:rPr>
          <w:rFonts w:hint="eastAsia" w:cs="Times New Roman"/>
          <w:color w:val="auto"/>
          <w:highlight w:val="none"/>
          <w:lang w:val="en-US" w:eastAsia="zh-CN"/>
        </w:rPr>
        <w:t>400</w:t>
      </w:r>
      <w:r>
        <w:rPr>
          <w:rFonts w:cs="Times New Roman"/>
          <w:color w:val="auto"/>
          <w:highlight w:val="none"/>
        </w:rPr>
        <w:t>万m³，砂石单价按1</w:t>
      </w:r>
      <w:r>
        <w:rPr>
          <w:rFonts w:hint="eastAsia" w:cs="Times New Roman"/>
          <w:color w:val="auto"/>
          <w:highlight w:val="none"/>
          <w:lang w:val="en-US" w:eastAsia="zh-CN"/>
        </w:rPr>
        <w:t>2</w:t>
      </w:r>
      <w:r>
        <w:rPr>
          <w:rFonts w:cs="Times New Roman"/>
          <w:color w:val="auto"/>
          <w:highlight w:val="none"/>
        </w:rPr>
        <w:t>0元/m³，可实现砂石收入</w:t>
      </w:r>
      <w:r>
        <w:rPr>
          <w:rFonts w:hint="eastAsia" w:cs="Times New Roman"/>
          <w:color w:val="auto"/>
          <w:highlight w:val="none"/>
          <w:lang w:val="en-US" w:eastAsia="zh-CN"/>
        </w:rPr>
        <w:t>48000</w:t>
      </w:r>
      <w:r>
        <w:rPr>
          <w:rFonts w:cs="Times New Roman"/>
          <w:color w:val="auto"/>
          <w:highlight w:val="none"/>
        </w:rPr>
        <w:t>万元；该部分收入全部用于运营期贷款还本付息，还款期年砂石收入</w:t>
      </w:r>
      <w:r>
        <w:rPr>
          <w:rFonts w:hint="eastAsia" w:cs="Times New Roman"/>
          <w:color w:val="auto"/>
          <w:highlight w:val="none"/>
          <w:lang w:val="en-US" w:eastAsia="zh-CN"/>
        </w:rPr>
        <w:t>48000</w:t>
      </w:r>
      <w:r>
        <w:rPr>
          <w:rFonts w:cs="Times New Roman"/>
          <w:color w:val="auto"/>
          <w:highlight w:val="none"/>
        </w:rPr>
        <w:t>万元。</w:t>
      </w:r>
    </w:p>
    <w:p>
      <w:pPr>
        <w:ind w:firstLine="480"/>
        <w:rPr>
          <w:rFonts w:cs="Times New Roman"/>
          <w:color w:val="auto"/>
          <w:highlight w:val="none"/>
        </w:rPr>
      </w:pPr>
      <w:r>
        <w:rPr>
          <w:rFonts w:cs="Times New Roman"/>
          <w:color w:val="auto"/>
          <w:highlight w:val="none"/>
        </w:rPr>
        <w:t>（2）运营期砂石收入</w:t>
      </w:r>
    </w:p>
    <w:p>
      <w:pPr>
        <w:ind w:firstLine="480"/>
        <w:rPr>
          <w:rFonts w:cs="Times New Roman"/>
          <w:color w:val="auto"/>
          <w:highlight w:val="none"/>
        </w:rPr>
      </w:pPr>
      <w:r>
        <w:rPr>
          <w:rFonts w:cs="Times New Roman"/>
          <w:color w:val="auto"/>
          <w:highlight w:val="none"/>
        </w:rPr>
        <w:t>项目建成后根据需求，项目每两年汛期后河道清淤，清淤工程量</w:t>
      </w:r>
      <w:r>
        <w:rPr>
          <w:rFonts w:hint="eastAsia" w:cs="Times New Roman"/>
          <w:color w:val="auto"/>
          <w:highlight w:val="none"/>
        </w:rPr>
        <w:t>156.96</w:t>
      </w:r>
      <w:r>
        <w:rPr>
          <w:rFonts w:cs="Times New Roman"/>
          <w:color w:val="auto"/>
          <w:highlight w:val="none"/>
        </w:rPr>
        <w:t>万m</w:t>
      </w:r>
      <w:r>
        <w:rPr>
          <w:rFonts w:cs="Times New Roman"/>
          <w:color w:val="auto"/>
          <w:highlight w:val="none"/>
          <w:vertAlign w:val="superscript"/>
        </w:rPr>
        <w:t>3</w:t>
      </w:r>
      <w:r>
        <w:rPr>
          <w:rFonts w:cs="Times New Roman"/>
          <w:color w:val="auto"/>
          <w:highlight w:val="none"/>
        </w:rPr>
        <w:t>，其中外可售砂</w:t>
      </w:r>
      <w:r>
        <w:rPr>
          <w:rFonts w:hint="eastAsia" w:cs="Times New Roman"/>
          <w:color w:val="auto"/>
          <w:highlight w:val="none"/>
          <w:lang w:val="en-US" w:eastAsia="zh-CN"/>
        </w:rPr>
        <w:t>117.7</w:t>
      </w:r>
      <w:r>
        <w:rPr>
          <w:rFonts w:cs="Times New Roman"/>
          <w:color w:val="auto"/>
          <w:highlight w:val="none"/>
        </w:rPr>
        <w:t>万m</w:t>
      </w:r>
      <w:r>
        <w:rPr>
          <w:rFonts w:cs="Times New Roman"/>
          <w:color w:val="auto"/>
          <w:highlight w:val="none"/>
          <w:vertAlign w:val="superscript"/>
        </w:rPr>
        <w:t>3</w:t>
      </w:r>
      <w:r>
        <w:rPr>
          <w:rFonts w:cs="Times New Roman"/>
          <w:color w:val="auto"/>
          <w:highlight w:val="none"/>
        </w:rPr>
        <w:t>，砂石单价按1</w:t>
      </w:r>
      <w:r>
        <w:rPr>
          <w:rFonts w:hint="eastAsia" w:cs="Times New Roman"/>
          <w:color w:val="auto"/>
          <w:highlight w:val="none"/>
          <w:lang w:val="en-US" w:eastAsia="zh-CN"/>
        </w:rPr>
        <w:t>2</w:t>
      </w:r>
      <w:r>
        <w:rPr>
          <w:rFonts w:cs="Times New Roman"/>
          <w:color w:val="auto"/>
          <w:highlight w:val="none"/>
        </w:rPr>
        <w:t>0元/m</w:t>
      </w:r>
      <w:r>
        <w:rPr>
          <w:rFonts w:cs="Times New Roman"/>
          <w:color w:val="auto"/>
          <w:highlight w:val="none"/>
          <w:vertAlign w:val="superscript"/>
        </w:rPr>
        <w:t>3</w:t>
      </w:r>
      <w:r>
        <w:rPr>
          <w:rFonts w:cs="Times New Roman"/>
          <w:color w:val="auto"/>
          <w:highlight w:val="none"/>
        </w:rPr>
        <w:t>，年实现砂石收入</w:t>
      </w:r>
      <w:r>
        <w:rPr>
          <w:rFonts w:hint="eastAsia" w:cs="Times New Roman"/>
          <w:color w:val="auto"/>
          <w:highlight w:val="none"/>
          <w:lang w:val="en-US" w:eastAsia="zh-CN"/>
        </w:rPr>
        <w:t>14124</w:t>
      </w:r>
      <w:r>
        <w:rPr>
          <w:rFonts w:cs="Times New Roman"/>
          <w:color w:val="auto"/>
          <w:highlight w:val="none"/>
        </w:rPr>
        <w:t>万元。</w:t>
      </w:r>
    </w:p>
    <w:p>
      <w:pPr>
        <w:ind w:firstLine="480"/>
        <w:rPr>
          <w:rFonts w:cs="Times New Roman"/>
          <w:color w:val="auto"/>
          <w:highlight w:val="none"/>
        </w:rPr>
      </w:pPr>
      <w:r>
        <w:rPr>
          <w:rFonts w:cs="Times New Roman"/>
          <w:color w:val="auto"/>
          <w:highlight w:val="none"/>
        </w:rPr>
        <w:t>项目建成后，通过为工业供水、生活供水、灌溉，砂石收入等，年收益</w:t>
      </w:r>
      <w:r>
        <w:rPr>
          <w:rFonts w:hint="eastAsia" w:cs="Times New Roman"/>
          <w:color w:val="auto"/>
          <w:highlight w:val="none"/>
        </w:rPr>
        <w:t>56102.40</w:t>
      </w:r>
      <w:r>
        <w:rPr>
          <w:rFonts w:cs="Times New Roman"/>
          <w:color w:val="auto"/>
          <w:highlight w:val="none"/>
        </w:rPr>
        <w:t>万元。</w:t>
      </w:r>
    </w:p>
    <w:p>
      <w:pPr>
        <w:pStyle w:val="4"/>
        <w:rPr>
          <w:rFonts w:cs="Times New Roman"/>
          <w:color w:val="auto"/>
          <w:highlight w:val="none"/>
        </w:rPr>
      </w:pPr>
      <w:r>
        <w:rPr>
          <w:rFonts w:cs="Times New Roman"/>
          <w:color w:val="auto"/>
          <w:highlight w:val="none"/>
        </w:rPr>
        <w:t>15.2.2税金及附加</w:t>
      </w:r>
    </w:p>
    <w:p>
      <w:pPr>
        <w:ind w:firstLine="480"/>
        <w:rPr>
          <w:rFonts w:cs="Times New Roman"/>
          <w:color w:val="auto"/>
          <w:highlight w:val="none"/>
        </w:rPr>
      </w:pPr>
      <w:r>
        <w:rPr>
          <w:rFonts w:cs="Times New Roman"/>
          <w:color w:val="auto"/>
          <w:highlight w:val="none"/>
        </w:rPr>
        <w:t>按照《中华人民共和国增值税暂行条例》规定，项目售水收入增值税率按10%，售砂石增值税率按6%，项该项目正常年税金及附加</w:t>
      </w:r>
      <w:r>
        <w:rPr>
          <w:rFonts w:hint="eastAsia" w:cs="Times New Roman"/>
          <w:color w:val="auto"/>
          <w:highlight w:val="none"/>
        </w:rPr>
        <w:t>321.21</w:t>
      </w:r>
      <w:r>
        <w:rPr>
          <w:rFonts w:cs="Times New Roman"/>
          <w:color w:val="auto"/>
          <w:highlight w:val="none"/>
        </w:rPr>
        <w:t>万元，年增值税</w:t>
      </w:r>
      <w:r>
        <w:rPr>
          <w:rFonts w:hint="eastAsia" w:cs="Times New Roman"/>
          <w:color w:val="auto"/>
          <w:highlight w:val="none"/>
        </w:rPr>
        <w:t>2569.65</w:t>
      </w:r>
      <w:r>
        <w:rPr>
          <w:rFonts w:cs="Times New Roman"/>
          <w:color w:val="auto"/>
          <w:highlight w:val="none"/>
        </w:rPr>
        <w:t>万元。</w:t>
      </w:r>
    </w:p>
    <w:p>
      <w:pPr>
        <w:ind w:firstLine="480"/>
        <w:rPr>
          <w:rFonts w:cs="Times New Roman"/>
          <w:color w:val="auto"/>
          <w:highlight w:val="none"/>
        </w:rPr>
      </w:pPr>
      <w:r>
        <w:rPr>
          <w:rFonts w:cs="Times New Roman"/>
          <w:color w:val="auto"/>
          <w:highlight w:val="none"/>
        </w:rPr>
        <w:t>详见附表1：经营收入、税金及附加估算表</w:t>
      </w:r>
    </w:p>
    <w:p>
      <w:pPr>
        <w:pStyle w:val="4"/>
        <w:rPr>
          <w:rFonts w:cs="Times New Roman"/>
          <w:color w:val="auto"/>
          <w:highlight w:val="none"/>
        </w:rPr>
      </w:pPr>
      <w:r>
        <w:rPr>
          <w:rFonts w:cs="Times New Roman"/>
          <w:color w:val="auto"/>
          <w:highlight w:val="none"/>
        </w:rPr>
        <w:t>15.2.3总成本费用</w:t>
      </w:r>
    </w:p>
    <w:p>
      <w:pPr>
        <w:ind w:firstLine="480"/>
        <w:rPr>
          <w:rFonts w:cs="Times New Roman"/>
          <w:color w:val="auto"/>
          <w:highlight w:val="none"/>
        </w:rPr>
      </w:pPr>
      <w:r>
        <w:rPr>
          <w:rFonts w:cs="Times New Roman"/>
          <w:color w:val="auto"/>
          <w:highlight w:val="none"/>
        </w:rPr>
        <w:t>1、</w:t>
      </w:r>
      <w:r>
        <w:rPr>
          <w:rFonts w:hint="eastAsia" w:cs="Times New Roman"/>
          <w:color w:val="auto"/>
          <w:highlight w:val="none"/>
        </w:rPr>
        <w:t>原材料</w:t>
      </w:r>
      <w:r>
        <w:rPr>
          <w:rFonts w:cs="Times New Roman"/>
          <w:color w:val="auto"/>
          <w:highlight w:val="none"/>
        </w:rPr>
        <w:t>费</w:t>
      </w:r>
    </w:p>
    <w:p>
      <w:pPr>
        <w:ind w:firstLine="480"/>
        <w:rPr>
          <w:rFonts w:cs="Times New Roman"/>
          <w:color w:val="auto"/>
          <w:highlight w:val="none"/>
        </w:rPr>
      </w:pPr>
      <w:r>
        <w:rPr>
          <w:rFonts w:cs="Times New Roman"/>
          <w:color w:val="auto"/>
          <w:highlight w:val="none"/>
        </w:rPr>
        <w:t>该项目年需要混凝剂</w:t>
      </w:r>
      <w:r>
        <w:rPr>
          <w:rFonts w:hint="eastAsia" w:cs="Times New Roman"/>
          <w:color w:val="auto"/>
          <w:highlight w:val="none"/>
        </w:rPr>
        <w:t>以及</w:t>
      </w:r>
      <w:r>
        <w:rPr>
          <w:rFonts w:cs="Times New Roman"/>
          <w:color w:val="auto"/>
          <w:highlight w:val="none"/>
        </w:rPr>
        <w:t>次氯酸钠</w:t>
      </w:r>
      <w:r>
        <w:rPr>
          <w:rFonts w:hint="eastAsia" w:cs="Times New Roman"/>
          <w:color w:val="auto"/>
          <w:highlight w:val="none"/>
        </w:rPr>
        <w:t>，</w:t>
      </w:r>
      <w:r>
        <w:rPr>
          <w:rFonts w:cs="Times New Roman"/>
          <w:color w:val="auto"/>
          <w:highlight w:val="none"/>
        </w:rPr>
        <w:t>混凝剂根据原水浊度投加，处理每方水平均约为0.05元；通过电解食盐生成次氯酸钠，将次氯酸钠投加在清水池，处理每方水平均约为0.008元；年</w:t>
      </w:r>
      <w:r>
        <w:rPr>
          <w:rFonts w:hint="eastAsia" w:cs="Times New Roman"/>
          <w:color w:val="auto"/>
          <w:highlight w:val="none"/>
        </w:rPr>
        <w:t>原材料</w:t>
      </w:r>
      <w:r>
        <w:rPr>
          <w:rFonts w:cs="Times New Roman"/>
          <w:color w:val="auto"/>
          <w:highlight w:val="none"/>
        </w:rPr>
        <w:t>费</w:t>
      </w:r>
      <w:r>
        <w:rPr>
          <w:rFonts w:hint="eastAsia" w:cs="Times New Roman"/>
          <w:color w:val="auto"/>
          <w:highlight w:val="none"/>
        </w:rPr>
        <w:t>313.32</w:t>
      </w:r>
      <w:r>
        <w:rPr>
          <w:rFonts w:cs="Times New Roman"/>
          <w:color w:val="auto"/>
          <w:highlight w:val="none"/>
        </w:rPr>
        <w:t>万元。</w:t>
      </w:r>
    </w:p>
    <w:p>
      <w:pPr>
        <w:ind w:firstLine="480"/>
        <w:rPr>
          <w:rFonts w:cs="Times New Roman"/>
          <w:color w:val="auto"/>
          <w:highlight w:val="none"/>
        </w:rPr>
      </w:pPr>
      <w:r>
        <w:rPr>
          <w:rFonts w:cs="Times New Roman"/>
          <w:color w:val="auto"/>
          <w:highlight w:val="none"/>
        </w:rPr>
        <w:t>2、外购燃料及动力费</w:t>
      </w:r>
    </w:p>
    <w:p>
      <w:pPr>
        <w:ind w:firstLine="480"/>
        <w:rPr>
          <w:rFonts w:cs="Times New Roman"/>
          <w:color w:val="auto"/>
          <w:highlight w:val="none"/>
        </w:rPr>
      </w:pPr>
      <w:r>
        <w:rPr>
          <w:rFonts w:cs="Times New Roman"/>
          <w:color w:val="auto"/>
          <w:highlight w:val="none"/>
        </w:rPr>
        <w:t>该项目年需要水资源费按0.35元/m</w:t>
      </w:r>
      <w:r>
        <w:rPr>
          <w:rFonts w:cs="Times New Roman"/>
          <w:color w:val="auto"/>
          <w:highlight w:val="none"/>
          <w:vertAlign w:val="superscript"/>
        </w:rPr>
        <w:t>3</w:t>
      </w:r>
      <w:r>
        <w:rPr>
          <w:rFonts w:cs="Times New Roman"/>
          <w:color w:val="auto"/>
          <w:highlight w:val="none"/>
        </w:rPr>
        <w:t>；动力费用主要为电费。年外购燃料及动力费等为</w:t>
      </w:r>
      <w:r>
        <w:rPr>
          <w:rFonts w:hint="eastAsia" w:cs="Times New Roman"/>
          <w:color w:val="auto"/>
          <w:highlight w:val="none"/>
        </w:rPr>
        <w:t>2236.3</w:t>
      </w:r>
      <w:r>
        <w:rPr>
          <w:rFonts w:cs="Times New Roman"/>
          <w:color w:val="auto"/>
          <w:highlight w:val="none"/>
        </w:rPr>
        <w:t>万元。</w:t>
      </w:r>
    </w:p>
    <w:p>
      <w:pPr>
        <w:ind w:firstLine="480"/>
        <w:rPr>
          <w:rFonts w:cs="Times New Roman"/>
          <w:color w:val="auto"/>
          <w:highlight w:val="none"/>
        </w:rPr>
      </w:pPr>
      <w:r>
        <w:rPr>
          <w:rFonts w:cs="Times New Roman"/>
          <w:color w:val="auto"/>
          <w:highlight w:val="none"/>
        </w:rPr>
        <w:t>3、工资及福利费</w:t>
      </w:r>
    </w:p>
    <w:p>
      <w:pPr>
        <w:ind w:firstLine="480"/>
        <w:rPr>
          <w:rFonts w:cs="Times New Roman"/>
          <w:color w:val="auto"/>
          <w:highlight w:val="none"/>
        </w:rPr>
      </w:pPr>
      <w:r>
        <w:rPr>
          <w:rFonts w:cs="Times New Roman"/>
          <w:color w:val="auto"/>
          <w:highlight w:val="none"/>
        </w:rPr>
        <w:t>项目计划新增管理人员</w:t>
      </w:r>
      <w:r>
        <w:rPr>
          <w:rFonts w:hint="eastAsia" w:cs="Times New Roman"/>
          <w:color w:val="auto"/>
          <w:highlight w:val="none"/>
        </w:rPr>
        <w:t>8</w:t>
      </w:r>
      <w:r>
        <w:rPr>
          <w:rFonts w:cs="Times New Roman"/>
          <w:color w:val="auto"/>
          <w:highlight w:val="none"/>
        </w:rPr>
        <w:t>0人，管理人员工资按照平均4万元/人·年，年工资及福利费</w:t>
      </w:r>
      <w:r>
        <w:rPr>
          <w:rFonts w:hint="eastAsia" w:cs="Times New Roman"/>
          <w:color w:val="auto"/>
          <w:highlight w:val="none"/>
        </w:rPr>
        <w:t>364.80</w:t>
      </w:r>
      <w:r>
        <w:rPr>
          <w:rFonts w:cs="Times New Roman"/>
          <w:color w:val="auto"/>
          <w:highlight w:val="none"/>
        </w:rPr>
        <w:t>万元。</w:t>
      </w:r>
    </w:p>
    <w:p>
      <w:pPr>
        <w:ind w:firstLine="480"/>
        <w:rPr>
          <w:rFonts w:cs="Times New Roman"/>
          <w:color w:val="auto"/>
          <w:highlight w:val="none"/>
        </w:rPr>
      </w:pPr>
      <w:r>
        <w:rPr>
          <w:rFonts w:cs="Times New Roman"/>
          <w:color w:val="auto"/>
          <w:highlight w:val="none"/>
        </w:rPr>
        <w:t>4、折旧及摊销</w:t>
      </w:r>
    </w:p>
    <w:p>
      <w:pPr>
        <w:ind w:firstLine="480"/>
        <w:rPr>
          <w:rFonts w:cs="Times New Roman"/>
          <w:color w:val="auto"/>
          <w:highlight w:val="none"/>
        </w:rPr>
      </w:pPr>
      <w:r>
        <w:rPr>
          <w:rFonts w:cs="Times New Roman"/>
          <w:color w:val="auto"/>
          <w:highlight w:val="none"/>
        </w:rPr>
        <w:t>按照直线折旧法计算折旧，根据《水利建设项目经济评价规范》（SL72-2013）, 折旧年限按30年，固定资产残值按照5%计算</w:t>
      </w:r>
      <w:r>
        <w:rPr>
          <w:rFonts w:hint="eastAsia" w:cs="Times New Roman"/>
          <w:color w:val="auto"/>
          <w:highlight w:val="none"/>
        </w:rPr>
        <w:t>，年均固定资产折旧费3055.48万元，建设期利息以及其他费用等计入长期待摊费，按照5年进行摊销，年均待摊费6647.89万元。</w:t>
      </w:r>
    </w:p>
    <w:p>
      <w:pPr>
        <w:ind w:firstLine="480"/>
        <w:rPr>
          <w:rFonts w:cs="Times New Roman"/>
          <w:color w:val="auto"/>
          <w:highlight w:val="none"/>
        </w:rPr>
      </w:pPr>
      <w:r>
        <w:rPr>
          <w:rFonts w:cs="Times New Roman"/>
          <w:color w:val="auto"/>
          <w:highlight w:val="none"/>
        </w:rPr>
        <w:t>详见附表2 固定资产折旧费估算表</w:t>
      </w:r>
    </w:p>
    <w:p>
      <w:pPr>
        <w:ind w:firstLine="480"/>
        <w:rPr>
          <w:rFonts w:cs="Times New Roman"/>
          <w:color w:val="auto"/>
          <w:highlight w:val="none"/>
        </w:rPr>
      </w:pPr>
      <w:r>
        <w:rPr>
          <w:rFonts w:cs="Times New Roman"/>
          <w:color w:val="auto"/>
          <w:highlight w:val="none"/>
        </w:rPr>
        <w:t>5、维修费</w:t>
      </w:r>
    </w:p>
    <w:p>
      <w:pPr>
        <w:ind w:firstLine="480"/>
        <w:rPr>
          <w:rFonts w:cs="Times New Roman"/>
          <w:color w:val="auto"/>
          <w:highlight w:val="none"/>
        </w:rPr>
      </w:pPr>
      <w:r>
        <w:rPr>
          <w:rFonts w:cs="Times New Roman"/>
          <w:color w:val="auto"/>
          <w:highlight w:val="none"/>
        </w:rPr>
        <w:t>维修费按固定资产折旧的5%计。</w:t>
      </w:r>
    </w:p>
    <w:p>
      <w:pPr>
        <w:ind w:firstLine="480"/>
        <w:rPr>
          <w:rFonts w:cs="Times New Roman"/>
          <w:color w:val="auto"/>
          <w:highlight w:val="none"/>
        </w:rPr>
      </w:pPr>
      <w:r>
        <w:rPr>
          <w:rFonts w:cs="Times New Roman"/>
          <w:color w:val="auto"/>
          <w:highlight w:val="none"/>
        </w:rPr>
        <w:t>6、其他费用</w:t>
      </w:r>
    </w:p>
    <w:p>
      <w:pPr>
        <w:ind w:firstLine="480"/>
        <w:rPr>
          <w:rFonts w:cs="Times New Roman"/>
          <w:color w:val="auto"/>
          <w:highlight w:val="none"/>
        </w:rPr>
      </w:pPr>
      <w:r>
        <w:rPr>
          <w:rFonts w:cs="Times New Roman"/>
          <w:color w:val="auto"/>
          <w:highlight w:val="none"/>
        </w:rPr>
        <w:t xml:space="preserve">年需管理费等其他费用按经营收入的1%计取。 </w:t>
      </w:r>
    </w:p>
    <w:p>
      <w:pPr>
        <w:ind w:firstLine="480"/>
        <w:rPr>
          <w:rFonts w:cs="Times New Roman"/>
          <w:color w:val="auto"/>
          <w:highlight w:val="none"/>
        </w:rPr>
      </w:pPr>
      <w:r>
        <w:rPr>
          <w:rFonts w:cs="Times New Roman"/>
          <w:color w:val="auto"/>
          <w:highlight w:val="none"/>
        </w:rPr>
        <w:t>7、清淤成本</w:t>
      </w:r>
    </w:p>
    <w:p>
      <w:pPr>
        <w:ind w:firstLine="480"/>
        <w:rPr>
          <w:rFonts w:cs="Times New Roman"/>
          <w:color w:val="auto"/>
          <w:highlight w:val="none"/>
        </w:rPr>
      </w:pPr>
      <w:r>
        <w:rPr>
          <w:rFonts w:cs="Times New Roman"/>
          <w:color w:val="auto"/>
          <w:highlight w:val="none"/>
        </w:rPr>
        <w:t>项目运营期每两年河道清淤工程量</w:t>
      </w:r>
      <w:r>
        <w:rPr>
          <w:rFonts w:hint="eastAsia" w:cs="Times New Roman"/>
          <w:color w:val="auto"/>
          <w:highlight w:val="none"/>
        </w:rPr>
        <w:t>156.96</w:t>
      </w:r>
      <w:r>
        <w:rPr>
          <w:rFonts w:cs="Times New Roman"/>
          <w:color w:val="auto"/>
          <w:highlight w:val="none"/>
        </w:rPr>
        <w:t>万m</w:t>
      </w:r>
      <w:r>
        <w:rPr>
          <w:rFonts w:cs="Times New Roman"/>
          <w:color w:val="auto"/>
          <w:highlight w:val="none"/>
          <w:vertAlign w:val="superscript"/>
        </w:rPr>
        <w:t>3</w:t>
      </w:r>
      <w:r>
        <w:rPr>
          <w:rFonts w:cs="Times New Roman"/>
          <w:color w:val="auto"/>
          <w:highlight w:val="none"/>
        </w:rPr>
        <w:t>，</w:t>
      </w:r>
      <w:r>
        <w:rPr>
          <w:rFonts w:hint="eastAsia" w:cs="Times New Roman"/>
          <w:color w:val="auto"/>
          <w:highlight w:val="none"/>
        </w:rPr>
        <w:t>建设期水库清淤工程量</w:t>
      </w:r>
      <w:r>
        <w:rPr>
          <w:rFonts w:hint="eastAsia" w:cs="Times New Roman"/>
          <w:color w:val="auto"/>
          <w:highlight w:val="none"/>
          <w:lang w:val="en-US" w:eastAsia="zh-CN"/>
        </w:rPr>
        <w:t>29.78</w:t>
      </w:r>
      <w:r>
        <w:rPr>
          <w:rFonts w:cs="Times New Roman"/>
          <w:color w:val="auto"/>
          <w:highlight w:val="none"/>
        </w:rPr>
        <w:t>万m</w:t>
      </w:r>
      <w:r>
        <w:rPr>
          <w:rFonts w:cs="Times New Roman"/>
          <w:color w:val="auto"/>
          <w:highlight w:val="none"/>
          <w:vertAlign w:val="superscript"/>
        </w:rPr>
        <w:t>3</w:t>
      </w:r>
      <w:r>
        <w:rPr>
          <w:rFonts w:cs="Times New Roman"/>
          <w:color w:val="auto"/>
          <w:highlight w:val="none"/>
        </w:rPr>
        <w:t>，清淤单价</w:t>
      </w:r>
      <w:r>
        <w:rPr>
          <w:rFonts w:hint="eastAsia" w:cs="Times New Roman"/>
          <w:color w:val="auto"/>
          <w:highlight w:val="none"/>
          <w:lang w:val="en-US" w:eastAsia="zh-CN"/>
        </w:rPr>
        <w:t>51</w:t>
      </w:r>
      <w:r>
        <w:rPr>
          <w:rFonts w:cs="Times New Roman"/>
          <w:color w:val="auto"/>
          <w:highlight w:val="none"/>
        </w:rPr>
        <w:t>元/m³计算</w:t>
      </w:r>
      <w:r>
        <w:rPr>
          <w:rFonts w:hint="eastAsia" w:cs="Times New Roman"/>
          <w:color w:val="auto"/>
          <w:highlight w:val="none"/>
          <w:lang w:eastAsia="zh-CN"/>
        </w:rPr>
        <w:t>；</w:t>
      </w:r>
      <w:r>
        <w:rPr>
          <w:rFonts w:hint="eastAsia" w:cs="Times New Roman"/>
          <w:color w:val="auto"/>
          <w:highlight w:val="none"/>
          <w:lang w:val="en-US" w:eastAsia="zh-CN"/>
        </w:rPr>
        <w:t>运营期</w:t>
      </w:r>
      <w:r>
        <w:rPr>
          <w:rFonts w:cs="Times New Roman"/>
          <w:color w:val="auto"/>
          <w:highlight w:val="none"/>
        </w:rPr>
        <w:t>外可售砂</w:t>
      </w:r>
      <w:r>
        <w:rPr>
          <w:rFonts w:hint="eastAsia" w:cs="Times New Roman"/>
          <w:color w:val="auto"/>
          <w:highlight w:val="none"/>
        </w:rPr>
        <w:t>39.2</w:t>
      </w:r>
      <w:r>
        <w:rPr>
          <w:rFonts w:hint="eastAsia" w:cs="Times New Roman"/>
          <w:color w:val="auto"/>
          <w:highlight w:val="none"/>
          <w:lang w:val="en-US" w:eastAsia="zh-CN"/>
        </w:rPr>
        <w:t>6</w:t>
      </w:r>
      <w:r>
        <w:rPr>
          <w:rFonts w:cs="Times New Roman"/>
          <w:color w:val="auto"/>
          <w:highlight w:val="none"/>
        </w:rPr>
        <w:t>万m</w:t>
      </w:r>
      <w:r>
        <w:rPr>
          <w:rFonts w:cs="Times New Roman"/>
          <w:color w:val="auto"/>
          <w:highlight w:val="none"/>
          <w:vertAlign w:val="superscript"/>
        </w:rPr>
        <w:t>3</w:t>
      </w:r>
      <w:r>
        <w:rPr>
          <w:rFonts w:hint="eastAsia" w:cs="Times New Roman"/>
          <w:color w:val="auto"/>
          <w:highlight w:val="none"/>
          <w:lang w:val="en-US" w:eastAsia="zh-CN"/>
        </w:rPr>
        <w:t>洗砂成本为936元/m³，</w:t>
      </w:r>
      <w:r>
        <w:rPr>
          <w:rFonts w:hint="eastAsia" w:cs="Times New Roman"/>
          <w:color w:val="auto"/>
          <w:highlight w:val="none"/>
        </w:rPr>
        <w:t>综合运营期</w:t>
      </w:r>
      <w:r>
        <w:rPr>
          <w:rFonts w:cs="Times New Roman"/>
          <w:color w:val="auto"/>
          <w:highlight w:val="none"/>
        </w:rPr>
        <w:t>年清淤成本</w:t>
      </w:r>
      <w:r>
        <w:rPr>
          <w:rFonts w:hint="eastAsia" w:cs="Times New Roman"/>
          <w:color w:val="auto"/>
          <w:highlight w:val="none"/>
        </w:rPr>
        <w:t>10938.72</w:t>
      </w:r>
      <w:r>
        <w:rPr>
          <w:rFonts w:cs="Times New Roman"/>
          <w:color w:val="auto"/>
          <w:highlight w:val="none"/>
        </w:rPr>
        <w:t>万元。</w:t>
      </w:r>
    </w:p>
    <w:p>
      <w:pPr>
        <w:ind w:firstLine="480"/>
        <w:rPr>
          <w:rFonts w:cs="Times New Roman"/>
          <w:color w:val="auto"/>
          <w:highlight w:val="none"/>
        </w:rPr>
      </w:pPr>
      <w:r>
        <w:rPr>
          <w:rFonts w:cs="Times New Roman"/>
          <w:color w:val="auto"/>
          <w:highlight w:val="none"/>
        </w:rPr>
        <w:t>8、总成本估算</w:t>
      </w:r>
    </w:p>
    <w:p>
      <w:pPr>
        <w:ind w:firstLine="480"/>
        <w:rPr>
          <w:rFonts w:cs="Times New Roman"/>
          <w:color w:val="auto"/>
          <w:highlight w:val="none"/>
        </w:rPr>
      </w:pPr>
      <w:r>
        <w:rPr>
          <w:rFonts w:cs="Times New Roman"/>
          <w:color w:val="auto"/>
          <w:highlight w:val="none"/>
        </w:rPr>
        <w:t>该项目参照类似项目并结合实际情况，采用生产要素法估算各项成本费用，年均总成本费用</w:t>
      </w:r>
      <w:r>
        <w:rPr>
          <w:rFonts w:hint="eastAsia" w:cs="Times New Roman"/>
          <w:color w:val="auto"/>
          <w:highlight w:val="none"/>
        </w:rPr>
        <w:t>23974.56</w:t>
      </w:r>
      <w:r>
        <w:rPr>
          <w:rFonts w:cs="Times New Roman"/>
          <w:color w:val="auto"/>
          <w:highlight w:val="none"/>
        </w:rPr>
        <w:t>万元。</w:t>
      </w:r>
    </w:p>
    <w:p>
      <w:pPr>
        <w:ind w:firstLine="480"/>
        <w:rPr>
          <w:rFonts w:cs="Times New Roman"/>
          <w:color w:val="auto"/>
          <w:highlight w:val="none"/>
        </w:rPr>
      </w:pPr>
      <w:r>
        <w:rPr>
          <w:rFonts w:cs="Times New Roman"/>
          <w:color w:val="auto"/>
          <w:highlight w:val="none"/>
        </w:rPr>
        <w:t>详见附表3总成本费用估算表</w:t>
      </w:r>
    </w:p>
    <w:p>
      <w:pPr>
        <w:pStyle w:val="4"/>
        <w:rPr>
          <w:rFonts w:cs="Times New Roman"/>
          <w:color w:val="auto"/>
          <w:highlight w:val="none"/>
        </w:rPr>
      </w:pPr>
      <w:r>
        <w:rPr>
          <w:rFonts w:cs="Times New Roman"/>
          <w:color w:val="auto"/>
          <w:highlight w:val="none"/>
        </w:rPr>
        <w:t>15.2.4利润</w:t>
      </w:r>
    </w:p>
    <w:p>
      <w:pPr>
        <w:ind w:firstLine="480"/>
        <w:rPr>
          <w:rFonts w:cs="Times New Roman"/>
          <w:color w:val="auto"/>
          <w:highlight w:val="none"/>
        </w:rPr>
      </w:pPr>
      <w:r>
        <w:rPr>
          <w:rFonts w:cs="Times New Roman"/>
          <w:color w:val="auto"/>
          <w:highlight w:val="none"/>
        </w:rPr>
        <w:t>该项目正常年利润总额</w:t>
      </w:r>
      <w:r>
        <w:rPr>
          <w:rFonts w:hint="eastAsia" w:cs="Times New Roman"/>
          <w:color w:val="auto"/>
          <w:highlight w:val="none"/>
        </w:rPr>
        <w:t>31806.64</w:t>
      </w:r>
      <w:r>
        <w:rPr>
          <w:rFonts w:cs="Times New Roman"/>
          <w:color w:val="auto"/>
          <w:highlight w:val="none"/>
        </w:rPr>
        <w:t>万元，</w:t>
      </w:r>
      <w:r>
        <w:rPr>
          <w:rFonts w:hint="eastAsia" w:cs="Times New Roman"/>
          <w:color w:val="auto"/>
          <w:highlight w:val="none"/>
        </w:rPr>
        <w:t>年</w:t>
      </w:r>
      <w:r>
        <w:rPr>
          <w:rFonts w:cs="Times New Roman"/>
          <w:color w:val="auto"/>
          <w:highlight w:val="none"/>
        </w:rPr>
        <w:t>所得税</w:t>
      </w:r>
      <w:r>
        <w:rPr>
          <w:rFonts w:hint="eastAsia" w:cs="Times New Roman"/>
          <w:color w:val="auto"/>
          <w:highlight w:val="none"/>
        </w:rPr>
        <w:t>7951.66</w:t>
      </w:r>
      <w:r>
        <w:rPr>
          <w:rFonts w:cs="Times New Roman"/>
          <w:color w:val="auto"/>
          <w:highlight w:val="none"/>
        </w:rPr>
        <w:t>万元，</w:t>
      </w:r>
      <w:r>
        <w:rPr>
          <w:rFonts w:hint="eastAsia" w:cs="Times New Roman"/>
          <w:color w:val="auto"/>
          <w:highlight w:val="none"/>
        </w:rPr>
        <w:t>年净</w:t>
      </w:r>
      <w:r>
        <w:rPr>
          <w:rFonts w:cs="Times New Roman"/>
          <w:color w:val="auto"/>
          <w:highlight w:val="none"/>
        </w:rPr>
        <w:t>利润</w:t>
      </w:r>
      <w:r>
        <w:rPr>
          <w:rFonts w:hint="eastAsia" w:cs="Times New Roman"/>
          <w:color w:val="auto"/>
          <w:highlight w:val="none"/>
        </w:rPr>
        <w:t xml:space="preserve">23854.98 </w:t>
      </w:r>
      <w:r>
        <w:rPr>
          <w:rFonts w:cs="Times New Roman"/>
          <w:color w:val="auto"/>
          <w:highlight w:val="none"/>
        </w:rPr>
        <w:t>万元。</w:t>
      </w:r>
    </w:p>
    <w:p>
      <w:pPr>
        <w:ind w:firstLine="480"/>
        <w:rPr>
          <w:rFonts w:cs="Times New Roman"/>
          <w:color w:val="auto"/>
          <w:highlight w:val="none"/>
        </w:rPr>
      </w:pPr>
      <w:r>
        <w:rPr>
          <w:rFonts w:cs="Times New Roman"/>
          <w:color w:val="auto"/>
          <w:highlight w:val="none"/>
        </w:rPr>
        <w:t>详见附表4利润与利润分配表</w:t>
      </w:r>
    </w:p>
    <w:p>
      <w:pPr>
        <w:pStyle w:val="4"/>
        <w:rPr>
          <w:rFonts w:cs="Times New Roman"/>
          <w:color w:val="auto"/>
          <w:highlight w:val="none"/>
        </w:rPr>
      </w:pPr>
      <w:r>
        <w:rPr>
          <w:rFonts w:cs="Times New Roman"/>
          <w:color w:val="auto"/>
          <w:highlight w:val="none"/>
        </w:rPr>
        <w:t>15.2.5财务盈利能力分析</w:t>
      </w:r>
    </w:p>
    <w:p>
      <w:pPr>
        <w:ind w:firstLine="480"/>
        <w:rPr>
          <w:rFonts w:cs="Times New Roman"/>
          <w:color w:val="auto"/>
          <w:highlight w:val="none"/>
        </w:rPr>
      </w:pPr>
      <w:r>
        <w:rPr>
          <w:rFonts w:cs="Times New Roman"/>
          <w:color w:val="auto"/>
          <w:highlight w:val="none"/>
        </w:rPr>
        <w:t>1、现金流量</w:t>
      </w:r>
    </w:p>
    <w:p>
      <w:pPr>
        <w:ind w:firstLine="480"/>
        <w:rPr>
          <w:rFonts w:cs="Times New Roman"/>
          <w:color w:val="auto"/>
          <w:highlight w:val="none"/>
        </w:rPr>
      </w:pPr>
      <w:r>
        <w:rPr>
          <w:rFonts w:cs="Times New Roman"/>
          <w:color w:val="auto"/>
          <w:highlight w:val="none"/>
        </w:rPr>
        <w:t>（1）全部投资</w:t>
      </w:r>
    </w:p>
    <w:p>
      <w:pPr>
        <w:spacing w:line="240" w:lineRule="auto"/>
        <w:ind w:firstLine="0" w:firstLineChars="0"/>
        <w:jc w:val="center"/>
        <w:rPr>
          <w:rFonts w:cs="Times New Roman"/>
          <w:b/>
          <w:color w:val="auto"/>
          <w:highlight w:val="none"/>
        </w:rPr>
      </w:pPr>
      <w:r>
        <w:rPr>
          <w:rFonts w:cs="Times New Roman"/>
          <w:b/>
          <w:color w:val="auto"/>
          <w:highlight w:val="none"/>
        </w:rPr>
        <w:t>全部投资财务盈利能力指标分析</w:t>
      </w:r>
    </w:p>
    <w:tbl>
      <w:tblPr>
        <w:tblStyle w:val="3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0"/>
        <w:gridCol w:w="4987"/>
        <w:gridCol w:w="814"/>
        <w:gridCol w:w="186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00" w:type="dxa"/>
            <w:vAlign w:val="center"/>
          </w:tcPr>
          <w:p>
            <w:pPr>
              <w:adjustRightInd w:val="0"/>
              <w:snapToGrid w:val="0"/>
              <w:spacing w:line="240" w:lineRule="auto"/>
              <w:ind w:firstLine="0" w:firstLineChars="0"/>
              <w:jc w:val="center"/>
              <w:rPr>
                <w:rFonts w:cs="Times New Roman"/>
                <w:b/>
                <w:color w:val="auto"/>
                <w:sz w:val="20"/>
                <w:szCs w:val="20"/>
                <w:highlight w:val="none"/>
              </w:rPr>
            </w:pPr>
            <w:r>
              <w:rPr>
                <w:rFonts w:cs="Times New Roman"/>
                <w:b/>
                <w:color w:val="auto"/>
                <w:sz w:val="20"/>
                <w:szCs w:val="20"/>
                <w:highlight w:val="none"/>
              </w:rPr>
              <w:t>序号</w:t>
            </w:r>
          </w:p>
        </w:tc>
        <w:tc>
          <w:tcPr>
            <w:tcW w:w="4987" w:type="dxa"/>
            <w:vAlign w:val="center"/>
          </w:tcPr>
          <w:p>
            <w:pPr>
              <w:adjustRightInd w:val="0"/>
              <w:snapToGrid w:val="0"/>
              <w:spacing w:line="240" w:lineRule="auto"/>
              <w:ind w:firstLine="0" w:firstLineChars="0"/>
              <w:jc w:val="center"/>
              <w:rPr>
                <w:rFonts w:cs="Times New Roman"/>
                <w:b/>
                <w:color w:val="auto"/>
                <w:sz w:val="20"/>
                <w:szCs w:val="20"/>
                <w:highlight w:val="none"/>
              </w:rPr>
            </w:pPr>
            <w:r>
              <w:rPr>
                <w:rFonts w:cs="Times New Roman"/>
                <w:b/>
                <w:color w:val="auto"/>
                <w:sz w:val="20"/>
                <w:szCs w:val="20"/>
                <w:highlight w:val="none"/>
              </w:rPr>
              <w:t>指标名称</w:t>
            </w:r>
          </w:p>
        </w:tc>
        <w:tc>
          <w:tcPr>
            <w:tcW w:w="814" w:type="dxa"/>
            <w:vAlign w:val="center"/>
          </w:tcPr>
          <w:p>
            <w:pPr>
              <w:adjustRightInd w:val="0"/>
              <w:snapToGrid w:val="0"/>
              <w:spacing w:line="240" w:lineRule="auto"/>
              <w:ind w:firstLine="0" w:firstLineChars="0"/>
              <w:jc w:val="center"/>
              <w:rPr>
                <w:rFonts w:cs="Times New Roman"/>
                <w:b/>
                <w:color w:val="auto"/>
                <w:sz w:val="20"/>
                <w:szCs w:val="20"/>
                <w:highlight w:val="none"/>
              </w:rPr>
            </w:pPr>
            <w:r>
              <w:rPr>
                <w:rFonts w:cs="Times New Roman"/>
                <w:b/>
                <w:color w:val="auto"/>
                <w:sz w:val="20"/>
                <w:szCs w:val="20"/>
                <w:highlight w:val="none"/>
              </w:rPr>
              <w:t>单位</w:t>
            </w:r>
          </w:p>
        </w:tc>
        <w:tc>
          <w:tcPr>
            <w:tcW w:w="1863" w:type="dxa"/>
            <w:vAlign w:val="center"/>
          </w:tcPr>
          <w:p>
            <w:pPr>
              <w:adjustRightInd w:val="0"/>
              <w:snapToGrid w:val="0"/>
              <w:spacing w:line="240" w:lineRule="auto"/>
              <w:ind w:firstLine="0" w:firstLineChars="0"/>
              <w:jc w:val="center"/>
              <w:rPr>
                <w:rFonts w:cs="Times New Roman"/>
                <w:b/>
                <w:color w:val="auto"/>
                <w:sz w:val="20"/>
                <w:szCs w:val="20"/>
                <w:highlight w:val="none"/>
              </w:rPr>
            </w:pPr>
            <w:r>
              <w:rPr>
                <w:rFonts w:cs="Times New Roman"/>
                <w:b/>
                <w:color w:val="auto"/>
                <w:sz w:val="20"/>
                <w:szCs w:val="20"/>
                <w:highlight w:val="none"/>
              </w:rPr>
              <w:t>指标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00" w:type="dxa"/>
            <w:vAlign w:val="center"/>
          </w:tcPr>
          <w:p>
            <w:pPr>
              <w:adjustRightInd w:val="0"/>
              <w:snapToGrid w:val="0"/>
              <w:spacing w:line="240" w:lineRule="auto"/>
              <w:ind w:firstLine="0" w:firstLineChars="0"/>
              <w:jc w:val="center"/>
              <w:rPr>
                <w:rFonts w:cs="Times New Roman"/>
                <w:color w:val="auto"/>
                <w:sz w:val="20"/>
                <w:szCs w:val="20"/>
                <w:highlight w:val="none"/>
              </w:rPr>
            </w:pPr>
            <w:r>
              <w:rPr>
                <w:rFonts w:cs="Times New Roman"/>
                <w:color w:val="auto"/>
                <w:sz w:val="20"/>
                <w:szCs w:val="20"/>
                <w:highlight w:val="none"/>
              </w:rPr>
              <w:t>1</w:t>
            </w:r>
          </w:p>
        </w:tc>
        <w:tc>
          <w:tcPr>
            <w:tcW w:w="4987" w:type="dxa"/>
            <w:vAlign w:val="center"/>
          </w:tcPr>
          <w:p>
            <w:pPr>
              <w:adjustRightInd w:val="0"/>
              <w:snapToGrid w:val="0"/>
              <w:spacing w:line="240" w:lineRule="auto"/>
              <w:ind w:firstLine="0" w:firstLineChars="0"/>
              <w:jc w:val="center"/>
              <w:rPr>
                <w:rFonts w:cs="Times New Roman"/>
                <w:color w:val="auto"/>
                <w:sz w:val="20"/>
                <w:szCs w:val="20"/>
                <w:highlight w:val="none"/>
              </w:rPr>
            </w:pPr>
            <w:r>
              <w:rPr>
                <w:rFonts w:cs="Times New Roman"/>
                <w:color w:val="auto"/>
                <w:sz w:val="20"/>
                <w:szCs w:val="20"/>
                <w:highlight w:val="none"/>
              </w:rPr>
              <w:t>所得税前项目投资财务内部收益率</w:t>
            </w:r>
          </w:p>
        </w:tc>
        <w:tc>
          <w:tcPr>
            <w:tcW w:w="814" w:type="dxa"/>
            <w:vAlign w:val="center"/>
          </w:tcPr>
          <w:p>
            <w:pPr>
              <w:adjustRightInd w:val="0"/>
              <w:snapToGrid w:val="0"/>
              <w:spacing w:line="240" w:lineRule="auto"/>
              <w:ind w:firstLine="0" w:firstLineChars="0"/>
              <w:jc w:val="center"/>
              <w:rPr>
                <w:rFonts w:cs="Times New Roman"/>
                <w:color w:val="auto"/>
                <w:sz w:val="20"/>
                <w:szCs w:val="20"/>
                <w:highlight w:val="none"/>
              </w:rPr>
            </w:pPr>
            <w:r>
              <w:rPr>
                <w:rFonts w:cs="Times New Roman"/>
                <w:color w:val="auto"/>
                <w:sz w:val="20"/>
                <w:szCs w:val="20"/>
                <w:highlight w:val="none"/>
              </w:rPr>
              <w:t>%</w:t>
            </w:r>
          </w:p>
        </w:tc>
        <w:tc>
          <w:tcPr>
            <w:tcW w:w="1863" w:type="dxa"/>
            <w:vAlign w:val="center"/>
          </w:tcPr>
          <w:p>
            <w:pPr>
              <w:adjustRightInd w:val="0"/>
              <w:snapToGrid w:val="0"/>
              <w:spacing w:line="240" w:lineRule="auto"/>
              <w:ind w:firstLine="0" w:firstLineChars="0"/>
              <w:jc w:val="center"/>
              <w:rPr>
                <w:rFonts w:cs="Times New Roman"/>
                <w:color w:val="auto"/>
                <w:sz w:val="20"/>
                <w:szCs w:val="20"/>
                <w:highlight w:val="none"/>
              </w:rPr>
            </w:pPr>
            <w:r>
              <w:rPr>
                <w:rFonts w:cs="Times New Roman"/>
                <w:color w:val="auto"/>
                <w:sz w:val="20"/>
                <w:szCs w:val="20"/>
                <w:highlight w:val="none"/>
              </w:rPr>
              <w:t>24.87%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00" w:type="dxa"/>
            <w:vAlign w:val="center"/>
          </w:tcPr>
          <w:p>
            <w:pPr>
              <w:adjustRightInd w:val="0"/>
              <w:snapToGrid w:val="0"/>
              <w:spacing w:line="240" w:lineRule="auto"/>
              <w:ind w:firstLine="0" w:firstLineChars="0"/>
              <w:jc w:val="center"/>
              <w:rPr>
                <w:rFonts w:cs="Times New Roman"/>
                <w:color w:val="auto"/>
                <w:sz w:val="20"/>
                <w:szCs w:val="20"/>
                <w:highlight w:val="none"/>
              </w:rPr>
            </w:pPr>
            <w:r>
              <w:rPr>
                <w:rFonts w:cs="Times New Roman"/>
                <w:color w:val="auto"/>
                <w:sz w:val="20"/>
                <w:szCs w:val="20"/>
                <w:highlight w:val="none"/>
              </w:rPr>
              <w:t>2</w:t>
            </w:r>
          </w:p>
        </w:tc>
        <w:tc>
          <w:tcPr>
            <w:tcW w:w="4987" w:type="dxa"/>
            <w:vAlign w:val="center"/>
          </w:tcPr>
          <w:p>
            <w:pPr>
              <w:adjustRightInd w:val="0"/>
              <w:snapToGrid w:val="0"/>
              <w:spacing w:line="240" w:lineRule="auto"/>
              <w:ind w:firstLine="0" w:firstLineChars="0"/>
              <w:jc w:val="center"/>
              <w:rPr>
                <w:rFonts w:cs="Times New Roman"/>
                <w:color w:val="auto"/>
                <w:sz w:val="20"/>
                <w:szCs w:val="20"/>
                <w:highlight w:val="none"/>
              </w:rPr>
            </w:pPr>
            <w:r>
              <w:rPr>
                <w:rFonts w:cs="Times New Roman"/>
                <w:color w:val="auto"/>
                <w:sz w:val="20"/>
                <w:szCs w:val="20"/>
                <w:highlight w:val="none"/>
              </w:rPr>
              <w:t>所得税后项目投资财务内部收益率</w:t>
            </w:r>
          </w:p>
        </w:tc>
        <w:tc>
          <w:tcPr>
            <w:tcW w:w="814" w:type="dxa"/>
            <w:vAlign w:val="center"/>
          </w:tcPr>
          <w:p>
            <w:pPr>
              <w:adjustRightInd w:val="0"/>
              <w:snapToGrid w:val="0"/>
              <w:spacing w:line="240" w:lineRule="auto"/>
              <w:ind w:firstLine="0" w:firstLineChars="0"/>
              <w:jc w:val="center"/>
              <w:rPr>
                <w:rFonts w:cs="Times New Roman"/>
                <w:color w:val="auto"/>
                <w:sz w:val="20"/>
                <w:szCs w:val="20"/>
                <w:highlight w:val="none"/>
              </w:rPr>
            </w:pPr>
            <w:r>
              <w:rPr>
                <w:rFonts w:cs="Times New Roman"/>
                <w:color w:val="auto"/>
                <w:sz w:val="20"/>
                <w:szCs w:val="20"/>
                <w:highlight w:val="none"/>
              </w:rPr>
              <w:t>%</w:t>
            </w:r>
          </w:p>
        </w:tc>
        <w:tc>
          <w:tcPr>
            <w:tcW w:w="1863" w:type="dxa"/>
            <w:vAlign w:val="center"/>
          </w:tcPr>
          <w:p>
            <w:pPr>
              <w:adjustRightInd w:val="0"/>
              <w:snapToGrid w:val="0"/>
              <w:spacing w:line="240" w:lineRule="auto"/>
              <w:ind w:firstLine="0" w:firstLineChars="0"/>
              <w:jc w:val="center"/>
              <w:rPr>
                <w:rFonts w:cs="Times New Roman"/>
                <w:color w:val="auto"/>
                <w:sz w:val="20"/>
                <w:szCs w:val="20"/>
                <w:highlight w:val="none"/>
              </w:rPr>
            </w:pPr>
            <w:r>
              <w:rPr>
                <w:rFonts w:cs="Times New Roman"/>
                <w:color w:val="auto"/>
                <w:sz w:val="20"/>
                <w:szCs w:val="20"/>
                <w:highlight w:val="none"/>
              </w:rPr>
              <w:t>20.60%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00" w:type="dxa"/>
            <w:vAlign w:val="center"/>
          </w:tcPr>
          <w:p>
            <w:pPr>
              <w:adjustRightInd w:val="0"/>
              <w:snapToGrid w:val="0"/>
              <w:spacing w:line="240" w:lineRule="auto"/>
              <w:ind w:firstLine="0" w:firstLineChars="0"/>
              <w:jc w:val="center"/>
              <w:rPr>
                <w:rFonts w:cs="Times New Roman"/>
                <w:color w:val="auto"/>
                <w:sz w:val="20"/>
                <w:szCs w:val="20"/>
                <w:highlight w:val="none"/>
              </w:rPr>
            </w:pPr>
            <w:r>
              <w:rPr>
                <w:rFonts w:cs="Times New Roman"/>
                <w:color w:val="auto"/>
                <w:sz w:val="20"/>
                <w:szCs w:val="20"/>
                <w:highlight w:val="none"/>
              </w:rPr>
              <w:t>3</w:t>
            </w:r>
          </w:p>
        </w:tc>
        <w:tc>
          <w:tcPr>
            <w:tcW w:w="4987" w:type="dxa"/>
            <w:vAlign w:val="center"/>
          </w:tcPr>
          <w:p>
            <w:pPr>
              <w:adjustRightInd w:val="0"/>
              <w:snapToGrid w:val="0"/>
              <w:spacing w:line="240" w:lineRule="auto"/>
              <w:ind w:firstLine="0" w:firstLineChars="0"/>
              <w:jc w:val="center"/>
              <w:rPr>
                <w:rFonts w:cs="Times New Roman"/>
                <w:color w:val="auto"/>
                <w:sz w:val="20"/>
                <w:szCs w:val="20"/>
                <w:highlight w:val="none"/>
              </w:rPr>
            </w:pPr>
            <w:r>
              <w:rPr>
                <w:rFonts w:cs="Times New Roman"/>
                <w:color w:val="auto"/>
                <w:sz w:val="20"/>
                <w:szCs w:val="20"/>
                <w:highlight w:val="none"/>
              </w:rPr>
              <w:t>所得税前项目投资财务净现值（i</w:t>
            </w:r>
            <w:r>
              <w:rPr>
                <w:rFonts w:cs="Times New Roman"/>
                <w:color w:val="auto"/>
                <w:sz w:val="20"/>
                <w:szCs w:val="20"/>
                <w:highlight w:val="none"/>
                <w:vertAlign w:val="subscript"/>
              </w:rPr>
              <w:t>c</w:t>
            </w:r>
            <w:r>
              <w:rPr>
                <w:rFonts w:cs="Times New Roman"/>
                <w:color w:val="auto"/>
                <w:sz w:val="20"/>
                <w:szCs w:val="20"/>
                <w:highlight w:val="none"/>
              </w:rPr>
              <w:t>=8%）</w:t>
            </w:r>
          </w:p>
        </w:tc>
        <w:tc>
          <w:tcPr>
            <w:tcW w:w="814" w:type="dxa"/>
            <w:vAlign w:val="center"/>
          </w:tcPr>
          <w:p>
            <w:pPr>
              <w:adjustRightInd w:val="0"/>
              <w:snapToGrid w:val="0"/>
              <w:spacing w:line="240" w:lineRule="auto"/>
              <w:ind w:firstLine="0" w:firstLineChars="0"/>
              <w:jc w:val="center"/>
              <w:rPr>
                <w:rFonts w:cs="Times New Roman"/>
                <w:color w:val="auto"/>
                <w:sz w:val="20"/>
                <w:szCs w:val="20"/>
                <w:highlight w:val="none"/>
              </w:rPr>
            </w:pPr>
            <w:r>
              <w:rPr>
                <w:rFonts w:cs="Times New Roman"/>
                <w:color w:val="auto"/>
                <w:sz w:val="20"/>
                <w:szCs w:val="20"/>
                <w:highlight w:val="none"/>
              </w:rPr>
              <w:t>万元</w:t>
            </w:r>
          </w:p>
        </w:tc>
        <w:tc>
          <w:tcPr>
            <w:tcW w:w="1863" w:type="dxa"/>
            <w:vAlign w:val="center"/>
          </w:tcPr>
          <w:p>
            <w:pPr>
              <w:adjustRightInd w:val="0"/>
              <w:snapToGrid w:val="0"/>
              <w:spacing w:line="240" w:lineRule="auto"/>
              <w:ind w:firstLine="0" w:firstLineChars="0"/>
              <w:jc w:val="center"/>
              <w:rPr>
                <w:rFonts w:cs="Times New Roman"/>
                <w:color w:val="auto"/>
                <w:sz w:val="20"/>
                <w:szCs w:val="20"/>
                <w:highlight w:val="none"/>
              </w:rPr>
            </w:pPr>
            <w:r>
              <w:rPr>
                <w:rFonts w:cs="Times New Roman"/>
                <w:color w:val="auto"/>
                <w:sz w:val="20"/>
                <w:szCs w:val="20"/>
                <w:highlight w:val="none"/>
              </w:rPr>
              <w:t xml:space="preserve">137555.67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00" w:type="dxa"/>
            <w:vAlign w:val="center"/>
          </w:tcPr>
          <w:p>
            <w:pPr>
              <w:adjustRightInd w:val="0"/>
              <w:snapToGrid w:val="0"/>
              <w:spacing w:line="240" w:lineRule="auto"/>
              <w:ind w:firstLine="0" w:firstLineChars="0"/>
              <w:jc w:val="center"/>
              <w:rPr>
                <w:rFonts w:cs="Times New Roman"/>
                <w:color w:val="auto"/>
                <w:sz w:val="20"/>
                <w:szCs w:val="20"/>
                <w:highlight w:val="none"/>
              </w:rPr>
            </w:pPr>
            <w:r>
              <w:rPr>
                <w:rFonts w:cs="Times New Roman"/>
                <w:color w:val="auto"/>
                <w:sz w:val="20"/>
                <w:szCs w:val="20"/>
                <w:highlight w:val="none"/>
              </w:rPr>
              <w:t>4</w:t>
            </w:r>
          </w:p>
        </w:tc>
        <w:tc>
          <w:tcPr>
            <w:tcW w:w="4987" w:type="dxa"/>
            <w:vAlign w:val="center"/>
          </w:tcPr>
          <w:p>
            <w:pPr>
              <w:adjustRightInd w:val="0"/>
              <w:snapToGrid w:val="0"/>
              <w:spacing w:line="240" w:lineRule="auto"/>
              <w:ind w:firstLine="0" w:firstLineChars="0"/>
              <w:jc w:val="center"/>
              <w:rPr>
                <w:rFonts w:cs="Times New Roman"/>
                <w:color w:val="auto"/>
                <w:sz w:val="20"/>
                <w:szCs w:val="20"/>
                <w:highlight w:val="none"/>
              </w:rPr>
            </w:pPr>
            <w:r>
              <w:rPr>
                <w:rFonts w:cs="Times New Roman"/>
                <w:color w:val="auto"/>
                <w:sz w:val="20"/>
                <w:szCs w:val="20"/>
                <w:highlight w:val="none"/>
              </w:rPr>
              <w:t>所得税后项目投资财务净现值（i</w:t>
            </w:r>
            <w:r>
              <w:rPr>
                <w:rFonts w:cs="Times New Roman"/>
                <w:color w:val="auto"/>
                <w:sz w:val="20"/>
                <w:szCs w:val="20"/>
                <w:highlight w:val="none"/>
                <w:vertAlign w:val="subscript"/>
              </w:rPr>
              <w:t>c</w:t>
            </w:r>
            <w:r>
              <w:rPr>
                <w:rFonts w:cs="Times New Roman"/>
                <w:color w:val="auto"/>
                <w:sz w:val="20"/>
                <w:szCs w:val="20"/>
                <w:highlight w:val="none"/>
              </w:rPr>
              <w:t>=8%）</w:t>
            </w:r>
          </w:p>
        </w:tc>
        <w:tc>
          <w:tcPr>
            <w:tcW w:w="814" w:type="dxa"/>
            <w:vAlign w:val="center"/>
          </w:tcPr>
          <w:p>
            <w:pPr>
              <w:adjustRightInd w:val="0"/>
              <w:snapToGrid w:val="0"/>
              <w:spacing w:line="240" w:lineRule="auto"/>
              <w:ind w:firstLine="0" w:firstLineChars="0"/>
              <w:jc w:val="center"/>
              <w:rPr>
                <w:rFonts w:cs="Times New Roman"/>
                <w:color w:val="auto"/>
                <w:sz w:val="20"/>
                <w:szCs w:val="20"/>
                <w:highlight w:val="none"/>
              </w:rPr>
            </w:pPr>
            <w:r>
              <w:rPr>
                <w:rFonts w:cs="Times New Roman"/>
                <w:color w:val="auto"/>
                <w:sz w:val="20"/>
                <w:szCs w:val="20"/>
                <w:highlight w:val="none"/>
              </w:rPr>
              <w:t>万元</w:t>
            </w:r>
          </w:p>
        </w:tc>
        <w:tc>
          <w:tcPr>
            <w:tcW w:w="1863" w:type="dxa"/>
            <w:vAlign w:val="center"/>
          </w:tcPr>
          <w:p>
            <w:pPr>
              <w:adjustRightInd w:val="0"/>
              <w:snapToGrid w:val="0"/>
              <w:spacing w:line="240" w:lineRule="auto"/>
              <w:ind w:firstLine="0" w:firstLineChars="0"/>
              <w:jc w:val="center"/>
              <w:rPr>
                <w:rFonts w:cs="Times New Roman"/>
                <w:color w:val="auto"/>
                <w:sz w:val="20"/>
                <w:szCs w:val="20"/>
                <w:highlight w:val="none"/>
              </w:rPr>
            </w:pPr>
            <w:r>
              <w:rPr>
                <w:rFonts w:cs="Times New Roman"/>
                <w:color w:val="auto"/>
                <w:sz w:val="20"/>
                <w:szCs w:val="20"/>
                <w:highlight w:val="none"/>
              </w:rPr>
              <w:t xml:space="preserve">96548.07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00" w:type="dxa"/>
            <w:vAlign w:val="center"/>
          </w:tcPr>
          <w:p>
            <w:pPr>
              <w:adjustRightInd w:val="0"/>
              <w:snapToGrid w:val="0"/>
              <w:spacing w:line="240" w:lineRule="auto"/>
              <w:ind w:firstLine="0" w:firstLineChars="0"/>
              <w:jc w:val="center"/>
              <w:rPr>
                <w:rFonts w:cs="Times New Roman"/>
                <w:color w:val="auto"/>
                <w:sz w:val="20"/>
                <w:szCs w:val="20"/>
                <w:highlight w:val="none"/>
              </w:rPr>
            </w:pPr>
            <w:r>
              <w:rPr>
                <w:rFonts w:cs="Times New Roman"/>
                <w:color w:val="auto"/>
                <w:sz w:val="20"/>
                <w:szCs w:val="20"/>
                <w:highlight w:val="none"/>
              </w:rPr>
              <w:t>5</w:t>
            </w:r>
          </w:p>
        </w:tc>
        <w:tc>
          <w:tcPr>
            <w:tcW w:w="4987" w:type="dxa"/>
            <w:vAlign w:val="center"/>
          </w:tcPr>
          <w:p>
            <w:pPr>
              <w:adjustRightInd w:val="0"/>
              <w:snapToGrid w:val="0"/>
              <w:spacing w:line="240" w:lineRule="auto"/>
              <w:ind w:firstLine="0" w:firstLineChars="0"/>
              <w:jc w:val="center"/>
              <w:rPr>
                <w:rFonts w:cs="Times New Roman"/>
                <w:color w:val="auto"/>
                <w:sz w:val="20"/>
                <w:szCs w:val="20"/>
                <w:highlight w:val="none"/>
              </w:rPr>
            </w:pPr>
            <w:r>
              <w:rPr>
                <w:rFonts w:cs="Times New Roman"/>
                <w:color w:val="auto"/>
                <w:sz w:val="20"/>
                <w:szCs w:val="20"/>
                <w:highlight w:val="none"/>
              </w:rPr>
              <w:t>所得税前项目投资回收期</w:t>
            </w:r>
          </w:p>
        </w:tc>
        <w:tc>
          <w:tcPr>
            <w:tcW w:w="814" w:type="dxa"/>
            <w:vAlign w:val="center"/>
          </w:tcPr>
          <w:p>
            <w:pPr>
              <w:adjustRightInd w:val="0"/>
              <w:snapToGrid w:val="0"/>
              <w:spacing w:line="240" w:lineRule="auto"/>
              <w:ind w:firstLine="0" w:firstLineChars="0"/>
              <w:jc w:val="center"/>
              <w:rPr>
                <w:rFonts w:cs="Times New Roman"/>
                <w:color w:val="auto"/>
                <w:sz w:val="20"/>
                <w:szCs w:val="20"/>
                <w:highlight w:val="none"/>
              </w:rPr>
            </w:pPr>
            <w:r>
              <w:rPr>
                <w:rFonts w:cs="Times New Roman"/>
                <w:color w:val="auto"/>
                <w:sz w:val="20"/>
                <w:szCs w:val="20"/>
                <w:highlight w:val="none"/>
              </w:rPr>
              <w:t>年</w:t>
            </w:r>
          </w:p>
        </w:tc>
        <w:tc>
          <w:tcPr>
            <w:tcW w:w="1863" w:type="dxa"/>
            <w:vAlign w:val="center"/>
          </w:tcPr>
          <w:p>
            <w:pPr>
              <w:adjustRightInd w:val="0"/>
              <w:snapToGrid w:val="0"/>
              <w:spacing w:line="240" w:lineRule="auto"/>
              <w:ind w:firstLine="0" w:firstLineChars="0"/>
              <w:jc w:val="center"/>
              <w:rPr>
                <w:rFonts w:cs="Times New Roman"/>
                <w:color w:val="auto"/>
                <w:sz w:val="20"/>
                <w:szCs w:val="20"/>
                <w:highlight w:val="none"/>
              </w:rPr>
            </w:pPr>
            <w:r>
              <w:rPr>
                <w:rFonts w:cs="Times New Roman"/>
                <w:color w:val="auto"/>
                <w:sz w:val="20"/>
                <w:szCs w:val="20"/>
                <w:highlight w:val="none"/>
              </w:rPr>
              <w:t xml:space="preserve">5.96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00" w:type="dxa"/>
            <w:vAlign w:val="center"/>
          </w:tcPr>
          <w:p>
            <w:pPr>
              <w:adjustRightInd w:val="0"/>
              <w:snapToGrid w:val="0"/>
              <w:spacing w:line="240" w:lineRule="auto"/>
              <w:ind w:firstLine="0" w:firstLineChars="0"/>
              <w:jc w:val="center"/>
              <w:rPr>
                <w:rFonts w:cs="Times New Roman"/>
                <w:color w:val="auto"/>
                <w:sz w:val="20"/>
                <w:szCs w:val="20"/>
                <w:highlight w:val="none"/>
              </w:rPr>
            </w:pPr>
            <w:r>
              <w:rPr>
                <w:rFonts w:cs="Times New Roman"/>
                <w:color w:val="auto"/>
                <w:sz w:val="20"/>
                <w:szCs w:val="20"/>
                <w:highlight w:val="none"/>
              </w:rPr>
              <w:t>6</w:t>
            </w:r>
          </w:p>
        </w:tc>
        <w:tc>
          <w:tcPr>
            <w:tcW w:w="4987" w:type="dxa"/>
            <w:vAlign w:val="center"/>
          </w:tcPr>
          <w:p>
            <w:pPr>
              <w:adjustRightInd w:val="0"/>
              <w:snapToGrid w:val="0"/>
              <w:spacing w:line="240" w:lineRule="auto"/>
              <w:ind w:firstLine="0" w:firstLineChars="0"/>
              <w:jc w:val="center"/>
              <w:rPr>
                <w:rFonts w:cs="Times New Roman"/>
                <w:color w:val="auto"/>
                <w:sz w:val="20"/>
                <w:szCs w:val="20"/>
                <w:highlight w:val="none"/>
              </w:rPr>
            </w:pPr>
            <w:r>
              <w:rPr>
                <w:rFonts w:cs="Times New Roman"/>
                <w:color w:val="auto"/>
                <w:sz w:val="20"/>
                <w:szCs w:val="20"/>
                <w:highlight w:val="none"/>
              </w:rPr>
              <w:t>所得税后项目投资回收期</w:t>
            </w:r>
          </w:p>
        </w:tc>
        <w:tc>
          <w:tcPr>
            <w:tcW w:w="814" w:type="dxa"/>
            <w:vAlign w:val="center"/>
          </w:tcPr>
          <w:p>
            <w:pPr>
              <w:adjustRightInd w:val="0"/>
              <w:snapToGrid w:val="0"/>
              <w:spacing w:line="240" w:lineRule="auto"/>
              <w:ind w:firstLine="0" w:firstLineChars="0"/>
              <w:jc w:val="center"/>
              <w:rPr>
                <w:rFonts w:cs="Times New Roman"/>
                <w:color w:val="auto"/>
                <w:sz w:val="20"/>
                <w:szCs w:val="20"/>
                <w:highlight w:val="none"/>
              </w:rPr>
            </w:pPr>
            <w:r>
              <w:rPr>
                <w:rFonts w:cs="Times New Roman"/>
                <w:color w:val="auto"/>
                <w:sz w:val="20"/>
                <w:szCs w:val="20"/>
                <w:highlight w:val="none"/>
              </w:rPr>
              <w:t>年</w:t>
            </w:r>
          </w:p>
        </w:tc>
        <w:tc>
          <w:tcPr>
            <w:tcW w:w="1863" w:type="dxa"/>
            <w:vAlign w:val="center"/>
          </w:tcPr>
          <w:p>
            <w:pPr>
              <w:adjustRightInd w:val="0"/>
              <w:snapToGrid w:val="0"/>
              <w:spacing w:line="240" w:lineRule="auto"/>
              <w:ind w:firstLine="0" w:firstLineChars="0"/>
              <w:jc w:val="center"/>
              <w:rPr>
                <w:rFonts w:cs="Times New Roman"/>
                <w:color w:val="auto"/>
                <w:sz w:val="20"/>
                <w:szCs w:val="20"/>
                <w:highlight w:val="none"/>
              </w:rPr>
            </w:pPr>
            <w:r>
              <w:rPr>
                <w:rFonts w:cs="Times New Roman"/>
                <w:color w:val="auto"/>
                <w:sz w:val="20"/>
                <w:szCs w:val="20"/>
                <w:highlight w:val="none"/>
              </w:rPr>
              <w:t xml:space="preserve">6.54 </w:t>
            </w:r>
          </w:p>
        </w:tc>
      </w:tr>
    </w:tbl>
    <w:p>
      <w:pPr>
        <w:ind w:firstLine="480"/>
        <w:rPr>
          <w:rFonts w:cs="Times New Roman"/>
          <w:color w:val="auto"/>
          <w:highlight w:val="none"/>
        </w:rPr>
      </w:pPr>
      <w:r>
        <w:rPr>
          <w:rFonts w:cs="Times New Roman"/>
          <w:color w:val="auto"/>
          <w:highlight w:val="none"/>
        </w:rPr>
        <w:t>详见附表5项目投资现金流量表</w:t>
      </w:r>
    </w:p>
    <w:p>
      <w:pPr>
        <w:ind w:firstLine="480"/>
        <w:rPr>
          <w:rFonts w:cs="Times New Roman"/>
          <w:color w:val="auto"/>
          <w:highlight w:val="none"/>
        </w:rPr>
      </w:pPr>
      <w:r>
        <w:rPr>
          <w:rFonts w:cs="Times New Roman"/>
          <w:color w:val="auto"/>
          <w:highlight w:val="none"/>
        </w:rPr>
        <w:t>（2）资本金</w:t>
      </w:r>
    </w:p>
    <w:p>
      <w:pPr>
        <w:ind w:firstLine="480"/>
        <w:rPr>
          <w:rFonts w:cs="Times New Roman"/>
          <w:color w:val="auto"/>
          <w:highlight w:val="none"/>
        </w:rPr>
      </w:pPr>
      <w:r>
        <w:rPr>
          <w:rFonts w:cs="Times New Roman"/>
          <w:color w:val="auto"/>
          <w:highlight w:val="none"/>
        </w:rPr>
        <w:t>项目资本金内部收益率</w:t>
      </w:r>
      <w:r>
        <w:rPr>
          <w:rFonts w:hint="eastAsia" w:cs="Times New Roman"/>
          <w:color w:val="auto"/>
          <w:highlight w:val="none"/>
        </w:rPr>
        <w:t>11.64%</w:t>
      </w:r>
    </w:p>
    <w:p>
      <w:pPr>
        <w:ind w:firstLine="480"/>
        <w:rPr>
          <w:rFonts w:cs="Times New Roman"/>
          <w:color w:val="auto"/>
          <w:highlight w:val="none"/>
        </w:rPr>
      </w:pPr>
      <w:r>
        <w:rPr>
          <w:rFonts w:cs="Times New Roman"/>
          <w:color w:val="auto"/>
          <w:highlight w:val="none"/>
        </w:rPr>
        <w:t>详见附表6项目资本金现金流量表</w:t>
      </w:r>
    </w:p>
    <w:p>
      <w:pPr>
        <w:ind w:firstLine="480"/>
        <w:rPr>
          <w:rFonts w:cs="Times New Roman"/>
          <w:color w:val="auto"/>
          <w:highlight w:val="none"/>
        </w:rPr>
      </w:pPr>
      <w:r>
        <w:rPr>
          <w:rFonts w:cs="Times New Roman"/>
          <w:color w:val="auto"/>
          <w:highlight w:val="none"/>
        </w:rPr>
        <w:t>2、总投资收益率</w:t>
      </w:r>
    </w:p>
    <w:p>
      <w:pPr>
        <w:ind w:firstLine="480"/>
        <w:rPr>
          <w:rFonts w:cs="Times New Roman"/>
          <w:color w:val="auto"/>
          <w:highlight w:val="none"/>
        </w:rPr>
      </w:pPr>
      <w:r>
        <w:rPr>
          <w:rFonts w:cs="Times New Roman"/>
          <w:color w:val="auto"/>
          <w:highlight w:val="none"/>
        </w:rPr>
        <w:t>总投资收益率=年均息税前利润/项目总投资=</w:t>
      </w:r>
      <w:r>
        <w:rPr>
          <w:rFonts w:hint="eastAsia" w:cs="Times New Roman"/>
          <w:color w:val="auto"/>
          <w:highlight w:val="none"/>
        </w:rPr>
        <w:t>26.85%</w:t>
      </w:r>
      <w:r>
        <w:rPr>
          <w:rFonts w:cs="Times New Roman"/>
          <w:color w:val="auto"/>
          <w:highlight w:val="none"/>
        </w:rPr>
        <w:t xml:space="preserve"> </w:t>
      </w:r>
    </w:p>
    <w:p>
      <w:pPr>
        <w:ind w:firstLine="480"/>
        <w:rPr>
          <w:rFonts w:cs="Times New Roman"/>
          <w:color w:val="auto"/>
          <w:highlight w:val="none"/>
        </w:rPr>
      </w:pPr>
      <w:r>
        <w:rPr>
          <w:rFonts w:cs="Times New Roman"/>
          <w:color w:val="auto"/>
          <w:highlight w:val="none"/>
        </w:rPr>
        <w:t>3、资本金净利润率</w:t>
      </w:r>
    </w:p>
    <w:p>
      <w:pPr>
        <w:ind w:firstLine="480"/>
        <w:rPr>
          <w:rFonts w:cs="Times New Roman"/>
          <w:color w:val="auto"/>
          <w:highlight w:val="none"/>
        </w:rPr>
      </w:pPr>
      <w:r>
        <w:rPr>
          <w:rFonts w:cs="Times New Roman"/>
          <w:color w:val="auto"/>
          <w:highlight w:val="none"/>
        </w:rPr>
        <w:t>资本金净利润率=年均净利润/项目资本金=</w:t>
      </w:r>
      <w:r>
        <w:rPr>
          <w:rFonts w:hint="eastAsia" w:cs="Times New Roman"/>
          <w:color w:val="auto"/>
          <w:highlight w:val="none"/>
        </w:rPr>
        <w:t>89.25%</w:t>
      </w:r>
      <w:r>
        <w:rPr>
          <w:rFonts w:cs="Times New Roman"/>
          <w:color w:val="auto"/>
          <w:highlight w:val="none"/>
        </w:rPr>
        <w:t xml:space="preserve"> </w:t>
      </w:r>
    </w:p>
    <w:p>
      <w:pPr>
        <w:ind w:firstLine="480"/>
        <w:rPr>
          <w:rFonts w:cs="Times New Roman"/>
          <w:color w:val="auto"/>
          <w:highlight w:val="none"/>
        </w:rPr>
      </w:pPr>
      <w:r>
        <w:rPr>
          <w:rFonts w:cs="Times New Roman"/>
          <w:color w:val="auto"/>
          <w:highlight w:val="none"/>
        </w:rPr>
        <w:t>4、盈亏平衡分析</w:t>
      </w:r>
    </w:p>
    <w:p>
      <w:pPr>
        <w:ind w:firstLine="480"/>
        <w:rPr>
          <w:rFonts w:cs="Times New Roman"/>
          <w:color w:val="auto"/>
          <w:highlight w:val="none"/>
        </w:rPr>
      </w:pPr>
      <w:r>
        <w:rPr>
          <w:rFonts w:cs="Times New Roman"/>
          <w:color w:val="auto"/>
          <w:highlight w:val="none"/>
        </w:rPr>
        <w:t>以生产能力利用率表示盈亏平衡点</w:t>
      </w:r>
    </w:p>
    <w:p>
      <w:pPr>
        <w:spacing w:line="240" w:lineRule="auto"/>
        <w:ind w:firstLine="0" w:firstLineChars="0"/>
        <w:rPr>
          <w:rFonts w:cs="Times New Roman"/>
          <w:color w:val="auto"/>
          <w:highlight w:val="none"/>
        </w:rPr>
      </w:pPr>
      <w:r>
        <w:rPr>
          <w:rFonts w:cs="Times New Roman"/>
          <w:color w:val="auto"/>
          <w:highlight w:val="none"/>
        </w:rPr>
        <w:t xml:space="preserve">                     年固定总成本</w:t>
      </w:r>
    </w:p>
    <w:p>
      <w:pPr>
        <w:spacing w:line="240" w:lineRule="auto"/>
        <w:ind w:firstLine="480"/>
        <w:rPr>
          <w:rFonts w:cs="Times New Roman"/>
          <w:color w:val="auto"/>
          <w:highlight w:val="none"/>
        </w:rPr>
      </w:pPr>
      <w:r>
        <w:rPr>
          <w:rFonts w:cs="Times New Roman"/>
          <w:color w:val="auto"/>
          <w:highlight w:val="none"/>
        </w:rPr>
        <w:t>盈亏平衡点= ————————————————×100%</w:t>
      </w:r>
    </w:p>
    <w:p>
      <w:pPr>
        <w:spacing w:line="240" w:lineRule="auto"/>
        <w:ind w:firstLine="480"/>
        <w:rPr>
          <w:rFonts w:cs="Times New Roman"/>
          <w:color w:val="auto"/>
          <w:highlight w:val="none"/>
        </w:rPr>
      </w:pPr>
      <w:r>
        <w:rPr>
          <w:rFonts w:cs="Times New Roman"/>
          <w:color w:val="auto"/>
          <w:highlight w:val="none"/>
        </w:rPr>
        <w:t xml:space="preserve">           年销售收入-年可变成本-年税金及附加</w:t>
      </w:r>
    </w:p>
    <w:p>
      <w:pPr>
        <w:spacing w:line="240" w:lineRule="auto"/>
        <w:ind w:firstLine="480"/>
        <w:rPr>
          <w:rFonts w:cs="Times New Roman"/>
          <w:color w:val="auto"/>
          <w:highlight w:val="none"/>
        </w:rPr>
      </w:pPr>
      <w:r>
        <w:rPr>
          <w:rFonts w:cs="Times New Roman"/>
          <w:color w:val="auto"/>
          <w:highlight w:val="none"/>
        </w:rPr>
        <w:t xml:space="preserve">          =</w:t>
      </w:r>
      <w:r>
        <w:rPr>
          <w:rFonts w:hint="eastAsia" w:cs="Times New Roman"/>
          <w:color w:val="auto"/>
          <w:highlight w:val="none"/>
        </w:rPr>
        <w:t>24.34%</w:t>
      </w:r>
    </w:p>
    <w:p>
      <w:pPr>
        <w:ind w:firstLine="480"/>
        <w:rPr>
          <w:rFonts w:cs="Times New Roman"/>
          <w:color w:val="auto"/>
          <w:highlight w:val="none"/>
        </w:rPr>
      </w:pPr>
      <w:r>
        <w:rPr>
          <w:rFonts w:cs="Times New Roman"/>
          <w:color w:val="auto"/>
          <w:highlight w:val="none"/>
        </w:rPr>
        <w:t>当生产能力或营业收入达到正常规模的</w:t>
      </w:r>
      <w:r>
        <w:rPr>
          <w:rFonts w:hint="eastAsia" w:cs="Times New Roman"/>
          <w:color w:val="auto"/>
          <w:highlight w:val="none"/>
        </w:rPr>
        <w:t>24.34%</w:t>
      </w:r>
      <w:r>
        <w:rPr>
          <w:rFonts w:cs="Times New Roman"/>
          <w:color w:val="auto"/>
          <w:highlight w:val="none"/>
        </w:rPr>
        <w:t>时，项目可保本。</w:t>
      </w:r>
    </w:p>
    <w:p>
      <w:pPr>
        <w:pStyle w:val="4"/>
        <w:rPr>
          <w:rFonts w:cs="Times New Roman"/>
          <w:color w:val="auto"/>
          <w:highlight w:val="none"/>
        </w:rPr>
      </w:pPr>
      <w:bookmarkStart w:id="170" w:name="_Toc21444800"/>
      <w:r>
        <w:rPr>
          <w:rFonts w:cs="Times New Roman"/>
          <w:color w:val="auto"/>
          <w:highlight w:val="none"/>
        </w:rPr>
        <w:t>15.2.6、财务风险分析</w:t>
      </w:r>
    </w:p>
    <w:p>
      <w:pPr>
        <w:ind w:firstLine="480"/>
        <w:rPr>
          <w:rFonts w:cs="Times New Roman"/>
          <w:color w:val="auto"/>
          <w:highlight w:val="none"/>
        </w:rPr>
      </w:pPr>
      <w:r>
        <w:rPr>
          <w:rFonts w:cs="Times New Roman"/>
          <w:color w:val="auto"/>
          <w:highlight w:val="none"/>
        </w:rPr>
        <w:t>从财务计划现金流量表和资产负债表来看，项目的各项指标如盈余资金、资产负债率均优于行业指标，具有较强的抗风险能力。</w:t>
      </w:r>
    </w:p>
    <w:p>
      <w:pPr>
        <w:pStyle w:val="4"/>
        <w:rPr>
          <w:rFonts w:cs="Times New Roman"/>
          <w:color w:val="auto"/>
          <w:highlight w:val="none"/>
        </w:rPr>
      </w:pPr>
      <w:r>
        <w:rPr>
          <w:rFonts w:cs="Times New Roman"/>
          <w:color w:val="auto"/>
          <w:highlight w:val="none"/>
        </w:rPr>
        <w:t>15.2.7清偿能力分析</w:t>
      </w:r>
    </w:p>
    <w:p>
      <w:pPr>
        <w:ind w:firstLine="480"/>
        <w:rPr>
          <w:rFonts w:cs="Times New Roman"/>
          <w:color w:val="auto"/>
          <w:highlight w:val="none"/>
        </w:rPr>
      </w:pPr>
      <w:r>
        <w:rPr>
          <w:rFonts w:cs="Times New Roman"/>
          <w:color w:val="auto"/>
          <w:highlight w:val="none"/>
        </w:rPr>
        <w:t>该项目申请银行贷款</w:t>
      </w:r>
      <w:r>
        <w:rPr>
          <w:rFonts w:hint="eastAsia" w:cs="Times New Roman"/>
          <w:color w:val="auto"/>
          <w:highlight w:val="none"/>
          <w:lang w:val="en-US" w:eastAsia="zh-CN"/>
        </w:rPr>
        <w:t>80</w:t>
      </w:r>
      <w:r>
        <w:rPr>
          <w:rFonts w:hint="eastAsia" w:cs="Times New Roman"/>
          <w:color w:val="auto"/>
          <w:highlight w:val="none"/>
        </w:rPr>
        <w:t>000.00</w:t>
      </w:r>
      <w:r>
        <w:rPr>
          <w:rFonts w:cs="Times New Roman"/>
          <w:color w:val="auto"/>
          <w:highlight w:val="none"/>
        </w:rPr>
        <w:t>万元，贷款利率按5.</w:t>
      </w:r>
      <w:r>
        <w:rPr>
          <w:rFonts w:hint="eastAsia" w:cs="Times New Roman"/>
          <w:color w:val="auto"/>
          <w:highlight w:val="none"/>
          <w:lang w:val="en-US" w:eastAsia="zh-CN"/>
        </w:rPr>
        <w:t>3</w:t>
      </w:r>
      <w:r>
        <w:rPr>
          <w:rFonts w:cs="Times New Roman"/>
          <w:color w:val="auto"/>
          <w:highlight w:val="none"/>
        </w:rPr>
        <w:t>%，项目投产后10年内还清，主要还款来源于项目收益。从借款还本付息表上看出偿债备付率均大于1.0，具有较强的还款能力。</w:t>
      </w:r>
    </w:p>
    <w:p>
      <w:pPr>
        <w:ind w:firstLine="480"/>
        <w:rPr>
          <w:rFonts w:cs="Times New Roman"/>
          <w:color w:val="auto"/>
          <w:highlight w:val="none"/>
        </w:rPr>
      </w:pPr>
      <w:r>
        <w:rPr>
          <w:rFonts w:cs="Times New Roman"/>
          <w:color w:val="auto"/>
          <w:highlight w:val="none"/>
        </w:rPr>
        <w:t>详见附表</w:t>
      </w:r>
      <w:r>
        <w:rPr>
          <w:rFonts w:hint="eastAsia" w:cs="Times New Roman"/>
          <w:color w:val="auto"/>
          <w:highlight w:val="none"/>
        </w:rPr>
        <w:t>7</w:t>
      </w:r>
      <w:r>
        <w:rPr>
          <w:rFonts w:cs="Times New Roman"/>
          <w:color w:val="auto"/>
          <w:highlight w:val="none"/>
        </w:rPr>
        <w:t>借款还本付息计划表</w:t>
      </w:r>
    </w:p>
    <w:p>
      <w:pPr>
        <w:pStyle w:val="4"/>
        <w:rPr>
          <w:rFonts w:cs="Times New Roman"/>
          <w:color w:val="auto"/>
          <w:highlight w:val="none"/>
        </w:rPr>
      </w:pPr>
      <w:r>
        <w:rPr>
          <w:rFonts w:cs="Times New Roman"/>
          <w:color w:val="auto"/>
          <w:highlight w:val="none"/>
        </w:rPr>
        <w:t>15.2.8、敏感性分析</w:t>
      </w:r>
    </w:p>
    <w:p>
      <w:pPr>
        <w:ind w:firstLine="480"/>
        <w:rPr>
          <w:rFonts w:cs="Times New Roman"/>
          <w:color w:val="auto"/>
          <w:highlight w:val="none"/>
        </w:rPr>
      </w:pPr>
      <w:r>
        <w:rPr>
          <w:rFonts w:cs="Times New Roman"/>
          <w:color w:val="auto"/>
          <w:highlight w:val="none"/>
        </w:rPr>
        <w:t>由于项目设计的一些参数在目前情况下是确定的，难以预计项目在经营中的变化，这些变化将会影响到项目的经济效益。为此在项目计算期内，从产品的经营收入、经营成本、工程投资的变化，来分析对工程经济效益的影响。</w:t>
      </w:r>
    </w:p>
    <w:p>
      <w:pPr>
        <w:spacing w:line="240" w:lineRule="auto"/>
        <w:ind w:firstLine="0" w:firstLineChars="0"/>
        <w:jc w:val="center"/>
        <w:rPr>
          <w:rFonts w:cs="Times New Roman"/>
          <w:b/>
          <w:color w:val="auto"/>
          <w:highlight w:val="none"/>
        </w:rPr>
      </w:pPr>
      <w:r>
        <w:rPr>
          <w:rFonts w:cs="Times New Roman"/>
          <w:b/>
          <w:color w:val="auto"/>
          <w:highlight w:val="none"/>
        </w:rPr>
        <w:t>敏感性分析表</w:t>
      </w:r>
    </w:p>
    <w:tbl>
      <w:tblPr>
        <w:tblStyle w:val="3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40"/>
        <w:gridCol w:w="1605"/>
        <w:gridCol w:w="1558"/>
        <w:gridCol w:w="1558"/>
        <w:gridCol w:w="1558"/>
        <w:gridCol w:w="15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40" w:type="dxa"/>
            <w:vAlign w:val="center"/>
          </w:tcPr>
          <w:p>
            <w:pPr>
              <w:spacing w:line="240" w:lineRule="auto"/>
              <w:ind w:firstLine="0" w:firstLineChars="0"/>
              <w:jc w:val="center"/>
              <w:rPr>
                <w:rFonts w:cs="Times New Roman" w:eastAsiaTheme="minorEastAsia"/>
                <w:b/>
                <w:color w:val="auto"/>
                <w:sz w:val="20"/>
                <w:szCs w:val="20"/>
                <w:highlight w:val="none"/>
              </w:rPr>
            </w:pPr>
            <w:r>
              <w:rPr>
                <w:rFonts w:cs="Times New Roman" w:eastAsiaTheme="minorEastAsia"/>
                <w:b/>
                <w:color w:val="auto"/>
                <w:sz w:val="20"/>
                <w:szCs w:val="20"/>
                <w:highlight w:val="none"/>
              </w:rPr>
              <w:t>序号</w:t>
            </w:r>
          </w:p>
        </w:tc>
        <w:tc>
          <w:tcPr>
            <w:tcW w:w="1605" w:type="dxa"/>
            <w:vAlign w:val="center"/>
          </w:tcPr>
          <w:p>
            <w:pPr>
              <w:spacing w:line="240" w:lineRule="auto"/>
              <w:ind w:firstLine="0" w:firstLineChars="0"/>
              <w:jc w:val="center"/>
              <w:rPr>
                <w:rFonts w:cs="Times New Roman" w:eastAsiaTheme="minorEastAsia"/>
                <w:b/>
                <w:color w:val="auto"/>
                <w:sz w:val="20"/>
                <w:szCs w:val="20"/>
                <w:highlight w:val="none"/>
              </w:rPr>
            </w:pPr>
            <w:r>
              <w:rPr>
                <w:rFonts w:cs="Times New Roman" w:eastAsiaTheme="minorEastAsia"/>
                <w:b/>
                <w:color w:val="auto"/>
                <w:sz w:val="20"/>
                <w:szCs w:val="20"/>
                <w:highlight w:val="none"/>
              </w:rPr>
              <w:t>变动因素</w:t>
            </w:r>
          </w:p>
        </w:tc>
        <w:tc>
          <w:tcPr>
            <w:tcW w:w="1558" w:type="dxa"/>
            <w:vAlign w:val="center"/>
          </w:tcPr>
          <w:p>
            <w:pPr>
              <w:spacing w:line="240" w:lineRule="auto"/>
              <w:ind w:firstLine="0" w:firstLineChars="0"/>
              <w:jc w:val="center"/>
              <w:rPr>
                <w:rFonts w:cs="Times New Roman" w:eastAsiaTheme="minorEastAsia"/>
                <w:b/>
                <w:color w:val="auto"/>
                <w:sz w:val="20"/>
                <w:szCs w:val="20"/>
                <w:highlight w:val="none"/>
              </w:rPr>
            </w:pPr>
            <w:r>
              <w:rPr>
                <w:rFonts w:cs="Times New Roman" w:eastAsiaTheme="minorEastAsia"/>
                <w:b/>
                <w:color w:val="auto"/>
                <w:sz w:val="20"/>
                <w:szCs w:val="20"/>
                <w:highlight w:val="none"/>
              </w:rPr>
              <w:t>变动辐度</w:t>
            </w:r>
          </w:p>
        </w:tc>
        <w:tc>
          <w:tcPr>
            <w:tcW w:w="1558" w:type="dxa"/>
            <w:vAlign w:val="center"/>
          </w:tcPr>
          <w:p>
            <w:pPr>
              <w:spacing w:line="240" w:lineRule="auto"/>
              <w:ind w:firstLine="0" w:firstLineChars="0"/>
              <w:jc w:val="center"/>
              <w:rPr>
                <w:rFonts w:cs="Times New Roman" w:eastAsiaTheme="minorEastAsia"/>
                <w:b/>
                <w:color w:val="auto"/>
                <w:sz w:val="20"/>
                <w:szCs w:val="20"/>
                <w:highlight w:val="none"/>
              </w:rPr>
            </w:pPr>
            <w:r>
              <w:rPr>
                <w:rFonts w:cs="Times New Roman" w:eastAsiaTheme="minorEastAsia"/>
                <w:b/>
                <w:color w:val="auto"/>
                <w:sz w:val="20"/>
                <w:szCs w:val="20"/>
                <w:highlight w:val="none"/>
              </w:rPr>
              <w:t>内部收益率（%）</w:t>
            </w:r>
          </w:p>
        </w:tc>
        <w:tc>
          <w:tcPr>
            <w:tcW w:w="1558" w:type="dxa"/>
            <w:vAlign w:val="center"/>
          </w:tcPr>
          <w:p>
            <w:pPr>
              <w:spacing w:line="240" w:lineRule="auto"/>
              <w:ind w:firstLine="0" w:firstLineChars="0"/>
              <w:jc w:val="center"/>
              <w:rPr>
                <w:rFonts w:cs="Times New Roman" w:eastAsiaTheme="minorEastAsia"/>
                <w:b/>
                <w:color w:val="auto"/>
                <w:sz w:val="20"/>
                <w:szCs w:val="20"/>
                <w:highlight w:val="none"/>
              </w:rPr>
            </w:pPr>
            <w:r>
              <w:rPr>
                <w:rFonts w:cs="Times New Roman" w:eastAsiaTheme="minorEastAsia"/>
                <w:b/>
                <w:color w:val="auto"/>
                <w:sz w:val="20"/>
                <w:szCs w:val="20"/>
                <w:highlight w:val="none"/>
              </w:rPr>
              <w:t>投资回收期（年）</w:t>
            </w:r>
          </w:p>
        </w:tc>
        <w:tc>
          <w:tcPr>
            <w:tcW w:w="1558" w:type="dxa"/>
            <w:vAlign w:val="center"/>
          </w:tcPr>
          <w:p>
            <w:pPr>
              <w:spacing w:line="240" w:lineRule="auto"/>
              <w:ind w:firstLine="0" w:firstLineChars="0"/>
              <w:jc w:val="center"/>
              <w:rPr>
                <w:rFonts w:cs="Times New Roman" w:eastAsiaTheme="minorEastAsia"/>
                <w:b/>
                <w:color w:val="auto"/>
                <w:sz w:val="20"/>
                <w:szCs w:val="20"/>
                <w:highlight w:val="none"/>
              </w:rPr>
            </w:pPr>
            <w:r>
              <w:rPr>
                <w:rFonts w:cs="Times New Roman" w:eastAsiaTheme="minorEastAsia"/>
                <w:b/>
                <w:color w:val="auto"/>
                <w:sz w:val="20"/>
                <w:szCs w:val="20"/>
                <w:highlight w:val="none"/>
              </w:rPr>
              <w:t>财务净现值</w:t>
            </w:r>
          </w:p>
          <w:p>
            <w:pPr>
              <w:spacing w:line="240" w:lineRule="auto"/>
              <w:ind w:firstLine="0" w:firstLineChars="0"/>
              <w:jc w:val="center"/>
              <w:rPr>
                <w:rFonts w:cs="Times New Roman" w:eastAsiaTheme="minorEastAsia"/>
                <w:b/>
                <w:color w:val="auto"/>
                <w:sz w:val="20"/>
                <w:szCs w:val="20"/>
                <w:highlight w:val="none"/>
              </w:rPr>
            </w:pPr>
            <w:r>
              <w:rPr>
                <w:rFonts w:cs="Times New Roman" w:eastAsiaTheme="minorEastAsia"/>
                <w:b/>
                <w:color w:val="auto"/>
                <w:sz w:val="20"/>
                <w:szCs w:val="20"/>
                <w:highlight w:val="none"/>
              </w:rPr>
              <w:t>（万元）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40" w:type="dxa"/>
            <w:vAlign w:val="center"/>
          </w:tcPr>
          <w:p>
            <w:pPr>
              <w:spacing w:line="240" w:lineRule="auto"/>
              <w:ind w:firstLine="0" w:firstLineChars="0"/>
              <w:jc w:val="center"/>
              <w:rPr>
                <w:rFonts w:cs="Times New Roman" w:eastAsiaTheme="minorEastAsia"/>
                <w:color w:val="auto"/>
                <w:sz w:val="20"/>
                <w:szCs w:val="20"/>
                <w:highlight w:val="none"/>
              </w:rPr>
            </w:pPr>
            <w:r>
              <w:rPr>
                <w:rFonts w:cs="Times New Roman" w:eastAsiaTheme="minorEastAsia"/>
                <w:color w:val="auto"/>
                <w:sz w:val="20"/>
                <w:szCs w:val="20"/>
                <w:highlight w:val="none"/>
              </w:rPr>
              <w:t>1</w:t>
            </w:r>
          </w:p>
        </w:tc>
        <w:tc>
          <w:tcPr>
            <w:tcW w:w="1605" w:type="dxa"/>
            <w:vAlign w:val="center"/>
          </w:tcPr>
          <w:p>
            <w:pPr>
              <w:spacing w:line="240" w:lineRule="auto"/>
              <w:ind w:firstLine="0" w:firstLineChars="0"/>
              <w:jc w:val="center"/>
              <w:rPr>
                <w:rFonts w:cs="Times New Roman" w:eastAsiaTheme="minorEastAsia"/>
                <w:color w:val="auto"/>
                <w:sz w:val="20"/>
                <w:szCs w:val="20"/>
                <w:highlight w:val="none"/>
              </w:rPr>
            </w:pPr>
            <w:r>
              <w:rPr>
                <w:rFonts w:cs="Times New Roman" w:eastAsiaTheme="minorEastAsia"/>
                <w:color w:val="auto"/>
                <w:sz w:val="20"/>
                <w:szCs w:val="20"/>
                <w:highlight w:val="none"/>
              </w:rPr>
              <w:t>基本方案</w:t>
            </w:r>
          </w:p>
        </w:tc>
        <w:tc>
          <w:tcPr>
            <w:tcW w:w="1558" w:type="dxa"/>
            <w:vAlign w:val="center"/>
          </w:tcPr>
          <w:p>
            <w:pPr>
              <w:spacing w:line="240" w:lineRule="auto"/>
              <w:ind w:firstLine="0" w:firstLineChars="0"/>
              <w:jc w:val="center"/>
              <w:rPr>
                <w:rFonts w:cs="Times New Roman" w:eastAsiaTheme="minorEastAsia"/>
                <w:color w:val="auto"/>
                <w:sz w:val="20"/>
                <w:szCs w:val="20"/>
                <w:highlight w:val="none"/>
              </w:rPr>
            </w:pPr>
          </w:p>
        </w:tc>
        <w:tc>
          <w:tcPr>
            <w:tcW w:w="1558" w:type="dxa"/>
            <w:vAlign w:val="center"/>
          </w:tcPr>
          <w:p>
            <w:pPr>
              <w:adjustRightInd w:val="0"/>
              <w:snapToGrid w:val="0"/>
              <w:spacing w:line="240" w:lineRule="auto"/>
              <w:ind w:firstLine="0" w:firstLineChars="0"/>
              <w:jc w:val="center"/>
              <w:rPr>
                <w:rFonts w:cs="Times New Roman"/>
                <w:color w:val="auto"/>
                <w:sz w:val="20"/>
                <w:szCs w:val="20"/>
                <w:highlight w:val="none"/>
              </w:rPr>
            </w:pPr>
          </w:p>
        </w:tc>
        <w:tc>
          <w:tcPr>
            <w:tcW w:w="1558" w:type="dxa"/>
            <w:vAlign w:val="center"/>
          </w:tcPr>
          <w:p>
            <w:pPr>
              <w:adjustRightInd w:val="0"/>
              <w:snapToGrid w:val="0"/>
              <w:spacing w:line="240" w:lineRule="auto"/>
              <w:ind w:firstLine="0" w:firstLineChars="0"/>
              <w:jc w:val="center"/>
              <w:rPr>
                <w:rFonts w:cs="Times New Roman"/>
                <w:color w:val="auto"/>
                <w:sz w:val="20"/>
                <w:szCs w:val="20"/>
                <w:highlight w:val="none"/>
              </w:rPr>
            </w:pPr>
            <w:r>
              <w:rPr>
                <w:rFonts w:cs="Times New Roman"/>
                <w:color w:val="auto"/>
                <w:sz w:val="20"/>
                <w:szCs w:val="20"/>
                <w:highlight w:val="none"/>
              </w:rPr>
              <w:t>20.60%</w:t>
            </w:r>
          </w:p>
        </w:tc>
        <w:tc>
          <w:tcPr>
            <w:tcW w:w="1558" w:type="dxa"/>
            <w:vAlign w:val="center"/>
          </w:tcPr>
          <w:p>
            <w:pPr>
              <w:adjustRightInd w:val="0"/>
              <w:snapToGrid w:val="0"/>
              <w:spacing w:line="240" w:lineRule="auto"/>
              <w:ind w:firstLine="0" w:firstLineChars="0"/>
              <w:jc w:val="center"/>
              <w:rPr>
                <w:rFonts w:cs="Times New Roman"/>
                <w:color w:val="auto"/>
                <w:sz w:val="20"/>
                <w:szCs w:val="20"/>
                <w:highlight w:val="none"/>
              </w:rPr>
            </w:pPr>
            <w:r>
              <w:rPr>
                <w:rFonts w:cs="Times New Roman"/>
                <w:color w:val="auto"/>
                <w:sz w:val="20"/>
                <w:szCs w:val="20"/>
                <w:highlight w:val="none"/>
              </w:rPr>
              <w:t xml:space="preserve">6.54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40" w:type="dxa"/>
            <w:vMerge w:val="restart"/>
            <w:vAlign w:val="center"/>
          </w:tcPr>
          <w:p>
            <w:pPr>
              <w:spacing w:line="240" w:lineRule="auto"/>
              <w:ind w:firstLine="0" w:firstLineChars="0"/>
              <w:jc w:val="center"/>
              <w:rPr>
                <w:rFonts w:cs="Times New Roman" w:eastAsiaTheme="minorEastAsia"/>
                <w:color w:val="auto"/>
                <w:sz w:val="20"/>
                <w:szCs w:val="20"/>
                <w:highlight w:val="none"/>
              </w:rPr>
            </w:pPr>
            <w:r>
              <w:rPr>
                <w:rFonts w:cs="Times New Roman" w:eastAsiaTheme="minorEastAsia"/>
                <w:color w:val="auto"/>
                <w:sz w:val="20"/>
                <w:szCs w:val="20"/>
                <w:highlight w:val="none"/>
              </w:rPr>
              <w:t>2</w:t>
            </w:r>
          </w:p>
        </w:tc>
        <w:tc>
          <w:tcPr>
            <w:tcW w:w="1605" w:type="dxa"/>
            <w:vMerge w:val="restart"/>
            <w:vAlign w:val="center"/>
          </w:tcPr>
          <w:p>
            <w:pPr>
              <w:spacing w:line="240" w:lineRule="auto"/>
              <w:ind w:firstLine="0" w:firstLineChars="0"/>
              <w:jc w:val="center"/>
              <w:rPr>
                <w:rFonts w:cs="Times New Roman" w:eastAsiaTheme="minorEastAsia"/>
                <w:color w:val="auto"/>
                <w:sz w:val="20"/>
                <w:szCs w:val="20"/>
                <w:highlight w:val="none"/>
              </w:rPr>
            </w:pPr>
            <w:r>
              <w:rPr>
                <w:rFonts w:cs="Times New Roman" w:eastAsiaTheme="minorEastAsia"/>
                <w:color w:val="auto"/>
                <w:sz w:val="20"/>
                <w:szCs w:val="20"/>
                <w:highlight w:val="none"/>
              </w:rPr>
              <w:t>经营收入</w:t>
            </w:r>
          </w:p>
        </w:tc>
        <w:tc>
          <w:tcPr>
            <w:tcW w:w="1558" w:type="dxa"/>
            <w:vAlign w:val="center"/>
          </w:tcPr>
          <w:p>
            <w:pPr>
              <w:spacing w:line="240" w:lineRule="auto"/>
              <w:ind w:firstLine="0" w:firstLineChars="0"/>
              <w:jc w:val="center"/>
              <w:rPr>
                <w:rFonts w:cs="Times New Roman" w:eastAsiaTheme="minorEastAsia"/>
                <w:color w:val="auto"/>
                <w:sz w:val="20"/>
                <w:szCs w:val="20"/>
                <w:highlight w:val="none"/>
              </w:rPr>
            </w:pPr>
            <w:r>
              <w:rPr>
                <w:rFonts w:cs="Times New Roman" w:eastAsiaTheme="minorEastAsia"/>
                <w:color w:val="auto"/>
                <w:sz w:val="20"/>
                <w:szCs w:val="20"/>
                <w:highlight w:val="none"/>
              </w:rPr>
              <w:t>5%</w:t>
            </w:r>
          </w:p>
        </w:tc>
        <w:tc>
          <w:tcPr>
            <w:tcW w:w="1558" w:type="dxa"/>
            <w:vAlign w:val="center"/>
          </w:tcPr>
          <w:p>
            <w:pPr>
              <w:adjustRightInd w:val="0"/>
              <w:snapToGrid w:val="0"/>
              <w:spacing w:line="240" w:lineRule="auto"/>
              <w:ind w:firstLine="0" w:firstLineChars="0"/>
              <w:jc w:val="center"/>
              <w:rPr>
                <w:rFonts w:cs="Times New Roman"/>
                <w:color w:val="auto"/>
                <w:sz w:val="20"/>
                <w:szCs w:val="20"/>
                <w:highlight w:val="none"/>
              </w:rPr>
            </w:pPr>
            <w:r>
              <w:rPr>
                <w:rFonts w:cs="Times New Roman"/>
                <w:color w:val="auto"/>
                <w:sz w:val="20"/>
                <w:szCs w:val="20"/>
                <w:highlight w:val="none"/>
              </w:rPr>
              <w:t>5%</w:t>
            </w:r>
          </w:p>
        </w:tc>
        <w:tc>
          <w:tcPr>
            <w:tcW w:w="1558" w:type="dxa"/>
            <w:vAlign w:val="center"/>
          </w:tcPr>
          <w:p>
            <w:pPr>
              <w:adjustRightInd w:val="0"/>
              <w:snapToGrid w:val="0"/>
              <w:spacing w:line="240" w:lineRule="auto"/>
              <w:ind w:firstLine="0" w:firstLineChars="0"/>
              <w:jc w:val="center"/>
              <w:rPr>
                <w:rFonts w:cs="Times New Roman"/>
                <w:color w:val="auto"/>
                <w:sz w:val="20"/>
                <w:szCs w:val="20"/>
                <w:highlight w:val="none"/>
              </w:rPr>
            </w:pPr>
            <w:r>
              <w:rPr>
                <w:rFonts w:cs="Times New Roman"/>
                <w:color w:val="auto"/>
                <w:sz w:val="20"/>
                <w:szCs w:val="20"/>
                <w:highlight w:val="none"/>
              </w:rPr>
              <w:t>22.29%</w:t>
            </w:r>
          </w:p>
        </w:tc>
        <w:tc>
          <w:tcPr>
            <w:tcW w:w="1558" w:type="dxa"/>
            <w:vAlign w:val="center"/>
          </w:tcPr>
          <w:p>
            <w:pPr>
              <w:adjustRightInd w:val="0"/>
              <w:snapToGrid w:val="0"/>
              <w:spacing w:line="240" w:lineRule="auto"/>
              <w:ind w:firstLine="0" w:firstLineChars="0"/>
              <w:jc w:val="center"/>
              <w:rPr>
                <w:rFonts w:cs="Times New Roman"/>
                <w:color w:val="auto"/>
                <w:sz w:val="20"/>
                <w:szCs w:val="20"/>
                <w:highlight w:val="none"/>
              </w:rPr>
            </w:pPr>
            <w:r>
              <w:rPr>
                <w:rFonts w:cs="Times New Roman"/>
                <w:color w:val="auto"/>
                <w:sz w:val="20"/>
                <w:szCs w:val="20"/>
                <w:highlight w:val="none"/>
              </w:rPr>
              <w:t xml:space="preserve">6.27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40" w:type="dxa"/>
            <w:vMerge w:val="continue"/>
            <w:vAlign w:val="center"/>
          </w:tcPr>
          <w:p>
            <w:pPr>
              <w:spacing w:line="240" w:lineRule="auto"/>
              <w:ind w:firstLine="0" w:firstLineChars="0"/>
              <w:jc w:val="center"/>
              <w:rPr>
                <w:rFonts w:cs="Times New Roman" w:eastAsiaTheme="minorEastAsia"/>
                <w:color w:val="auto"/>
                <w:sz w:val="20"/>
                <w:szCs w:val="20"/>
                <w:highlight w:val="none"/>
              </w:rPr>
            </w:pPr>
          </w:p>
        </w:tc>
        <w:tc>
          <w:tcPr>
            <w:tcW w:w="1605" w:type="dxa"/>
            <w:vMerge w:val="continue"/>
            <w:vAlign w:val="center"/>
          </w:tcPr>
          <w:p>
            <w:pPr>
              <w:spacing w:line="240" w:lineRule="auto"/>
              <w:ind w:firstLine="0" w:firstLineChars="0"/>
              <w:jc w:val="center"/>
              <w:rPr>
                <w:rFonts w:cs="Times New Roman" w:eastAsiaTheme="minorEastAsia"/>
                <w:color w:val="auto"/>
                <w:sz w:val="20"/>
                <w:szCs w:val="20"/>
                <w:highlight w:val="none"/>
              </w:rPr>
            </w:pPr>
          </w:p>
        </w:tc>
        <w:tc>
          <w:tcPr>
            <w:tcW w:w="1558" w:type="dxa"/>
            <w:vAlign w:val="center"/>
          </w:tcPr>
          <w:p>
            <w:pPr>
              <w:spacing w:line="240" w:lineRule="auto"/>
              <w:ind w:firstLine="0" w:firstLineChars="0"/>
              <w:jc w:val="center"/>
              <w:rPr>
                <w:rFonts w:cs="Times New Roman" w:eastAsiaTheme="minorEastAsia"/>
                <w:color w:val="auto"/>
                <w:sz w:val="20"/>
                <w:szCs w:val="20"/>
                <w:highlight w:val="none"/>
              </w:rPr>
            </w:pPr>
            <w:r>
              <w:rPr>
                <w:rFonts w:cs="Times New Roman" w:eastAsiaTheme="minorEastAsia"/>
                <w:color w:val="auto"/>
                <w:sz w:val="20"/>
                <w:szCs w:val="20"/>
                <w:highlight w:val="none"/>
              </w:rPr>
              <w:t>-5%</w:t>
            </w:r>
          </w:p>
        </w:tc>
        <w:tc>
          <w:tcPr>
            <w:tcW w:w="1558" w:type="dxa"/>
            <w:vAlign w:val="center"/>
          </w:tcPr>
          <w:p>
            <w:pPr>
              <w:adjustRightInd w:val="0"/>
              <w:snapToGrid w:val="0"/>
              <w:spacing w:line="240" w:lineRule="auto"/>
              <w:ind w:firstLine="0" w:firstLineChars="0"/>
              <w:jc w:val="center"/>
              <w:rPr>
                <w:rFonts w:cs="Times New Roman"/>
                <w:color w:val="auto"/>
                <w:sz w:val="20"/>
                <w:szCs w:val="20"/>
                <w:highlight w:val="none"/>
              </w:rPr>
            </w:pPr>
            <w:r>
              <w:rPr>
                <w:rFonts w:cs="Times New Roman"/>
                <w:color w:val="auto"/>
                <w:sz w:val="20"/>
                <w:szCs w:val="20"/>
                <w:highlight w:val="none"/>
              </w:rPr>
              <w:t>-5%</w:t>
            </w:r>
          </w:p>
        </w:tc>
        <w:tc>
          <w:tcPr>
            <w:tcW w:w="1558" w:type="dxa"/>
            <w:vAlign w:val="center"/>
          </w:tcPr>
          <w:p>
            <w:pPr>
              <w:adjustRightInd w:val="0"/>
              <w:snapToGrid w:val="0"/>
              <w:spacing w:line="240" w:lineRule="auto"/>
              <w:ind w:firstLine="0" w:firstLineChars="0"/>
              <w:jc w:val="center"/>
              <w:rPr>
                <w:rFonts w:cs="Times New Roman"/>
                <w:color w:val="auto"/>
                <w:sz w:val="20"/>
                <w:szCs w:val="20"/>
                <w:highlight w:val="none"/>
              </w:rPr>
            </w:pPr>
            <w:r>
              <w:rPr>
                <w:rFonts w:cs="Times New Roman"/>
                <w:color w:val="auto"/>
                <w:sz w:val="20"/>
                <w:szCs w:val="20"/>
                <w:highlight w:val="none"/>
              </w:rPr>
              <w:t>18.85%</w:t>
            </w:r>
          </w:p>
        </w:tc>
        <w:tc>
          <w:tcPr>
            <w:tcW w:w="1558" w:type="dxa"/>
            <w:vAlign w:val="center"/>
          </w:tcPr>
          <w:p>
            <w:pPr>
              <w:adjustRightInd w:val="0"/>
              <w:snapToGrid w:val="0"/>
              <w:spacing w:line="240" w:lineRule="auto"/>
              <w:ind w:firstLine="0" w:firstLineChars="0"/>
              <w:jc w:val="center"/>
              <w:rPr>
                <w:rFonts w:cs="Times New Roman"/>
                <w:color w:val="auto"/>
                <w:sz w:val="20"/>
                <w:szCs w:val="20"/>
                <w:highlight w:val="none"/>
              </w:rPr>
            </w:pPr>
            <w:r>
              <w:rPr>
                <w:rFonts w:cs="Times New Roman"/>
                <w:color w:val="auto"/>
                <w:sz w:val="20"/>
                <w:szCs w:val="20"/>
                <w:highlight w:val="none"/>
              </w:rPr>
              <w:t xml:space="preserve">6.86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40" w:type="dxa"/>
            <w:vMerge w:val="restart"/>
            <w:vAlign w:val="center"/>
          </w:tcPr>
          <w:p>
            <w:pPr>
              <w:spacing w:line="240" w:lineRule="auto"/>
              <w:ind w:firstLine="0" w:firstLineChars="0"/>
              <w:jc w:val="center"/>
              <w:rPr>
                <w:rFonts w:cs="Times New Roman" w:eastAsiaTheme="minorEastAsia"/>
                <w:color w:val="auto"/>
                <w:sz w:val="20"/>
                <w:szCs w:val="20"/>
                <w:highlight w:val="none"/>
              </w:rPr>
            </w:pPr>
            <w:r>
              <w:rPr>
                <w:rFonts w:cs="Times New Roman" w:eastAsiaTheme="minorEastAsia"/>
                <w:color w:val="auto"/>
                <w:sz w:val="20"/>
                <w:szCs w:val="20"/>
                <w:highlight w:val="none"/>
              </w:rPr>
              <w:t>3</w:t>
            </w:r>
          </w:p>
        </w:tc>
        <w:tc>
          <w:tcPr>
            <w:tcW w:w="1605" w:type="dxa"/>
            <w:vMerge w:val="restart"/>
            <w:vAlign w:val="center"/>
          </w:tcPr>
          <w:p>
            <w:pPr>
              <w:spacing w:line="240" w:lineRule="auto"/>
              <w:ind w:firstLine="0" w:firstLineChars="0"/>
              <w:jc w:val="center"/>
              <w:rPr>
                <w:rFonts w:cs="Times New Roman" w:eastAsiaTheme="minorEastAsia"/>
                <w:color w:val="auto"/>
                <w:sz w:val="20"/>
                <w:szCs w:val="20"/>
                <w:highlight w:val="none"/>
              </w:rPr>
            </w:pPr>
            <w:r>
              <w:rPr>
                <w:rFonts w:cs="Times New Roman" w:eastAsiaTheme="minorEastAsia"/>
                <w:color w:val="auto"/>
                <w:sz w:val="20"/>
                <w:szCs w:val="20"/>
                <w:highlight w:val="none"/>
              </w:rPr>
              <w:t>经营成本</w:t>
            </w:r>
          </w:p>
        </w:tc>
        <w:tc>
          <w:tcPr>
            <w:tcW w:w="1558" w:type="dxa"/>
            <w:vAlign w:val="center"/>
          </w:tcPr>
          <w:p>
            <w:pPr>
              <w:spacing w:line="240" w:lineRule="auto"/>
              <w:ind w:firstLine="0" w:firstLineChars="0"/>
              <w:jc w:val="center"/>
              <w:rPr>
                <w:rFonts w:cs="Times New Roman" w:eastAsiaTheme="minorEastAsia"/>
                <w:color w:val="auto"/>
                <w:sz w:val="20"/>
                <w:szCs w:val="20"/>
                <w:highlight w:val="none"/>
              </w:rPr>
            </w:pPr>
            <w:r>
              <w:rPr>
                <w:rFonts w:cs="Times New Roman" w:eastAsiaTheme="minorEastAsia"/>
                <w:color w:val="auto"/>
                <w:sz w:val="20"/>
                <w:szCs w:val="20"/>
                <w:highlight w:val="none"/>
              </w:rPr>
              <w:t>5%</w:t>
            </w:r>
          </w:p>
        </w:tc>
        <w:tc>
          <w:tcPr>
            <w:tcW w:w="1558" w:type="dxa"/>
            <w:vAlign w:val="center"/>
          </w:tcPr>
          <w:p>
            <w:pPr>
              <w:adjustRightInd w:val="0"/>
              <w:snapToGrid w:val="0"/>
              <w:spacing w:line="240" w:lineRule="auto"/>
              <w:ind w:firstLine="0" w:firstLineChars="0"/>
              <w:jc w:val="center"/>
              <w:rPr>
                <w:rFonts w:cs="Times New Roman"/>
                <w:color w:val="auto"/>
                <w:sz w:val="20"/>
                <w:szCs w:val="20"/>
                <w:highlight w:val="none"/>
              </w:rPr>
            </w:pPr>
            <w:r>
              <w:rPr>
                <w:rFonts w:cs="Times New Roman"/>
                <w:color w:val="auto"/>
                <w:sz w:val="20"/>
                <w:szCs w:val="20"/>
                <w:highlight w:val="none"/>
              </w:rPr>
              <w:t>5%</w:t>
            </w:r>
          </w:p>
        </w:tc>
        <w:tc>
          <w:tcPr>
            <w:tcW w:w="1558" w:type="dxa"/>
            <w:vAlign w:val="center"/>
          </w:tcPr>
          <w:p>
            <w:pPr>
              <w:adjustRightInd w:val="0"/>
              <w:snapToGrid w:val="0"/>
              <w:spacing w:line="240" w:lineRule="auto"/>
              <w:ind w:firstLine="0" w:firstLineChars="0"/>
              <w:jc w:val="center"/>
              <w:rPr>
                <w:rFonts w:cs="Times New Roman"/>
                <w:color w:val="auto"/>
                <w:sz w:val="20"/>
                <w:szCs w:val="20"/>
                <w:highlight w:val="none"/>
              </w:rPr>
            </w:pPr>
            <w:r>
              <w:rPr>
                <w:rFonts w:cs="Times New Roman"/>
                <w:color w:val="auto"/>
                <w:sz w:val="20"/>
                <w:szCs w:val="20"/>
                <w:highlight w:val="none"/>
              </w:rPr>
              <w:t>20.15%</w:t>
            </w:r>
          </w:p>
        </w:tc>
        <w:tc>
          <w:tcPr>
            <w:tcW w:w="1558" w:type="dxa"/>
            <w:vAlign w:val="center"/>
          </w:tcPr>
          <w:p>
            <w:pPr>
              <w:adjustRightInd w:val="0"/>
              <w:snapToGrid w:val="0"/>
              <w:spacing w:line="240" w:lineRule="auto"/>
              <w:ind w:firstLine="0" w:firstLineChars="0"/>
              <w:jc w:val="center"/>
              <w:rPr>
                <w:rFonts w:cs="Times New Roman"/>
                <w:color w:val="auto"/>
                <w:sz w:val="20"/>
                <w:szCs w:val="20"/>
                <w:highlight w:val="none"/>
              </w:rPr>
            </w:pPr>
            <w:r>
              <w:rPr>
                <w:rFonts w:cs="Times New Roman"/>
                <w:color w:val="auto"/>
                <w:sz w:val="20"/>
                <w:szCs w:val="20"/>
                <w:highlight w:val="none"/>
              </w:rPr>
              <w:t xml:space="preserve">6.62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40" w:type="dxa"/>
            <w:vMerge w:val="continue"/>
            <w:vAlign w:val="center"/>
          </w:tcPr>
          <w:p>
            <w:pPr>
              <w:spacing w:line="240" w:lineRule="auto"/>
              <w:ind w:firstLine="0" w:firstLineChars="0"/>
              <w:jc w:val="center"/>
              <w:rPr>
                <w:rFonts w:cs="Times New Roman" w:eastAsiaTheme="minorEastAsia"/>
                <w:color w:val="auto"/>
                <w:sz w:val="20"/>
                <w:szCs w:val="20"/>
                <w:highlight w:val="none"/>
              </w:rPr>
            </w:pPr>
          </w:p>
        </w:tc>
        <w:tc>
          <w:tcPr>
            <w:tcW w:w="1605" w:type="dxa"/>
            <w:vMerge w:val="continue"/>
            <w:vAlign w:val="center"/>
          </w:tcPr>
          <w:p>
            <w:pPr>
              <w:spacing w:line="240" w:lineRule="auto"/>
              <w:ind w:firstLine="0" w:firstLineChars="0"/>
              <w:jc w:val="center"/>
              <w:rPr>
                <w:rFonts w:cs="Times New Roman" w:eastAsiaTheme="minorEastAsia"/>
                <w:color w:val="auto"/>
                <w:sz w:val="20"/>
                <w:szCs w:val="20"/>
                <w:highlight w:val="none"/>
              </w:rPr>
            </w:pPr>
          </w:p>
        </w:tc>
        <w:tc>
          <w:tcPr>
            <w:tcW w:w="1558" w:type="dxa"/>
            <w:vAlign w:val="center"/>
          </w:tcPr>
          <w:p>
            <w:pPr>
              <w:spacing w:line="240" w:lineRule="auto"/>
              <w:ind w:firstLine="0" w:firstLineChars="0"/>
              <w:jc w:val="center"/>
              <w:rPr>
                <w:rFonts w:cs="Times New Roman" w:eastAsiaTheme="minorEastAsia"/>
                <w:color w:val="auto"/>
                <w:sz w:val="20"/>
                <w:szCs w:val="20"/>
                <w:highlight w:val="none"/>
              </w:rPr>
            </w:pPr>
            <w:r>
              <w:rPr>
                <w:rFonts w:cs="Times New Roman" w:eastAsiaTheme="minorEastAsia"/>
                <w:color w:val="auto"/>
                <w:sz w:val="20"/>
                <w:szCs w:val="20"/>
                <w:highlight w:val="none"/>
              </w:rPr>
              <w:t>-5%</w:t>
            </w:r>
          </w:p>
        </w:tc>
        <w:tc>
          <w:tcPr>
            <w:tcW w:w="1558" w:type="dxa"/>
            <w:vAlign w:val="center"/>
          </w:tcPr>
          <w:p>
            <w:pPr>
              <w:adjustRightInd w:val="0"/>
              <w:snapToGrid w:val="0"/>
              <w:spacing w:line="240" w:lineRule="auto"/>
              <w:ind w:firstLine="0" w:firstLineChars="0"/>
              <w:jc w:val="center"/>
              <w:rPr>
                <w:rFonts w:cs="Times New Roman"/>
                <w:color w:val="auto"/>
                <w:sz w:val="20"/>
                <w:szCs w:val="20"/>
                <w:highlight w:val="none"/>
              </w:rPr>
            </w:pPr>
            <w:r>
              <w:rPr>
                <w:rFonts w:cs="Times New Roman"/>
                <w:color w:val="auto"/>
                <w:sz w:val="20"/>
                <w:szCs w:val="20"/>
                <w:highlight w:val="none"/>
              </w:rPr>
              <w:t>-5%</w:t>
            </w:r>
          </w:p>
        </w:tc>
        <w:tc>
          <w:tcPr>
            <w:tcW w:w="1558" w:type="dxa"/>
            <w:vAlign w:val="center"/>
          </w:tcPr>
          <w:p>
            <w:pPr>
              <w:adjustRightInd w:val="0"/>
              <w:snapToGrid w:val="0"/>
              <w:spacing w:line="240" w:lineRule="auto"/>
              <w:ind w:firstLine="0" w:firstLineChars="0"/>
              <w:jc w:val="center"/>
              <w:rPr>
                <w:rFonts w:cs="Times New Roman"/>
                <w:color w:val="auto"/>
                <w:sz w:val="20"/>
                <w:szCs w:val="20"/>
                <w:highlight w:val="none"/>
              </w:rPr>
            </w:pPr>
            <w:r>
              <w:rPr>
                <w:rFonts w:cs="Times New Roman"/>
                <w:color w:val="auto"/>
                <w:sz w:val="20"/>
                <w:szCs w:val="20"/>
                <w:highlight w:val="none"/>
              </w:rPr>
              <w:t>21.04%</w:t>
            </w:r>
          </w:p>
        </w:tc>
        <w:tc>
          <w:tcPr>
            <w:tcW w:w="1558" w:type="dxa"/>
            <w:vAlign w:val="center"/>
          </w:tcPr>
          <w:p>
            <w:pPr>
              <w:adjustRightInd w:val="0"/>
              <w:snapToGrid w:val="0"/>
              <w:spacing w:line="240" w:lineRule="auto"/>
              <w:ind w:firstLine="0" w:firstLineChars="0"/>
              <w:jc w:val="center"/>
              <w:rPr>
                <w:rFonts w:cs="Times New Roman"/>
                <w:color w:val="auto"/>
                <w:sz w:val="20"/>
                <w:szCs w:val="20"/>
                <w:highlight w:val="none"/>
              </w:rPr>
            </w:pPr>
            <w:r>
              <w:rPr>
                <w:rFonts w:cs="Times New Roman"/>
                <w:color w:val="auto"/>
                <w:sz w:val="20"/>
                <w:szCs w:val="20"/>
                <w:highlight w:val="none"/>
              </w:rPr>
              <w:t xml:space="preserve">6.46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40" w:type="dxa"/>
            <w:vMerge w:val="restart"/>
            <w:vAlign w:val="center"/>
          </w:tcPr>
          <w:p>
            <w:pPr>
              <w:spacing w:line="240" w:lineRule="auto"/>
              <w:ind w:firstLine="0" w:firstLineChars="0"/>
              <w:jc w:val="center"/>
              <w:rPr>
                <w:rFonts w:cs="Times New Roman" w:eastAsiaTheme="minorEastAsia"/>
                <w:color w:val="auto"/>
                <w:sz w:val="20"/>
                <w:szCs w:val="20"/>
                <w:highlight w:val="none"/>
              </w:rPr>
            </w:pPr>
            <w:r>
              <w:rPr>
                <w:rFonts w:cs="Times New Roman" w:eastAsiaTheme="minorEastAsia"/>
                <w:color w:val="auto"/>
                <w:sz w:val="20"/>
                <w:szCs w:val="20"/>
                <w:highlight w:val="none"/>
              </w:rPr>
              <w:t>4</w:t>
            </w:r>
          </w:p>
        </w:tc>
        <w:tc>
          <w:tcPr>
            <w:tcW w:w="1605" w:type="dxa"/>
            <w:vMerge w:val="restart"/>
            <w:vAlign w:val="center"/>
          </w:tcPr>
          <w:p>
            <w:pPr>
              <w:spacing w:line="240" w:lineRule="auto"/>
              <w:ind w:firstLine="0" w:firstLineChars="0"/>
              <w:jc w:val="center"/>
              <w:rPr>
                <w:rFonts w:cs="Times New Roman" w:eastAsiaTheme="minorEastAsia"/>
                <w:color w:val="auto"/>
                <w:sz w:val="20"/>
                <w:szCs w:val="20"/>
                <w:highlight w:val="none"/>
              </w:rPr>
            </w:pPr>
            <w:r>
              <w:rPr>
                <w:rFonts w:cs="Times New Roman" w:eastAsiaTheme="minorEastAsia"/>
                <w:color w:val="auto"/>
                <w:sz w:val="20"/>
                <w:szCs w:val="20"/>
                <w:highlight w:val="none"/>
              </w:rPr>
              <w:t>工程投资</w:t>
            </w:r>
          </w:p>
        </w:tc>
        <w:tc>
          <w:tcPr>
            <w:tcW w:w="1558" w:type="dxa"/>
            <w:vAlign w:val="center"/>
          </w:tcPr>
          <w:p>
            <w:pPr>
              <w:spacing w:line="240" w:lineRule="auto"/>
              <w:ind w:firstLine="0" w:firstLineChars="0"/>
              <w:jc w:val="center"/>
              <w:rPr>
                <w:rFonts w:cs="Times New Roman" w:eastAsiaTheme="minorEastAsia"/>
                <w:color w:val="auto"/>
                <w:sz w:val="20"/>
                <w:szCs w:val="20"/>
                <w:highlight w:val="none"/>
              </w:rPr>
            </w:pPr>
            <w:r>
              <w:rPr>
                <w:rFonts w:cs="Times New Roman" w:eastAsiaTheme="minorEastAsia"/>
                <w:color w:val="auto"/>
                <w:sz w:val="20"/>
                <w:szCs w:val="20"/>
                <w:highlight w:val="none"/>
              </w:rPr>
              <w:t>5%</w:t>
            </w:r>
          </w:p>
        </w:tc>
        <w:tc>
          <w:tcPr>
            <w:tcW w:w="1558" w:type="dxa"/>
            <w:vAlign w:val="center"/>
          </w:tcPr>
          <w:p>
            <w:pPr>
              <w:adjustRightInd w:val="0"/>
              <w:snapToGrid w:val="0"/>
              <w:spacing w:line="240" w:lineRule="auto"/>
              <w:ind w:firstLine="0" w:firstLineChars="0"/>
              <w:jc w:val="center"/>
              <w:rPr>
                <w:rFonts w:cs="Times New Roman"/>
                <w:color w:val="auto"/>
                <w:sz w:val="20"/>
                <w:szCs w:val="20"/>
                <w:highlight w:val="none"/>
              </w:rPr>
            </w:pPr>
            <w:r>
              <w:rPr>
                <w:rFonts w:cs="Times New Roman"/>
                <w:color w:val="auto"/>
                <w:sz w:val="20"/>
                <w:szCs w:val="20"/>
                <w:highlight w:val="none"/>
              </w:rPr>
              <w:t>5%</w:t>
            </w:r>
          </w:p>
        </w:tc>
        <w:tc>
          <w:tcPr>
            <w:tcW w:w="1558" w:type="dxa"/>
            <w:vAlign w:val="center"/>
          </w:tcPr>
          <w:p>
            <w:pPr>
              <w:adjustRightInd w:val="0"/>
              <w:snapToGrid w:val="0"/>
              <w:spacing w:line="240" w:lineRule="auto"/>
              <w:ind w:firstLine="0" w:firstLineChars="0"/>
              <w:jc w:val="center"/>
              <w:rPr>
                <w:rFonts w:cs="Times New Roman"/>
                <w:color w:val="auto"/>
                <w:sz w:val="20"/>
                <w:szCs w:val="20"/>
                <w:highlight w:val="none"/>
              </w:rPr>
            </w:pPr>
            <w:r>
              <w:rPr>
                <w:rFonts w:cs="Times New Roman"/>
                <w:color w:val="auto"/>
                <w:sz w:val="20"/>
                <w:szCs w:val="20"/>
                <w:highlight w:val="none"/>
              </w:rPr>
              <w:t>19.54%</w:t>
            </w:r>
          </w:p>
        </w:tc>
        <w:tc>
          <w:tcPr>
            <w:tcW w:w="1558" w:type="dxa"/>
            <w:vAlign w:val="center"/>
          </w:tcPr>
          <w:p>
            <w:pPr>
              <w:adjustRightInd w:val="0"/>
              <w:snapToGrid w:val="0"/>
              <w:spacing w:line="240" w:lineRule="auto"/>
              <w:ind w:firstLine="0" w:firstLineChars="0"/>
              <w:jc w:val="center"/>
              <w:rPr>
                <w:rFonts w:cs="Times New Roman"/>
                <w:color w:val="auto"/>
                <w:sz w:val="20"/>
                <w:szCs w:val="20"/>
                <w:highlight w:val="none"/>
              </w:rPr>
            </w:pPr>
            <w:r>
              <w:rPr>
                <w:rFonts w:cs="Times New Roman"/>
                <w:color w:val="auto"/>
                <w:sz w:val="20"/>
                <w:szCs w:val="20"/>
                <w:highlight w:val="none"/>
              </w:rPr>
              <w:t xml:space="preserve">6.72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40" w:type="dxa"/>
            <w:vMerge w:val="continue"/>
            <w:vAlign w:val="center"/>
          </w:tcPr>
          <w:p>
            <w:pPr>
              <w:spacing w:line="240" w:lineRule="auto"/>
              <w:ind w:firstLine="0" w:firstLineChars="0"/>
              <w:jc w:val="center"/>
              <w:rPr>
                <w:rFonts w:cs="Times New Roman" w:eastAsiaTheme="minorEastAsia"/>
                <w:color w:val="auto"/>
                <w:sz w:val="20"/>
                <w:szCs w:val="20"/>
                <w:highlight w:val="none"/>
              </w:rPr>
            </w:pPr>
          </w:p>
        </w:tc>
        <w:tc>
          <w:tcPr>
            <w:tcW w:w="1605" w:type="dxa"/>
            <w:vMerge w:val="continue"/>
            <w:vAlign w:val="center"/>
          </w:tcPr>
          <w:p>
            <w:pPr>
              <w:spacing w:line="240" w:lineRule="auto"/>
              <w:ind w:firstLine="0" w:firstLineChars="0"/>
              <w:jc w:val="center"/>
              <w:rPr>
                <w:rFonts w:cs="Times New Roman" w:eastAsiaTheme="minorEastAsia"/>
                <w:color w:val="auto"/>
                <w:sz w:val="20"/>
                <w:szCs w:val="20"/>
                <w:highlight w:val="none"/>
              </w:rPr>
            </w:pPr>
          </w:p>
        </w:tc>
        <w:tc>
          <w:tcPr>
            <w:tcW w:w="1558" w:type="dxa"/>
            <w:vAlign w:val="center"/>
          </w:tcPr>
          <w:p>
            <w:pPr>
              <w:spacing w:line="240" w:lineRule="auto"/>
              <w:ind w:firstLine="0" w:firstLineChars="0"/>
              <w:jc w:val="center"/>
              <w:rPr>
                <w:rFonts w:cs="Times New Roman" w:eastAsiaTheme="minorEastAsia"/>
                <w:color w:val="auto"/>
                <w:sz w:val="20"/>
                <w:szCs w:val="20"/>
                <w:highlight w:val="none"/>
              </w:rPr>
            </w:pPr>
            <w:r>
              <w:rPr>
                <w:rFonts w:cs="Times New Roman" w:eastAsiaTheme="minorEastAsia"/>
                <w:color w:val="auto"/>
                <w:sz w:val="20"/>
                <w:szCs w:val="20"/>
                <w:highlight w:val="none"/>
              </w:rPr>
              <w:t>-5%</w:t>
            </w:r>
          </w:p>
        </w:tc>
        <w:tc>
          <w:tcPr>
            <w:tcW w:w="1558" w:type="dxa"/>
            <w:vAlign w:val="center"/>
          </w:tcPr>
          <w:p>
            <w:pPr>
              <w:adjustRightInd w:val="0"/>
              <w:snapToGrid w:val="0"/>
              <w:spacing w:line="240" w:lineRule="auto"/>
              <w:ind w:firstLine="0" w:firstLineChars="0"/>
              <w:jc w:val="center"/>
              <w:rPr>
                <w:rFonts w:cs="Times New Roman"/>
                <w:color w:val="auto"/>
                <w:sz w:val="20"/>
                <w:szCs w:val="20"/>
                <w:highlight w:val="none"/>
              </w:rPr>
            </w:pPr>
            <w:r>
              <w:rPr>
                <w:rFonts w:cs="Times New Roman"/>
                <w:color w:val="auto"/>
                <w:sz w:val="20"/>
                <w:szCs w:val="20"/>
                <w:highlight w:val="none"/>
              </w:rPr>
              <w:t>-5%</w:t>
            </w:r>
          </w:p>
        </w:tc>
        <w:tc>
          <w:tcPr>
            <w:tcW w:w="1558" w:type="dxa"/>
            <w:vAlign w:val="center"/>
          </w:tcPr>
          <w:p>
            <w:pPr>
              <w:adjustRightInd w:val="0"/>
              <w:snapToGrid w:val="0"/>
              <w:spacing w:line="240" w:lineRule="auto"/>
              <w:ind w:firstLine="0" w:firstLineChars="0"/>
              <w:jc w:val="center"/>
              <w:rPr>
                <w:rFonts w:cs="Times New Roman"/>
                <w:color w:val="auto"/>
                <w:sz w:val="20"/>
                <w:szCs w:val="20"/>
                <w:highlight w:val="none"/>
              </w:rPr>
            </w:pPr>
            <w:r>
              <w:rPr>
                <w:rFonts w:cs="Times New Roman"/>
                <w:color w:val="auto"/>
                <w:sz w:val="20"/>
                <w:szCs w:val="20"/>
                <w:highlight w:val="none"/>
              </w:rPr>
              <w:t>21.74%</w:t>
            </w:r>
          </w:p>
        </w:tc>
        <w:tc>
          <w:tcPr>
            <w:tcW w:w="1558" w:type="dxa"/>
            <w:vAlign w:val="center"/>
          </w:tcPr>
          <w:p>
            <w:pPr>
              <w:adjustRightInd w:val="0"/>
              <w:snapToGrid w:val="0"/>
              <w:spacing w:line="240" w:lineRule="auto"/>
              <w:ind w:firstLine="0" w:firstLineChars="0"/>
              <w:jc w:val="center"/>
              <w:rPr>
                <w:rFonts w:cs="Times New Roman"/>
                <w:color w:val="auto"/>
                <w:sz w:val="20"/>
                <w:szCs w:val="20"/>
                <w:highlight w:val="none"/>
              </w:rPr>
            </w:pPr>
            <w:r>
              <w:rPr>
                <w:rFonts w:cs="Times New Roman"/>
                <w:color w:val="auto"/>
                <w:sz w:val="20"/>
                <w:szCs w:val="20"/>
                <w:highlight w:val="none"/>
              </w:rPr>
              <w:t xml:space="preserve">6.36 </w:t>
            </w:r>
          </w:p>
        </w:tc>
      </w:tr>
    </w:tbl>
    <w:p>
      <w:pPr>
        <w:ind w:firstLine="480"/>
        <w:rPr>
          <w:rFonts w:cs="Times New Roman"/>
          <w:color w:val="auto"/>
          <w:highlight w:val="none"/>
        </w:rPr>
      </w:pPr>
      <w:r>
        <w:rPr>
          <w:rFonts w:cs="Times New Roman"/>
          <w:color w:val="auto"/>
          <w:highlight w:val="none"/>
        </w:rPr>
        <w:t>计算结果表明，经营收入的变化对工程效益最为敏感，其次是工程投资和经营成本。因此项目在建设和运营期间，要注重降低建设投资，减少运营费用，提高市场占有率，实现项目的预期效益。</w:t>
      </w:r>
    </w:p>
    <w:p>
      <w:pPr>
        <w:pStyle w:val="3"/>
        <w:rPr>
          <w:rFonts w:cs="Times New Roman"/>
          <w:color w:val="auto"/>
          <w:highlight w:val="none"/>
        </w:rPr>
      </w:pPr>
      <w:bookmarkStart w:id="171" w:name="_Toc47536346"/>
      <w:bookmarkStart w:id="172" w:name="_Toc1403"/>
      <w:r>
        <w:rPr>
          <w:rFonts w:cs="Times New Roman"/>
          <w:color w:val="auto"/>
          <w:highlight w:val="none"/>
        </w:rPr>
        <w:t>15.3评价结论</w:t>
      </w:r>
      <w:bookmarkEnd w:id="171"/>
      <w:bookmarkEnd w:id="172"/>
    </w:p>
    <w:p>
      <w:pPr>
        <w:ind w:firstLine="480"/>
        <w:rPr>
          <w:rFonts w:eastAsia="黑体" w:cs="Times New Roman"/>
          <w:bCs/>
          <w:color w:val="auto"/>
          <w:sz w:val="36"/>
          <w:szCs w:val="36"/>
          <w:highlight w:val="none"/>
        </w:rPr>
      </w:pPr>
      <w:r>
        <w:rPr>
          <w:rFonts w:cs="Times New Roman"/>
          <w:color w:val="auto"/>
          <w:highlight w:val="none"/>
        </w:rPr>
        <w:t>项目建成后，正常年实现全部经营收入</w:t>
      </w:r>
      <w:r>
        <w:rPr>
          <w:rFonts w:hint="eastAsia" w:cs="Times New Roman"/>
          <w:color w:val="auto"/>
          <w:highlight w:val="none"/>
        </w:rPr>
        <w:t>56102.40</w:t>
      </w:r>
      <w:r>
        <w:rPr>
          <w:rFonts w:cs="Times New Roman"/>
          <w:color w:val="auto"/>
          <w:highlight w:val="none"/>
        </w:rPr>
        <w:t>万元，利润总额</w:t>
      </w:r>
      <w:r>
        <w:rPr>
          <w:rFonts w:hint="eastAsia" w:cs="Times New Roman"/>
          <w:color w:val="auto"/>
          <w:highlight w:val="none"/>
        </w:rPr>
        <w:t>31806.64</w:t>
      </w:r>
      <w:r>
        <w:rPr>
          <w:rFonts w:cs="Times New Roman"/>
          <w:color w:val="auto"/>
          <w:highlight w:val="none"/>
        </w:rPr>
        <w:t>万元。财务分析表明，项目税后财务内部收益率</w:t>
      </w:r>
      <w:r>
        <w:rPr>
          <w:rFonts w:hint="eastAsia" w:cs="Times New Roman"/>
          <w:color w:val="auto"/>
          <w:highlight w:val="none"/>
        </w:rPr>
        <w:t>20.60%</w:t>
      </w:r>
      <w:r>
        <w:rPr>
          <w:rFonts w:cs="Times New Roman"/>
          <w:color w:val="auto"/>
          <w:highlight w:val="none"/>
        </w:rPr>
        <w:t>，投资回收期</w:t>
      </w:r>
      <w:r>
        <w:rPr>
          <w:rFonts w:hint="eastAsia" w:cs="Times New Roman"/>
          <w:color w:val="auto"/>
          <w:highlight w:val="none"/>
        </w:rPr>
        <w:t>6.54</w:t>
      </w:r>
      <w:r>
        <w:rPr>
          <w:rFonts w:cs="Times New Roman"/>
          <w:color w:val="auto"/>
          <w:highlight w:val="none"/>
        </w:rPr>
        <w:t>年，财务评价指标较好，敏感性分析结果表明，该项目具有较强的抗风险能力，因此，该项目是可行的。</w:t>
      </w:r>
    </w:p>
    <w:bookmarkEnd w:id="170"/>
    <w:p>
      <w:pPr>
        <w:ind w:firstLine="480"/>
        <w:rPr>
          <w:color w:val="auto"/>
          <w:highlight w:val="none"/>
        </w:rPr>
        <w:sectPr>
          <w:headerReference r:id="rId14" w:type="default"/>
          <w:footerReference r:id="rId15" w:type="default"/>
          <w:pgSz w:w="11906" w:h="16838"/>
          <w:pgMar w:top="1440" w:right="1800" w:bottom="1440" w:left="1800" w:header="851" w:footer="992" w:gutter="0"/>
          <w:cols w:space="425" w:num="1"/>
          <w:docGrid w:type="lines" w:linePitch="312" w:charSpace="0"/>
        </w:sectPr>
      </w:pPr>
    </w:p>
    <w:p>
      <w:pPr>
        <w:widowControl/>
        <w:spacing w:line="240" w:lineRule="auto"/>
        <w:ind w:firstLine="0" w:firstLineChars="0"/>
        <w:jc w:val="left"/>
        <w:rPr>
          <w:rFonts w:cs="Times New Roman"/>
          <w:b/>
          <w:bCs/>
          <w:color w:val="auto"/>
          <w:sz w:val="21"/>
          <w:szCs w:val="21"/>
          <w:highlight w:val="none"/>
        </w:rPr>
      </w:pPr>
      <w:r>
        <w:rPr>
          <w:rFonts w:cs="Times New Roman"/>
          <w:b/>
          <w:bCs/>
          <w:color w:val="auto"/>
          <w:highlight w:val="none"/>
        </w:rPr>
        <w:t xml:space="preserve">附表1                                             经营收入、税金及附加                                    </w:t>
      </w:r>
      <w:r>
        <w:rPr>
          <w:rFonts w:cs="Times New Roman"/>
          <w:b/>
          <w:bCs/>
          <w:color w:val="auto"/>
          <w:sz w:val="21"/>
          <w:szCs w:val="21"/>
          <w:highlight w:val="none"/>
        </w:rPr>
        <w:t>单位：万元</w:t>
      </w:r>
    </w:p>
    <w:tbl>
      <w:tblPr>
        <w:tblW w:w="4999" w:type="pct"/>
        <w:tblInd w:w="0" w:type="dxa"/>
        <w:shd w:val="clear"/>
        <w:tblLayout w:type="autofit"/>
        <w:tblCellMar>
          <w:top w:w="0" w:type="dxa"/>
          <w:left w:w="108" w:type="dxa"/>
          <w:bottom w:w="0" w:type="dxa"/>
          <w:right w:w="108" w:type="dxa"/>
        </w:tblCellMar>
      </w:tblPr>
      <w:tblGrid>
        <w:gridCol w:w="916"/>
        <w:gridCol w:w="951"/>
        <w:gridCol w:w="916"/>
        <w:gridCol w:w="916"/>
        <w:gridCol w:w="919"/>
        <w:gridCol w:w="1287"/>
        <w:gridCol w:w="916"/>
        <w:gridCol w:w="916"/>
        <w:gridCol w:w="916"/>
        <w:gridCol w:w="916"/>
        <w:gridCol w:w="917"/>
        <w:gridCol w:w="917"/>
        <w:gridCol w:w="917"/>
        <w:gridCol w:w="917"/>
        <w:gridCol w:w="934"/>
      </w:tblGrid>
      <w:tr>
        <w:tblPrEx>
          <w:shd w:val="clear"/>
          <w:tblCellMar>
            <w:top w:w="0" w:type="dxa"/>
            <w:left w:w="108" w:type="dxa"/>
            <w:bottom w:w="0" w:type="dxa"/>
            <w:right w:w="108" w:type="dxa"/>
          </w:tblCellMar>
        </w:tblPrEx>
        <w:trPr>
          <w:trHeight w:val="300" w:hRule="atLeast"/>
        </w:trPr>
        <w:tc>
          <w:tcPr>
            <w:tcW w:w="324" w:type="pct"/>
            <w:vMerge w:val="restart"/>
            <w:tcBorders>
              <w:top w:val="single" w:color="000000" w:sz="8" w:space="0"/>
              <w:left w:val="single" w:color="000000" w:sz="8" w:space="0"/>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324" w:type="pct"/>
            <w:vMerge w:val="restart"/>
            <w:tcBorders>
              <w:top w:val="single" w:color="000000" w:sz="8" w:space="0"/>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w:t>
            </w:r>
          </w:p>
        </w:tc>
        <w:tc>
          <w:tcPr>
            <w:tcW w:w="324" w:type="pct"/>
            <w:vMerge w:val="restart"/>
            <w:tcBorders>
              <w:top w:val="single" w:color="000000" w:sz="8" w:space="0"/>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合计</w:t>
            </w:r>
          </w:p>
        </w:tc>
        <w:tc>
          <w:tcPr>
            <w:tcW w:w="649" w:type="pct"/>
            <w:gridSpan w:val="2"/>
            <w:tcBorders>
              <w:top w:val="single" w:color="000000" w:sz="8" w:space="0"/>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建设期</w:t>
            </w:r>
          </w:p>
        </w:tc>
        <w:tc>
          <w:tcPr>
            <w:tcW w:w="3377" w:type="pct"/>
            <w:gridSpan w:val="10"/>
            <w:tcBorders>
              <w:top w:val="single" w:color="000000" w:sz="8" w:space="0"/>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经营期</w:t>
            </w:r>
          </w:p>
        </w:tc>
      </w:tr>
      <w:tr>
        <w:tblPrEx>
          <w:shd w:val="clear"/>
          <w:tblCellMar>
            <w:top w:w="0" w:type="dxa"/>
            <w:left w:w="108" w:type="dxa"/>
            <w:bottom w:w="0" w:type="dxa"/>
            <w:right w:w="108" w:type="dxa"/>
          </w:tblCellMar>
        </w:tblPrEx>
        <w:trPr>
          <w:trHeight w:val="285" w:hRule="atLeast"/>
        </w:trPr>
        <w:tc>
          <w:tcPr>
            <w:tcW w:w="324" w:type="pct"/>
            <w:vMerge w:val="continue"/>
            <w:tcBorders>
              <w:top w:val="single" w:color="000000" w:sz="8" w:space="0"/>
              <w:left w:val="single" w:color="000000" w:sz="8" w:space="0"/>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18"/>
                <w:szCs w:val="18"/>
                <w:u w:val="none"/>
              </w:rPr>
            </w:pPr>
          </w:p>
        </w:tc>
        <w:tc>
          <w:tcPr>
            <w:tcW w:w="324" w:type="pct"/>
            <w:vMerge w:val="continue"/>
            <w:tcBorders>
              <w:top w:val="single" w:color="000000" w:sz="8" w:space="0"/>
              <w:left w:val="nil"/>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18"/>
                <w:szCs w:val="18"/>
                <w:u w:val="none"/>
              </w:rPr>
            </w:pPr>
          </w:p>
        </w:tc>
        <w:tc>
          <w:tcPr>
            <w:tcW w:w="324" w:type="pct"/>
            <w:vMerge w:val="continue"/>
            <w:tcBorders>
              <w:top w:val="single" w:color="000000" w:sz="8" w:space="0"/>
              <w:left w:val="nil"/>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18"/>
                <w:szCs w:val="18"/>
                <w:u w:val="none"/>
              </w:rPr>
            </w:pP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w:t>
            </w:r>
          </w:p>
        </w:tc>
        <w:tc>
          <w:tcPr>
            <w:tcW w:w="455"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6</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7</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8</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9</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w:t>
            </w:r>
          </w:p>
        </w:tc>
        <w:tc>
          <w:tcPr>
            <w:tcW w:w="325"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12</w:t>
            </w:r>
          </w:p>
        </w:tc>
      </w:tr>
      <w:tr>
        <w:tblPrEx>
          <w:shd w:val="clear"/>
          <w:tblCellMar>
            <w:top w:w="0" w:type="dxa"/>
            <w:left w:w="108" w:type="dxa"/>
            <w:bottom w:w="0" w:type="dxa"/>
            <w:right w:w="108" w:type="dxa"/>
          </w:tblCellMar>
        </w:tblPrEx>
        <w:trPr>
          <w:trHeight w:val="285" w:hRule="atLeast"/>
        </w:trPr>
        <w:tc>
          <w:tcPr>
            <w:tcW w:w="324" w:type="pct"/>
            <w:tcBorders>
              <w:top w:val="nil"/>
              <w:left w:val="single" w:color="000000" w:sz="8" w:space="0"/>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营业收入</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5610240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c>
          <w:tcPr>
            <w:tcW w:w="455"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561024</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561024</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561024</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561024</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561024</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561024</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561024</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561024</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561024</w:t>
            </w:r>
          </w:p>
        </w:tc>
        <w:tc>
          <w:tcPr>
            <w:tcW w:w="325"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561024</w:t>
            </w:r>
          </w:p>
        </w:tc>
      </w:tr>
      <w:tr>
        <w:tblPrEx>
          <w:tblCellMar>
            <w:top w:w="0" w:type="dxa"/>
            <w:left w:w="108" w:type="dxa"/>
            <w:bottom w:w="0" w:type="dxa"/>
            <w:right w:w="108" w:type="dxa"/>
          </w:tblCellMar>
        </w:tblPrEx>
        <w:trPr>
          <w:trHeight w:val="285" w:hRule="atLeast"/>
        </w:trPr>
        <w:tc>
          <w:tcPr>
            <w:tcW w:w="324" w:type="pct"/>
            <w:tcBorders>
              <w:top w:val="nil"/>
              <w:left w:val="single" w:color="000000" w:sz="8" w:space="0"/>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工业用水</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2050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455"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205</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205</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205</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205</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205</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205</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205</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205</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205</w:t>
            </w:r>
          </w:p>
        </w:tc>
        <w:tc>
          <w:tcPr>
            <w:tcW w:w="325"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205</w:t>
            </w:r>
          </w:p>
        </w:tc>
      </w:tr>
      <w:tr>
        <w:tblPrEx>
          <w:shd w:val="clear"/>
          <w:tblCellMar>
            <w:top w:w="0" w:type="dxa"/>
            <w:left w:w="108" w:type="dxa"/>
            <w:bottom w:w="0" w:type="dxa"/>
            <w:right w:w="108" w:type="dxa"/>
          </w:tblCellMar>
        </w:tblPrEx>
        <w:trPr>
          <w:trHeight w:val="510" w:hRule="atLeast"/>
        </w:trPr>
        <w:tc>
          <w:tcPr>
            <w:tcW w:w="324" w:type="pct"/>
            <w:tcBorders>
              <w:top w:val="nil"/>
              <w:left w:val="single" w:color="000000" w:sz="8" w:space="0"/>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单价（元</w:t>
            </w:r>
            <w:r>
              <w:rPr>
                <w:rFonts w:hint="default" w:ascii="Times New Roman" w:hAnsi="Times New Roman" w:eastAsia="宋体" w:cs="Times New Roman"/>
                <w:i w:val="0"/>
                <w:iCs w:val="0"/>
                <w:color w:val="000000"/>
                <w:kern w:val="0"/>
                <w:sz w:val="18"/>
                <w:szCs w:val="18"/>
                <w:u w:val="none"/>
                <w:bdr w:val="none" w:color="auto" w:sz="0" w:space="0"/>
                <w:lang w:val="en-US" w:eastAsia="zh-CN" w:bidi="ar"/>
              </w:rPr>
              <w:t>/m</w:t>
            </w:r>
            <w:r>
              <w:rPr>
                <w:rFonts w:hint="eastAsia" w:ascii="宋体" w:hAnsi="宋体" w:eastAsia="宋体" w:cs="宋体"/>
                <w:i w:val="0"/>
                <w:iCs w:val="0"/>
                <w:color w:val="000000"/>
                <w:kern w:val="0"/>
                <w:sz w:val="18"/>
                <w:szCs w:val="18"/>
                <w:u w:val="none"/>
                <w:bdr w:val="none" w:color="auto" w:sz="0" w:space="0"/>
                <w:lang w:val="en-US" w:eastAsia="zh-CN" w:bidi="ar"/>
              </w:rPr>
              <w:t>³）</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455"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4.1</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4.1</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4.1</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4.1</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4.1</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4.1</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4.1</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4.1</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4.1</w:t>
            </w:r>
          </w:p>
        </w:tc>
        <w:tc>
          <w:tcPr>
            <w:tcW w:w="325"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4.1</w:t>
            </w:r>
          </w:p>
        </w:tc>
      </w:tr>
      <w:tr>
        <w:tblPrEx>
          <w:tblCellMar>
            <w:top w:w="0" w:type="dxa"/>
            <w:left w:w="108" w:type="dxa"/>
            <w:bottom w:w="0" w:type="dxa"/>
            <w:right w:w="108" w:type="dxa"/>
          </w:tblCellMar>
        </w:tblPrEx>
        <w:trPr>
          <w:trHeight w:val="495" w:hRule="atLeast"/>
        </w:trPr>
        <w:tc>
          <w:tcPr>
            <w:tcW w:w="324" w:type="pct"/>
            <w:tcBorders>
              <w:top w:val="nil"/>
              <w:left w:val="single" w:color="000000" w:sz="8" w:space="0"/>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数量（万立方米）</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455"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500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500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500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500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500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500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500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500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500</w:t>
            </w:r>
          </w:p>
        </w:tc>
        <w:tc>
          <w:tcPr>
            <w:tcW w:w="325"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500</w:t>
            </w:r>
          </w:p>
        </w:tc>
      </w:tr>
      <w:tr>
        <w:tblPrEx>
          <w:shd w:val="clear"/>
          <w:tblCellMar>
            <w:top w:w="0" w:type="dxa"/>
            <w:left w:w="108" w:type="dxa"/>
            <w:bottom w:w="0" w:type="dxa"/>
            <w:right w:w="108" w:type="dxa"/>
          </w:tblCellMar>
        </w:tblPrEx>
        <w:trPr>
          <w:trHeight w:val="270" w:hRule="atLeast"/>
        </w:trPr>
        <w:tc>
          <w:tcPr>
            <w:tcW w:w="324" w:type="pct"/>
            <w:tcBorders>
              <w:top w:val="nil"/>
              <w:left w:val="single" w:color="000000" w:sz="8" w:space="0"/>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1.2</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生活供水</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13411.3</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455"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1341.13</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1341.13</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1341.13</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1341.13</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1341.13</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1341.13</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1341.13</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1341.13</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1341.13</w:t>
            </w:r>
          </w:p>
        </w:tc>
        <w:tc>
          <w:tcPr>
            <w:tcW w:w="325"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1341.13</w:t>
            </w:r>
          </w:p>
        </w:tc>
      </w:tr>
      <w:tr>
        <w:tblPrEx>
          <w:shd w:val="clear"/>
          <w:tblCellMar>
            <w:top w:w="0" w:type="dxa"/>
            <w:left w:w="108" w:type="dxa"/>
            <w:bottom w:w="0" w:type="dxa"/>
            <w:right w:w="108" w:type="dxa"/>
          </w:tblCellMar>
        </w:tblPrEx>
        <w:trPr>
          <w:trHeight w:val="510" w:hRule="atLeast"/>
        </w:trPr>
        <w:tc>
          <w:tcPr>
            <w:tcW w:w="324" w:type="pct"/>
            <w:tcBorders>
              <w:top w:val="nil"/>
              <w:left w:val="single" w:color="000000" w:sz="8" w:space="0"/>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单价（元</w:t>
            </w:r>
            <w:r>
              <w:rPr>
                <w:rFonts w:hint="default" w:ascii="Times New Roman" w:hAnsi="Times New Roman" w:eastAsia="宋体" w:cs="Times New Roman"/>
                <w:i w:val="0"/>
                <w:iCs w:val="0"/>
                <w:color w:val="000000"/>
                <w:kern w:val="0"/>
                <w:sz w:val="18"/>
                <w:szCs w:val="18"/>
                <w:u w:val="none"/>
                <w:bdr w:val="none" w:color="auto" w:sz="0" w:space="0"/>
                <w:lang w:val="en-US" w:eastAsia="zh-CN" w:bidi="ar"/>
              </w:rPr>
              <w:t>/m</w:t>
            </w:r>
            <w:r>
              <w:rPr>
                <w:rFonts w:hint="eastAsia" w:ascii="宋体" w:hAnsi="宋体" w:eastAsia="宋体" w:cs="宋体"/>
                <w:i w:val="0"/>
                <w:iCs w:val="0"/>
                <w:color w:val="000000"/>
                <w:kern w:val="0"/>
                <w:sz w:val="18"/>
                <w:szCs w:val="18"/>
                <w:u w:val="none"/>
                <w:bdr w:val="none" w:color="auto" w:sz="0" w:space="0"/>
                <w:lang w:val="en-US" w:eastAsia="zh-CN" w:bidi="ar"/>
              </w:rPr>
              <w:t>³）</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455"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2.1</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2.1</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2.1</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2.1</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2.1</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2.1</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2.1</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2.1</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2.1</w:t>
            </w:r>
          </w:p>
        </w:tc>
        <w:tc>
          <w:tcPr>
            <w:tcW w:w="325"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2.1</w:t>
            </w:r>
          </w:p>
        </w:tc>
      </w:tr>
      <w:tr>
        <w:tblPrEx>
          <w:tblCellMar>
            <w:top w:w="0" w:type="dxa"/>
            <w:left w:w="108" w:type="dxa"/>
            <w:bottom w:w="0" w:type="dxa"/>
            <w:right w:w="108" w:type="dxa"/>
          </w:tblCellMar>
        </w:tblPrEx>
        <w:trPr>
          <w:trHeight w:val="495" w:hRule="atLeast"/>
        </w:trPr>
        <w:tc>
          <w:tcPr>
            <w:tcW w:w="324" w:type="pct"/>
            <w:tcBorders>
              <w:top w:val="nil"/>
              <w:left w:val="single" w:color="000000" w:sz="8" w:space="0"/>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数量（万立方米）</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455"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583.1</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583.1</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583.1</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583.1</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583.1</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583.1</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583.1</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583.1</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583.1</w:t>
            </w:r>
          </w:p>
        </w:tc>
        <w:tc>
          <w:tcPr>
            <w:tcW w:w="325"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583.1</w:t>
            </w:r>
          </w:p>
        </w:tc>
      </w:tr>
      <w:tr>
        <w:tblPrEx>
          <w:shd w:val="clear"/>
          <w:tblCellMar>
            <w:top w:w="0" w:type="dxa"/>
            <w:left w:w="108" w:type="dxa"/>
            <w:bottom w:w="0" w:type="dxa"/>
            <w:right w:w="108" w:type="dxa"/>
          </w:tblCellMar>
        </w:tblPrEx>
        <w:trPr>
          <w:trHeight w:val="285" w:hRule="atLeast"/>
        </w:trPr>
        <w:tc>
          <w:tcPr>
            <w:tcW w:w="324" w:type="pct"/>
            <w:tcBorders>
              <w:top w:val="nil"/>
              <w:left w:val="single" w:color="000000" w:sz="8" w:space="0"/>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1.3</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砂石收入</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189240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c>
          <w:tcPr>
            <w:tcW w:w="455"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18924</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18924</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18924</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18924</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18924</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18924</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18924</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18924</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18924</w:t>
            </w:r>
          </w:p>
        </w:tc>
        <w:tc>
          <w:tcPr>
            <w:tcW w:w="325"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18924</w:t>
            </w:r>
          </w:p>
        </w:tc>
      </w:tr>
      <w:tr>
        <w:tblPrEx>
          <w:shd w:val="clear"/>
          <w:tblCellMar>
            <w:top w:w="0" w:type="dxa"/>
            <w:left w:w="108" w:type="dxa"/>
            <w:bottom w:w="0" w:type="dxa"/>
            <w:right w:w="108" w:type="dxa"/>
          </w:tblCellMar>
        </w:tblPrEx>
        <w:trPr>
          <w:trHeight w:val="495" w:hRule="atLeast"/>
        </w:trPr>
        <w:tc>
          <w:tcPr>
            <w:tcW w:w="324" w:type="pct"/>
            <w:tcBorders>
              <w:top w:val="nil"/>
              <w:left w:val="single" w:color="000000" w:sz="8" w:space="0"/>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1.3.1</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清淤砂石收入</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48000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455"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4800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4800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4800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4800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4800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4800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4800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4800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4800</w:t>
            </w:r>
          </w:p>
        </w:tc>
        <w:tc>
          <w:tcPr>
            <w:tcW w:w="325"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4800</w:t>
            </w:r>
          </w:p>
        </w:tc>
      </w:tr>
      <w:tr>
        <w:tblPrEx>
          <w:shd w:val="clear"/>
          <w:tblCellMar>
            <w:top w:w="0" w:type="dxa"/>
            <w:left w:w="108" w:type="dxa"/>
            <w:bottom w:w="0" w:type="dxa"/>
            <w:right w:w="108" w:type="dxa"/>
          </w:tblCellMar>
        </w:tblPrEx>
        <w:trPr>
          <w:trHeight w:val="510" w:hRule="atLeast"/>
        </w:trPr>
        <w:tc>
          <w:tcPr>
            <w:tcW w:w="324" w:type="pct"/>
            <w:tcBorders>
              <w:top w:val="nil"/>
              <w:left w:val="single" w:color="000000" w:sz="8" w:space="0"/>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单价（元</w:t>
            </w:r>
            <w:r>
              <w:rPr>
                <w:rFonts w:hint="default" w:ascii="Times New Roman" w:hAnsi="Times New Roman" w:eastAsia="宋体" w:cs="Times New Roman"/>
                <w:i w:val="0"/>
                <w:iCs w:val="0"/>
                <w:color w:val="000000"/>
                <w:kern w:val="0"/>
                <w:sz w:val="18"/>
                <w:szCs w:val="18"/>
                <w:u w:val="none"/>
                <w:bdr w:val="none" w:color="auto" w:sz="0" w:space="0"/>
                <w:lang w:val="en-US" w:eastAsia="zh-CN" w:bidi="ar"/>
              </w:rPr>
              <w:t>/m</w:t>
            </w:r>
            <w:r>
              <w:rPr>
                <w:rFonts w:hint="eastAsia" w:ascii="宋体" w:hAnsi="宋体" w:eastAsia="宋体" w:cs="宋体"/>
                <w:i w:val="0"/>
                <w:iCs w:val="0"/>
                <w:color w:val="000000"/>
                <w:kern w:val="0"/>
                <w:sz w:val="18"/>
                <w:szCs w:val="18"/>
                <w:u w:val="none"/>
                <w:bdr w:val="none" w:color="auto" w:sz="0" w:space="0"/>
                <w:lang w:val="en-US" w:eastAsia="zh-CN" w:bidi="ar"/>
              </w:rPr>
              <w:t>³）</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455"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120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120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120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120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120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120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120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120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120</w:t>
            </w:r>
          </w:p>
        </w:tc>
        <w:tc>
          <w:tcPr>
            <w:tcW w:w="325"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120</w:t>
            </w:r>
          </w:p>
        </w:tc>
      </w:tr>
      <w:tr>
        <w:tblPrEx>
          <w:shd w:val="clear"/>
          <w:tblCellMar>
            <w:top w:w="0" w:type="dxa"/>
            <w:left w:w="108" w:type="dxa"/>
            <w:bottom w:w="0" w:type="dxa"/>
            <w:right w:w="108" w:type="dxa"/>
          </w:tblCellMar>
        </w:tblPrEx>
        <w:trPr>
          <w:trHeight w:val="495" w:hRule="atLeast"/>
        </w:trPr>
        <w:tc>
          <w:tcPr>
            <w:tcW w:w="324" w:type="pct"/>
            <w:tcBorders>
              <w:top w:val="nil"/>
              <w:left w:val="single" w:color="000000" w:sz="8" w:space="0"/>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数量（万立方米）</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455"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150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150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150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150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150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150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150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150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150</w:t>
            </w:r>
          </w:p>
        </w:tc>
        <w:tc>
          <w:tcPr>
            <w:tcW w:w="325"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150</w:t>
            </w:r>
          </w:p>
        </w:tc>
      </w:tr>
      <w:tr>
        <w:tblPrEx>
          <w:shd w:val="clear"/>
          <w:tblCellMar>
            <w:top w:w="0" w:type="dxa"/>
            <w:left w:w="108" w:type="dxa"/>
            <w:bottom w:w="0" w:type="dxa"/>
            <w:right w:w="108" w:type="dxa"/>
          </w:tblCellMar>
        </w:tblPrEx>
        <w:trPr>
          <w:trHeight w:val="495" w:hRule="atLeast"/>
        </w:trPr>
        <w:tc>
          <w:tcPr>
            <w:tcW w:w="324" w:type="pct"/>
            <w:tcBorders>
              <w:top w:val="nil"/>
              <w:left w:val="single" w:color="000000" w:sz="8" w:space="0"/>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1.3.2</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运营期砂石收入</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141240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455"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14124</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14124</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14124</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14124</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14124</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14124</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14124</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14124</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14124</w:t>
            </w:r>
          </w:p>
        </w:tc>
        <w:tc>
          <w:tcPr>
            <w:tcW w:w="325"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14124</w:t>
            </w:r>
          </w:p>
        </w:tc>
      </w:tr>
      <w:tr>
        <w:tblPrEx>
          <w:shd w:val="clear"/>
          <w:tblCellMar>
            <w:top w:w="0" w:type="dxa"/>
            <w:left w:w="108" w:type="dxa"/>
            <w:bottom w:w="0" w:type="dxa"/>
            <w:right w:w="108" w:type="dxa"/>
          </w:tblCellMar>
        </w:tblPrEx>
        <w:trPr>
          <w:trHeight w:val="510" w:hRule="atLeast"/>
        </w:trPr>
        <w:tc>
          <w:tcPr>
            <w:tcW w:w="324" w:type="pct"/>
            <w:tcBorders>
              <w:top w:val="nil"/>
              <w:left w:val="single" w:color="000000" w:sz="8" w:space="0"/>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单价（元</w:t>
            </w:r>
            <w:r>
              <w:rPr>
                <w:rFonts w:hint="default" w:ascii="Times New Roman" w:hAnsi="Times New Roman" w:eastAsia="宋体" w:cs="Times New Roman"/>
                <w:i w:val="0"/>
                <w:iCs w:val="0"/>
                <w:color w:val="000000"/>
                <w:kern w:val="0"/>
                <w:sz w:val="18"/>
                <w:szCs w:val="18"/>
                <w:u w:val="none"/>
                <w:bdr w:val="none" w:color="auto" w:sz="0" w:space="0"/>
                <w:lang w:val="en-US" w:eastAsia="zh-CN" w:bidi="ar"/>
              </w:rPr>
              <w:t>/m</w:t>
            </w:r>
            <w:r>
              <w:rPr>
                <w:rFonts w:hint="eastAsia" w:ascii="宋体" w:hAnsi="宋体" w:eastAsia="宋体" w:cs="宋体"/>
                <w:i w:val="0"/>
                <w:iCs w:val="0"/>
                <w:color w:val="000000"/>
                <w:kern w:val="0"/>
                <w:sz w:val="18"/>
                <w:szCs w:val="18"/>
                <w:u w:val="none"/>
                <w:bdr w:val="none" w:color="auto" w:sz="0" w:space="0"/>
                <w:lang w:val="en-US" w:eastAsia="zh-CN" w:bidi="ar"/>
              </w:rPr>
              <w:t>³）</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455"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120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120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120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120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120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120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120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120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120</w:t>
            </w:r>
          </w:p>
        </w:tc>
        <w:tc>
          <w:tcPr>
            <w:tcW w:w="325"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120</w:t>
            </w:r>
          </w:p>
        </w:tc>
      </w:tr>
      <w:tr>
        <w:tblPrEx>
          <w:shd w:val="clear"/>
          <w:tblCellMar>
            <w:top w:w="0" w:type="dxa"/>
            <w:left w:w="108" w:type="dxa"/>
            <w:bottom w:w="0" w:type="dxa"/>
            <w:right w:w="108" w:type="dxa"/>
          </w:tblCellMar>
        </w:tblPrEx>
        <w:trPr>
          <w:trHeight w:val="495" w:hRule="atLeast"/>
        </w:trPr>
        <w:tc>
          <w:tcPr>
            <w:tcW w:w="324" w:type="pct"/>
            <w:tcBorders>
              <w:top w:val="nil"/>
              <w:left w:val="single" w:color="000000" w:sz="8" w:space="0"/>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数量（万立方米）</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455"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117.7</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117.7</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117.7</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117.7</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117.7</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117.7</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117.7</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117.7</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117.7</w:t>
            </w:r>
          </w:p>
        </w:tc>
        <w:tc>
          <w:tcPr>
            <w:tcW w:w="325"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117.7</w:t>
            </w:r>
          </w:p>
        </w:tc>
      </w:tr>
      <w:tr>
        <w:tblPrEx>
          <w:shd w:val="clear"/>
          <w:tblCellMar>
            <w:top w:w="0" w:type="dxa"/>
            <w:left w:w="108" w:type="dxa"/>
            <w:bottom w:w="0" w:type="dxa"/>
            <w:right w:w="108" w:type="dxa"/>
          </w:tblCellMar>
        </w:tblPrEx>
        <w:trPr>
          <w:trHeight w:val="285" w:hRule="atLeast"/>
        </w:trPr>
        <w:tc>
          <w:tcPr>
            <w:tcW w:w="324" w:type="pct"/>
            <w:tcBorders>
              <w:top w:val="nil"/>
              <w:left w:val="single" w:color="000000" w:sz="8" w:space="0"/>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增值税</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12900.53</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c>
          <w:tcPr>
            <w:tcW w:w="455"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1290.053</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1290.053</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1290.053</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1290.053</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1290.053</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1290.053</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1290.053</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1290.053</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1290.053</w:t>
            </w:r>
          </w:p>
        </w:tc>
        <w:tc>
          <w:tcPr>
            <w:tcW w:w="325"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1290.053</w:t>
            </w:r>
          </w:p>
        </w:tc>
      </w:tr>
      <w:tr>
        <w:tblPrEx>
          <w:shd w:val="clear"/>
          <w:tblCellMar>
            <w:top w:w="0" w:type="dxa"/>
            <w:left w:w="108" w:type="dxa"/>
            <w:bottom w:w="0" w:type="dxa"/>
            <w:right w:w="108" w:type="dxa"/>
          </w:tblCellMar>
        </w:tblPrEx>
        <w:trPr>
          <w:trHeight w:val="285" w:hRule="atLeast"/>
        </w:trPr>
        <w:tc>
          <w:tcPr>
            <w:tcW w:w="324" w:type="pct"/>
            <w:tcBorders>
              <w:top w:val="nil"/>
              <w:left w:val="single" w:color="000000" w:sz="8" w:space="0"/>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2.1</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销项税额</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24313.93</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c>
          <w:tcPr>
            <w:tcW w:w="455"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2431.393</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2431.393</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2431.393</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2431.393</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2431.393</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2431.393</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2431.393</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2431.393</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2431.393</w:t>
            </w:r>
          </w:p>
        </w:tc>
        <w:tc>
          <w:tcPr>
            <w:tcW w:w="325"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2431.393</w:t>
            </w:r>
          </w:p>
        </w:tc>
      </w:tr>
      <w:tr>
        <w:tblPrEx>
          <w:shd w:val="clear"/>
          <w:tblCellMar>
            <w:top w:w="0" w:type="dxa"/>
            <w:left w:w="108" w:type="dxa"/>
            <w:bottom w:w="0" w:type="dxa"/>
            <w:right w:w="108" w:type="dxa"/>
          </w:tblCellMar>
        </w:tblPrEx>
        <w:trPr>
          <w:trHeight w:val="285" w:hRule="atLeast"/>
        </w:trPr>
        <w:tc>
          <w:tcPr>
            <w:tcW w:w="324" w:type="pct"/>
            <w:tcBorders>
              <w:top w:val="single" w:color="000000" w:sz="8" w:space="0"/>
              <w:left w:val="single" w:color="000000" w:sz="8" w:space="0"/>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2.2</w:t>
            </w:r>
          </w:p>
        </w:tc>
        <w:tc>
          <w:tcPr>
            <w:tcW w:w="324" w:type="pct"/>
            <w:tcBorders>
              <w:top w:val="single" w:color="000000" w:sz="8" w:space="0"/>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进项税额</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11413.4</w:t>
            </w:r>
          </w:p>
        </w:tc>
        <w:tc>
          <w:tcPr>
            <w:tcW w:w="324" w:type="pct"/>
            <w:tcBorders>
              <w:top w:val="single" w:color="000000" w:sz="8" w:space="0"/>
              <w:left w:val="nil"/>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24" w:type="pct"/>
            <w:tcBorders>
              <w:top w:val="single" w:color="000000" w:sz="8" w:space="0"/>
              <w:left w:val="nil"/>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455" w:type="pct"/>
            <w:tcBorders>
              <w:top w:val="single" w:color="000000" w:sz="8" w:space="0"/>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1141.34</w:t>
            </w:r>
          </w:p>
        </w:tc>
        <w:tc>
          <w:tcPr>
            <w:tcW w:w="324" w:type="pct"/>
            <w:tcBorders>
              <w:top w:val="single" w:color="000000" w:sz="8" w:space="0"/>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1141.34</w:t>
            </w:r>
          </w:p>
        </w:tc>
        <w:tc>
          <w:tcPr>
            <w:tcW w:w="324" w:type="pct"/>
            <w:tcBorders>
              <w:top w:val="single" w:color="000000" w:sz="8" w:space="0"/>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1141.34</w:t>
            </w:r>
          </w:p>
        </w:tc>
        <w:tc>
          <w:tcPr>
            <w:tcW w:w="324" w:type="pct"/>
            <w:tcBorders>
              <w:top w:val="single" w:color="000000" w:sz="8" w:space="0"/>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1141.34</w:t>
            </w:r>
          </w:p>
        </w:tc>
        <w:tc>
          <w:tcPr>
            <w:tcW w:w="324" w:type="pct"/>
            <w:tcBorders>
              <w:top w:val="single" w:color="000000" w:sz="8" w:space="0"/>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1141.34</w:t>
            </w:r>
          </w:p>
        </w:tc>
        <w:tc>
          <w:tcPr>
            <w:tcW w:w="324" w:type="pct"/>
            <w:tcBorders>
              <w:top w:val="single" w:color="000000" w:sz="8" w:space="0"/>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1141.34</w:t>
            </w:r>
          </w:p>
        </w:tc>
        <w:tc>
          <w:tcPr>
            <w:tcW w:w="324" w:type="pct"/>
            <w:tcBorders>
              <w:top w:val="single" w:color="000000" w:sz="8" w:space="0"/>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1141.34</w:t>
            </w:r>
          </w:p>
        </w:tc>
        <w:tc>
          <w:tcPr>
            <w:tcW w:w="324" w:type="pct"/>
            <w:tcBorders>
              <w:top w:val="single" w:color="000000" w:sz="8" w:space="0"/>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1141.34</w:t>
            </w:r>
          </w:p>
        </w:tc>
        <w:tc>
          <w:tcPr>
            <w:tcW w:w="324" w:type="pct"/>
            <w:tcBorders>
              <w:top w:val="single" w:color="000000" w:sz="8" w:space="0"/>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1141.34</w:t>
            </w:r>
          </w:p>
        </w:tc>
        <w:tc>
          <w:tcPr>
            <w:tcW w:w="325" w:type="pct"/>
            <w:tcBorders>
              <w:top w:val="single" w:color="000000" w:sz="8" w:space="0"/>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1141.34</w:t>
            </w:r>
          </w:p>
        </w:tc>
      </w:tr>
      <w:tr>
        <w:tblPrEx>
          <w:tblCellMar>
            <w:top w:w="0" w:type="dxa"/>
            <w:left w:w="108" w:type="dxa"/>
            <w:bottom w:w="0" w:type="dxa"/>
            <w:right w:w="108" w:type="dxa"/>
          </w:tblCellMar>
        </w:tblPrEx>
        <w:trPr>
          <w:trHeight w:val="495" w:hRule="atLeast"/>
        </w:trPr>
        <w:tc>
          <w:tcPr>
            <w:tcW w:w="324" w:type="pct"/>
            <w:tcBorders>
              <w:top w:val="nil"/>
              <w:left w:val="single" w:color="000000" w:sz="8" w:space="0"/>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相关税金及附加</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3212.1</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455"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321.21</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321.21</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321.21</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321.21</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321.21</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321.21</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321.21</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321.21</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321.21</w:t>
            </w:r>
          </w:p>
        </w:tc>
        <w:tc>
          <w:tcPr>
            <w:tcW w:w="325"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321.21</w:t>
            </w:r>
          </w:p>
        </w:tc>
      </w:tr>
      <w:tr>
        <w:tblPrEx>
          <w:shd w:val="clear"/>
          <w:tblCellMar>
            <w:top w:w="0" w:type="dxa"/>
            <w:left w:w="108" w:type="dxa"/>
            <w:bottom w:w="0" w:type="dxa"/>
            <w:right w:w="108" w:type="dxa"/>
          </w:tblCellMar>
        </w:tblPrEx>
        <w:trPr>
          <w:trHeight w:val="510" w:hRule="atLeast"/>
        </w:trPr>
        <w:tc>
          <w:tcPr>
            <w:tcW w:w="324" w:type="pct"/>
            <w:tcBorders>
              <w:top w:val="nil"/>
              <w:left w:val="single" w:color="000000" w:sz="8" w:space="0"/>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3.1</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城市维护建设税</w:t>
            </w:r>
            <w:r>
              <w:rPr>
                <w:rFonts w:hint="default" w:ascii="Times New Roman" w:hAnsi="Times New Roman" w:eastAsia="宋体" w:cs="Times New Roman"/>
                <w:i w:val="0"/>
                <w:iCs w:val="0"/>
                <w:color w:val="000000"/>
                <w:kern w:val="0"/>
                <w:sz w:val="18"/>
                <w:szCs w:val="18"/>
                <w:u w:val="none"/>
                <w:bdr w:val="none" w:color="auto" w:sz="0" w:space="0"/>
                <w:lang w:val="en-US" w:eastAsia="zh-CN" w:bidi="ar"/>
              </w:rPr>
              <w:t>(7%)</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903.0371</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455"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 xml:space="preserve">90.30 </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 xml:space="preserve">90.30 </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 xml:space="preserve">90.30 </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 xml:space="preserve">90.30 </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 xml:space="preserve">90.30 </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 xml:space="preserve">90.30 </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 xml:space="preserve">90.30 </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 xml:space="preserve">90.30 </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 xml:space="preserve">90.30 </w:t>
            </w:r>
          </w:p>
        </w:tc>
        <w:tc>
          <w:tcPr>
            <w:tcW w:w="325"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 xml:space="preserve">90.30 </w:t>
            </w:r>
          </w:p>
        </w:tc>
      </w:tr>
      <w:tr>
        <w:tblPrEx>
          <w:tblCellMar>
            <w:top w:w="0" w:type="dxa"/>
            <w:left w:w="108" w:type="dxa"/>
            <w:bottom w:w="0" w:type="dxa"/>
            <w:right w:w="108" w:type="dxa"/>
          </w:tblCellMar>
        </w:tblPrEx>
        <w:trPr>
          <w:trHeight w:val="510" w:hRule="atLeast"/>
        </w:trPr>
        <w:tc>
          <w:tcPr>
            <w:tcW w:w="324" w:type="pct"/>
            <w:tcBorders>
              <w:top w:val="nil"/>
              <w:left w:val="single" w:color="000000" w:sz="8" w:space="0"/>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3.2</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教育费附加（</w:t>
            </w:r>
            <w:r>
              <w:rPr>
                <w:rFonts w:hint="default" w:ascii="Times New Roman" w:hAnsi="Times New Roman" w:eastAsia="宋体" w:cs="Times New Roman"/>
                <w:i w:val="0"/>
                <w:iCs w:val="0"/>
                <w:color w:val="000000"/>
                <w:kern w:val="0"/>
                <w:sz w:val="18"/>
                <w:szCs w:val="18"/>
                <w:u w:val="none"/>
                <w:bdr w:val="none" w:color="auto" w:sz="0" w:space="0"/>
                <w:lang w:val="en-US" w:eastAsia="zh-CN" w:bidi="ar"/>
              </w:rPr>
              <w:t>3%</w:t>
            </w: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387.0159</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455"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 xml:space="preserve">38.70 </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 xml:space="preserve">38.70 </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 xml:space="preserve">38.70 </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 xml:space="preserve">38.70 </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 xml:space="preserve">38.70 </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 xml:space="preserve">38.70 </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 xml:space="preserve">38.70 </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 xml:space="preserve">38.70 </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 xml:space="preserve">38.70 </w:t>
            </w:r>
          </w:p>
        </w:tc>
        <w:tc>
          <w:tcPr>
            <w:tcW w:w="325"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 xml:space="preserve">38.70 </w:t>
            </w:r>
          </w:p>
        </w:tc>
      </w:tr>
      <w:tr>
        <w:tblPrEx>
          <w:shd w:val="clear"/>
          <w:tblCellMar>
            <w:top w:w="0" w:type="dxa"/>
            <w:left w:w="108" w:type="dxa"/>
            <w:bottom w:w="0" w:type="dxa"/>
            <w:right w:w="108" w:type="dxa"/>
          </w:tblCellMar>
        </w:tblPrEx>
        <w:trPr>
          <w:trHeight w:val="750" w:hRule="atLeast"/>
        </w:trPr>
        <w:tc>
          <w:tcPr>
            <w:tcW w:w="324" w:type="pct"/>
            <w:tcBorders>
              <w:top w:val="nil"/>
              <w:left w:val="single" w:color="000000" w:sz="8" w:space="0"/>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3.3</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地方教育费附加（</w:t>
            </w:r>
            <w:r>
              <w:rPr>
                <w:rFonts w:hint="default" w:ascii="Times New Roman" w:hAnsi="Times New Roman" w:eastAsia="宋体" w:cs="Times New Roman"/>
                <w:i w:val="0"/>
                <w:iCs w:val="0"/>
                <w:color w:val="000000"/>
                <w:kern w:val="0"/>
                <w:sz w:val="18"/>
                <w:szCs w:val="18"/>
                <w:u w:val="none"/>
                <w:bdr w:val="none" w:color="auto" w:sz="0" w:space="0"/>
                <w:lang w:val="en-US" w:eastAsia="zh-CN" w:bidi="ar"/>
              </w:rPr>
              <w:t>2%</w:t>
            </w: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258.0106</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455"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 xml:space="preserve">25.80 </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 xml:space="preserve">25.80 </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 xml:space="preserve">25.80 </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 xml:space="preserve">25.80 </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 xml:space="preserve">25.80 </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 xml:space="preserve">25.80 </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 xml:space="preserve">25.80 </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 xml:space="preserve">25.80 </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 xml:space="preserve">25.80 </w:t>
            </w:r>
          </w:p>
        </w:tc>
        <w:tc>
          <w:tcPr>
            <w:tcW w:w="325"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 xml:space="preserve">25.80 </w:t>
            </w:r>
          </w:p>
        </w:tc>
      </w:tr>
      <w:tr>
        <w:tblPrEx>
          <w:shd w:val="clear"/>
          <w:tblCellMar>
            <w:top w:w="0" w:type="dxa"/>
            <w:left w:w="108" w:type="dxa"/>
            <w:bottom w:w="0" w:type="dxa"/>
            <w:right w:w="108" w:type="dxa"/>
          </w:tblCellMar>
        </w:tblPrEx>
        <w:trPr>
          <w:trHeight w:val="510" w:hRule="atLeast"/>
        </w:trPr>
        <w:tc>
          <w:tcPr>
            <w:tcW w:w="324" w:type="pct"/>
            <w:tcBorders>
              <w:top w:val="nil"/>
              <w:left w:val="single" w:color="000000" w:sz="8" w:space="0"/>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3.4</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水利建设基金（</w:t>
            </w:r>
            <w:r>
              <w:rPr>
                <w:rFonts w:hint="default" w:ascii="Times New Roman" w:hAnsi="Times New Roman" w:eastAsia="宋体" w:cs="Times New Roman"/>
                <w:i w:val="0"/>
                <w:iCs w:val="0"/>
                <w:color w:val="000000"/>
                <w:kern w:val="0"/>
                <w:sz w:val="18"/>
                <w:szCs w:val="18"/>
                <w:u w:val="none"/>
                <w:bdr w:val="none" w:color="auto" w:sz="0" w:space="0"/>
                <w:lang w:val="en-US" w:eastAsia="zh-CN" w:bidi="ar"/>
              </w:rPr>
              <w:t>0.5%</w:t>
            </w: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64.50265</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455"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 xml:space="preserve">6.45 </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 xml:space="preserve">6.45 </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 xml:space="preserve">6.45 </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 xml:space="preserve">6.45 </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 xml:space="preserve">6.45 </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 xml:space="preserve">6.45 </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 xml:space="preserve">6.45 </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 xml:space="preserve">6.45 </w:t>
            </w:r>
          </w:p>
        </w:tc>
        <w:tc>
          <w:tcPr>
            <w:tcW w:w="324"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 xml:space="preserve">6.45 </w:t>
            </w:r>
          </w:p>
        </w:tc>
        <w:tc>
          <w:tcPr>
            <w:tcW w:w="325" w:type="pct"/>
            <w:tcBorders>
              <w:top w:val="nil"/>
              <w:left w:val="nil"/>
              <w:bottom w:val="single" w:color="000000" w:sz="8" w:space="0"/>
              <w:right w:val="single" w:color="000000" w:sz="8" w:space="0"/>
            </w:tcBorders>
            <w:shd w:val="cle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 xml:space="preserve">6.45 </w:t>
            </w:r>
          </w:p>
        </w:tc>
      </w:tr>
    </w:tbl>
    <w:p>
      <w:pPr>
        <w:ind w:firstLine="480"/>
        <w:rPr>
          <w:color w:val="auto"/>
          <w:highlight w:val="none"/>
        </w:rPr>
      </w:pPr>
      <w:r>
        <w:rPr>
          <w:color w:val="auto"/>
          <w:highlight w:val="none"/>
        </w:rPr>
        <w:br w:type="page"/>
      </w:r>
    </w:p>
    <w:p>
      <w:pPr>
        <w:widowControl/>
        <w:spacing w:line="240" w:lineRule="auto"/>
        <w:ind w:firstLine="0" w:firstLineChars="0"/>
        <w:jc w:val="left"/>
        <w:rPr>
          <w:rFonts w:cs="Times New Roman"/>
          <w:color w:val="auto"/>
          <w:highlight w:val="none"/>
        </w:rPr>
      </w:pPr>
      <w:r>
        <w:rPr>
          <w:rFonts w:cs="Times New Roman"/>
          <w:b/>
          <w:bCs/>
          <w:color w:val="auto"/>
          <w:highlight w:val="none"/>
        </w:rPr>
        <w:t xml:space="preserve">附表2                                               固定资产折旧费                                      </w:t>
      </w:r>
      <w:r>
        <w:rPr>
          <w:rFonts w:cs="Times New Roman"/>
          <w:b/>
          <w:bCs/>
          <w:color w:val="auto"/>
          <w:sz w:val="21"/>
          <w:szCs w:val="21"/>
          <w:highlight w:val="none"/>
        </w:rPr>
        <w:t>单位：万元</w:t>
      </w:r>
    </w:p>
    <w:tbl>
      <w:tblPr>
        <w:tblW w:w="4998" w:type="pct"/>
        <w:tblInd w:w="0" w:type="dxa"/>
        <w:shd w:val="clear"/>
        <w:tblLayout w:type="autofit"/>
        <w:tblCellMar>
          <w:top w:w="0" w:type="dxa"/>
          <w:left w:w="108" w:type="dxa"/>
          <w:bottom w:w="0" w:type="dxa"/>
          <w:right w:w="108" w:type="dxa"/>
        </w:tblCellMar>
      </w:tblPr>
      <w:tblGrid>
        <w:gridCol w:w="730"/>
        <w:gridCol w:w="1296"/>
        <w:gridCol w:w="980"/>
        <w:gridCol w:w="731"/>
        <w:gridCol w:w="734"/>
        <w:gridCol w:w="981"/>
        <w:gridCol w:w="912"/>
        <w:gridCol w:w="981"/>
        <w:gridCol w:w="981"/>
        <w:gridCol w:w="981"/>
        <w:gridCol w:w="981"/>
        <w:gridCol w:w="912"/>
        <w:gridCol w:w="981"/>
        <w:gridCol w:w="981"/>
        <w:gridCol w:w="1006"/>
      </w:tblGrid>
      <w:tr>
        <w:tblPrEx>
          <w:shd w:val="clear"/>
          <w:tblCellMar>
            <w:top w:w="0" w:type="dxa"/>
            <w:left w:w="108" w:type="dxa"/>
            <w:bottom w:w="0" w:type="dxa"/>
            <w:right w:w="108" w:type="dxa"/>
          </w:tblCellMar>
        </w:tblPrEx>
        <w:trPr>
          <w:trHeight w:val="300" w:hRule="atLeast"/>
        </w:trPr>
        <w:tc>
          <w:tcPr>
            <w:tcW w:w="260" w:type="pct"/>
            <w:vMerge w:val="restart"/>
            <w:tcBorders>
              <w:top w:val="single" w:color="000000" w:sz="12"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428" w:type="pct"/>
            <w:vMerge w:val="restart"/>
            <w:tcBorders>
              <w:top w:val="single" w:color="000000" w:sz="12"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w:t>
            </w:r>
          </w:p>
        </w:tc>
        <w:tc>
          <w:tcPr>
            <w:tcW w:w="348" w:type="pct"/>
            <w:vMerge w:val="restart"/>
            <w:tcBorders>
              <w:top w:val="single" w:color="000000" w:sz="12"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合计</w:t>
            </w:r>
          </w:p>
        </w:tc>
        <w:tc>
          <w:tcPr>
            <w:tcW w:w="521" w:type="pct"/>
            <w:gridSpan w:val="2"/>
            <w:tcBorders>
              <w:top w:val="single" w:color="000000" w:sz="12"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建设期</w:t>
            </w:r>
          </w:p>
        </w:tc>
        <w:tc>
          <w:tcPr>
            <w:tcW w:w="3441" w:type="pct"/>
            <w:gridSpan w:val="10"/>
            <w:tcBorders>
              <w:top w:val="single" w:color="000000" w:sz="12"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运营期</w:t>
            </w:r>
          </w:p>
        </w:tc>
      </w:tr>
      <w:tr>
        <w:tblPrEx>
          <w:shd w:val="clear"/>
          <w:tblCellMar>
            <w:top w:w="0" w:type="dxa"/>
            <w:left w:w="108" w:type="dxa"/>
            <w:bottom w:w="0" w:type="dxa"/>
            <w:right w:w="108" w:type="dxa"/>
          </w:tblCellMar>
        </w:tblPrEx>
        <w:trPr>
          <w:trHeight w:val="300" w:hRule="atLeast"/>
        </w:trPr>
        <w:tc>
          <w:tcPr>
            <w:tcW w:w="260" w:type="pct"/>
            <w:vMerge w:val="continue"/>
            <w:tcBorders>
              <w:top w:val="single" w:color="000000" w:sz="12"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18"/>
                <w:szCs w:val="18"/>
                <w:u w:val="none"/>
              </w:rPr>
            </w:pPr>
          </w:p>
        </w:tc>
        <w:tc>
          <w:tcPr>
            <w:tcW w:w="428" w:type="pct"/>
            <w:vMerge w:val="continue"/>
            <w:tcBorders>
              <w:top w:val="single" w:color="000000" w:sz="12"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18"/>
                <w:szCs w:val="18"/>
                <w:u w:val="none"/>
              </w:rPr>
            </w:pPr>
          </w:p>
        </w:tc>
        <w:tc>
          <w:tcPr>
            <w:tcW w:w="348" w:type="pct"/>
            <w:vMerge w:val="continue"/>
            <w:tcBorders>
              <w:top w:val="single" w:color="000000" w:sz="12"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18"/>
                <w:szCs w:val="18"/>
                <w:u w:val="none"/>
              </w:rPr>
            </w:pPr>
          </w:p>
        </w:tc>
        <w:tc>
          <w:tcPr>
            <w:tcW w:w="260"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w:t>
            </w:r>
          </w:p>
        </w:tc>
        <w:tc>
          <w:tcPr>
            <w:tcW w:w="260"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w:t>
            </w: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w:t>
            </w:r>
          </w:p>
        </w:tc>
        <w:tc>
          <w:tcPr>
            <w:tcW w:w="32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w:t>
            </w: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w:t>
            </w: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6</w:t>
            </w: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7</w:t>
            </w: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8</w:t>
            </w:r>
          </w:p>
        </w:tc>
        <w:tc>
          <w:tcPr>
            <w:tcW w:w="32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9</w:t>
            </w: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10</w:t>
            </w: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w:t>
            </w:r>
          </w:p>
        </w:tc>
        <w:tc>
          <w:tcPr>
            <w:tcW w:w="349"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12</w:t>
            </w:r>
          </w:p>
        </w:tc>
      </w:tr>
      <w:tr>
        <w:tblPrEx>
          <w:shd w:val="clear"/>
          <w:tblCellMar>
            <w:top w:w="0" w:type="dxa"/>
            <w:left w:w="108" w:type="dxa"/>
            <w:bottom w:w="0" w:type="dxa"/>
            <w:right w:w="108" w:type="dxa"/>
          </w:tblCellMar>
        </w:tblPrEx>
        <w:trPr>
          <w:trHeight w:val="285" w:hRule="atLeast"/>
        </w:trPr>
        <w:tc>
          <w:tcPr>
            <w:tcW w:w="260"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w:t>
            </w:r>
          </w:p>
        </w:tc>
        <w:tc>
          <w:tcPr>
            <w:tcW w:w="42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房屋、建筑物</w:t>
            </w: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60"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60"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2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2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49"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r>
      <w:tr>
        <w:tblPrEx>
          <w:shd w:val="clear"/>
          <w:tblCellMar>
            <w:top w:w="0" w:type="dxa"/>
            <w:left w:w="108" w:type="dxa"/>
            <w:bottom w:w="0" w:type="dxa"/>
            <w:right w:w="108" w:type="dxa"/>
          </w:tblCellMar>
        </w:tblPrEx>
        <w:trPr>
          <w:trHeight w:val="285" w:hRule="atLeast"/>
        </w:trPr>
        <w:tc>
          <w:tcPr>
            <w:tcW w:w="260"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42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原值</w:t>
            </w: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96488.86</w:t>
            </w:r>
          </w:p>
        </w:tc>
        <w:tc>
          <w:tcPr>
            <w:tcW w:w="260"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260"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2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2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49"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r>
      <w:tr>
        <w:tblPrEx>
          <w:shd w:val="clear"/>
          <w:tblCellMar>
            <w:top w:w="0" w:type="dxa"/>
            <w:left w:w="108" w:type="dxa"/>
            <w:bottom w:w="0" w:type="dxa"/>
            <w:right w:w="108" w:type="dxa"/>
          </w:tblCellMar>
        </w:tblPrEx>
        <w:trPr>
          <w:trHeight w:val="285" w:hRule="atLeast"/>
        </w:trPr>
        <w:tc>
          <w:tcPr>
            <w:tcW w:w="260"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42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当期折旧额</w:t>
            </w: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260"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260"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3055.48</w:t>
            </w:r>
          </w:p>
        </w:tc>
        <w:tc>
          <w:tcPr>
            <w:tcW w:w="32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3055.48</w:t>
            </w: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3055.48</w:t>
            </w: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3055.48</w:t>
            </w: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3055.48</w:t>
            </w: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3055.48</w:t>
            </w:r>
          </w:p>
        </w:tc>
        <w:tc>
          <w:tcPr>
            <w:tcW w:w="32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3055.48</w:t>
            </w: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3055.48</w:t>
            </w: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3055.48</w:t>
            </w:r>
          </w:p>
        </w:tc>
        <w:tc>
          <w:tcPr>
            <w:tcW w:w="349"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3055.48</w:t>
            </w:r>
          </w:p>
        </w:tc>
      </w:tr>
      <w:tr>
        <w:tblPrEx>
          <w:shd w:val="clear"/>
          <w:tblCellMar>
            <w:top w:w="0" w:type="dxa"/>
            <w:left w:w="108" w:type="dxa"/>
            <w:bottom w:w="0" w:type="dxa"/>
            <w:right w:w="108" w:type="dxa"/>
          </w:tblCellMar>
        </w:tblPrEx>
        <w:trPr>
          <w:trHeight w:val="285" w:hRule="atLeast"/>
        </w:trPr>
        <w:tc>
          <w:tcPr>
            <w:tcW w:w="260"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42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净值</w:t>
            </w: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260"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260"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93433.38</w:t>
            </w:r>
          </w:p>
        </w:tc>
        <w:tc>
          <w:tcPr>
            <w:tcW w:w="32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90377.9</w:t>
            </w: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87322.42</w:t>
            </w: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84266.94</w:t>
            </w: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81211.46</w:t>
            </w: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78155.98</w:t>
            </w:r>
          </w:p>
        </w:tc>
        <w:tc>
          <w:tcPr>
            <w:tcW w:w="32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75100.5</w:t>
            </w: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72045.02</w:t>
            </w: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68989.53</w:t>
            </w:r>
          </w:p>
        </w:tc>
        <w:tc>
          <w:tcPr>
            <w:tcW w:w="349"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65934.05</w:t>
            </w:r>
          </w:p>
        </w:tc>
      </w:tr>
      <w:tr>
        <w:tblPrEx>
          <w:shd w:val="clear"/>
          <w:tblCellMar>
            <w:top w:w="0" w:type="dxa"/>
            <w:left w:w="108" w:type="dxa"/>
            <w:bottom w:w="0" w:type="dxa"/>
            <w:right w:w="108" w:type="dxa"/>
          </w:tblCellMar>
        </w:tblPrEx>
        <w:trPr>
          <w:trHeight w:val="285" w:hRule="atLeast"/>
        </w:trPr>
        <w:tc>
          <w:tcPr>
            <w:tcW w:w="260"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w:t>
            </w:r>
          </w:p>
        </w:tc>
        <w:tc>
          <w:tcPr>
            <w:tcW w:w="42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合计</w:t>
            </w: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260"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260"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2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2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49"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r>
      <w:tr>
        <w:tblPrEx>
          <w:shd w:val="clear"/>
          <w:tblCellMar>
            <w:top w:w="0" w:type="dxa"/>
            <w:left w:w="108" w:type="dxa"/>
            <w:bottom w:w="0" w:type="dxa"/>
            <w:right w:w="108" w:type="dxa"/>
          </w:tblCellMar>
        </w:tblPrEx>
        <w:trPr>
          <w:trHeight w:val="285" w:hRule="atLeast"/>
        </w:trPr>
        <w:tc>
          <w:tcPr>
            <w:tcW w:w="260"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42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原值</w:t>
            </w: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260"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260"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2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2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49"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r>
      <w:tr>
        <w:tblPrEx>
          <w:shd w:val="clear"/>
          <w:tblCellMar>
            <w:top w:w="0" w:type="dxa"/>
            <w:left w:w="108" w:type="dxa"/>
            <w:bottom w:w="0" w:type="dxa"/>
            <w:right w:w="108" w:type="dxa"/>
          </w:tblCellMar>
        </w:tblPrEx>
        <w:trPr>
          <w:trHeight w:val="285" w:hRule="atLeast"/>
        </w:trPr>
        <w:tc>
          <w:tcPr>
            <w:tcW w:w="260"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42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当期折旧额</w:t>
            </w: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260"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260"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2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2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4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49"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r>
      <w:tr>
        <w:tblPrEx>
          <w:shd w:val="clear"/>
          <w:tblCellMar>
            <w:top w:w="0" w:type="dxa"/>
            <w:left w:w="108" w:type="dxa"/>
            <w:bottom w:w="0" w:type="dxa"/>
            <w:right w:w="108" w:type="dxa"/>
          </w:tblCellMar>
        </w:tblPrEx>
        <w:trPr>
          <w:trHeight w:val="285" w:hRule="atLeast"/>
        </w:trPr>
        <w:tc>
          <w:tcPr>
            <w:tcW w:w="260" w:type="pct"/>
            <w:tcBorders>
              <w:top w:val="single" w:color="000000" w:sz="8" w:space="0"/>
              <w:left w:val="single" w:color="000000" w:sz="12" w:space="0"/>
              <w:bottom w:val="single" w:color="000000" w:sz="12"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428" w:type="pct"/>
            <w:tcBorders>
              <w:top w:val="single" w:color="000000" w:sz="8" w:space="0"/>
              <w:left w:val="single" w:color="000000" w:sz="8" w:space="0"/>
              <w:bottom w:val="single" w:color="000000" w:sz="12" w:space="0"/>
              <w:right w:val="single" w:color="000000" w:sz="8" w:space="0"/>
            </w:tcBorders>
            <w:shd w:val="cle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净值</w:t>
            </w:r>
          </w:p>
        </w:tc>
        <w:tc>
          <w:tcPr>
            <w:tcW w:w="348"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260"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260"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48"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24"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48"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48"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48"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48"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24"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48"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48"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49" w:type="pct"/>
            <w:tcBorders>
              <w:top w:val="single" w:color="000000" w:sz="8" w:space="0"/>
              <w:left w:val="single" w:color="000000" w:sz="8" w:space="0"/>
              <w:bottom w:val="single" w:color="000000" w:sz="12"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r>
    </w:tbl>
    <w:p>
      <w:pPr>
        <w:ind w:firstLine="480"/>
        <w:rPr>
          <w:color w:val="auto"/>
          <w:highlight w:val="none"/>
        </w:rPr>
      </w:pPr>
      <w:r>
        <w:rPr>
          <w:color w:val="auto"/>
          <w:highlight w:val="none"/>
        </w:rPr>
        <w:br w:type="page"/>
      </w:r>
    </w:p>
    <w:p>
      <w:pPr>
        <w:widowControl/>
        <w:spacing w:line="240" w:lineRule="auto"/>
        <w:ind w:firstLine="0" w:firstLineChars="0"/>
        <w:jc w:val="left"/>
        <w:rPr>
          <w:rFonts w:cs="Times New Roman"/>
          <w:color w:val="auto"/>
          <w:highlight w:val="none"/>
        </w:rPr>
      </w:pPr>
      <w:r>
        <w:rPr>
          <w:rFonts w:cs="Times New Roman"/>
          <w:b/>
          <w:bCs/>
          <w:color w:val="auto"/>
          <w:highlight w:val="none"/>
        </w:rPr>
        <w:t xml:space="preserve">附表3                                               总成本费用                                        </w:t>
      </w:r>
      <w:r>
        <w:rPr>
          <w:rFonts w:cs="Times New Roman"/>
          <w:b/>
          <w:bCs/>
          <w:color w:val="auto"/>
          <w:sz w:val="21"/>
          <w:szCs w:val="21"/>
          <w:highlight w:val="none"/>
        </w:rPr>
        <w:t>单位：万元</w:t>
      </w:r>
    </w:p>
    <w:tbl>
      <w:tblPr>
        <w:tblW w:w="4998" w:type="pct"/>
        <w:tblInd w:w="0" w:type="dxa"/>
        <w:shd w:val="clear"/>
        <w:tblLayout w:type="autofit"/>
        <w:tblCellMar>
          <w:top w:w="0" w:type="dxa"/>
          <w:left w:w="108" w:type="dxa"/>
          <w:bottom w:w="0" w:type="dxa"/>
          <w:right w:w="108" w:type="dxa"/>
        </w:tblCellMar>
      </w:tblPr>
      <w:tblGrid>
        <w:gridCol w:w="590"/>
        <w:gridCol w:w="2501"/>
        <w:gridCol w:w="981"/>
        <w:gridCol w:w="590"/>
        <w:gridCol w:w="596"/>
        <w:gridCol w:w="891"/>
        <w:gridCol w:w="891"/>
        <w:gridCol w:w="891"/>
        <w:gridCol w:w="891"/>
        <w:gridCol w:w="891"/>
        <w:gridCol w:w="891"/>
        <w:gridCol w:w="891"/>
        <w:gridCol w:w="891"/>
        <w:gridCol w:w="891"/>
        <w:gridCol w:w="891"/>
      </w:tblGrid>
      <w:tr>
        <w:tblPrEx>
          <w:shd w:val="clear"/>
          <w:tblCellMar>
            <w:top w:w="0" w:type="dxa"/>
            <w:left w:w="108" w:type="dxa"/>
            <w:bottom w:w="0" w:type="dxa"/>
            <w:right w:w="108" w:type="dxa"/>
          </w:tblCellMar>
        </w:tblPrEx>
        <w:trPr>
          <w:trHeight w:val="300" w:hRule="atLeast"/>
        </w:trPr>
        <w:tc>
          <w:tcPr>
            <w:tcW w:w="298" w:type="pct"/>
            <w:vMerge w:val="restart"/>
            <w:tcBorders>
              <w:top w:val="single" w:color="000000" w:sz="12"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692" w:type="pct"/>
            <w:vMerge w:val="restart"/>
            <w:tcBorders>
              <w:top w:val="single" w:color="000000" w:sz="12"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w:t>
            </w:r>
          </w:p>
        </w:tc>
        <w:tc>
          <w:tcPr>
            <w:tcW w:w="298" w:type="pct"/>
            <w:vMerge w:val="restart"/>
            <w:tcBorders>
              <w:top w:val="single" w:color="000000" w:sz="12"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合计</w:t>
            </w:r>
          </w:p>
        </w:tc>
        <w:tc>
          <w:tcPr>
            <w:tcW w:w="598" w:type="pct"/>
            <w:gridSpan w:val="2"/>
            <w:tcBorders>
              <w:top w:val="single" w:color="000000" w:sz="12"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建设期</w:t>
            </w:r>
          </w:p>
        </w:tc>
        <w:tc>
          <w:tcPr>
            <w:tcW w:w="3111" w:type="pct"/>
            <w:gridSpan w:val="10"/>
            <w:tcBorders>
              <w:top w:val="single" w:color="000000" w:sz="12"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经营期</w:t>
            </w:r>
          </w:p>
        </w:tc>
      </w:tr>
      <w:tr>
        <w:tblPrEx>
          <w:shd w:val="clear"/>
          <w:tblCellMar>
            <w:top w:w="0" w:type="dxa"/>
            <w:left w:w="108" w:type="dxa"/>
            <w:bottom w:w="0" w:type="dxa"/>
            <w:right w:w="108" w:type="dxa"/>
          </w:tblCellMar>
        </w:tblPrEx>
        <w:trPr>
          <w:trHeight w:val="300" w:hRule="atLeast"/>
        </w:trPr>
        <w:tc>
          <w:tcPr>
            <w:tcW w:w="298" w:type="pct"/>
            <w:vMerge w:val="continue"/>
            <w:tcBorders>
              <w:top w:val="single" w:color="000000" w:sz="12"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18"/>
                <w:szCs w:val="18"/>
                <w:u w:val="none"/>
              </w:rPr>
            </w:pPr>
          </w:p>
        </w:tc>
        <w:tc>
          <w:tcPr>
            <w:tcW w:w="692" w:type="pct"/>
            <w:vMerge w:val="continue"/>
            <w:tcBorders>
              <w:top w:val="single" w:color="000000" w:sz="12"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18"/>
                <w:szCs w:val="18"/>
                <w:u w:val="none"/>
              </w:rPr>
            </w:pPr>
          </w:p>
        </w:tc>
        <w:tc>
          <w:tcPr>
            <w:tcW w:w="298" w:type="pct"/>
            <w:vMerge w:val="continue"/>
            <w:tcBorders>
              <w:top w:val="single" w:color="000000" w:sz="12"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18"/>
                <w:szCs w:val="18"/>
                <w:u w:val="none"/>
              </w:rPr>
            </w:pPr>
          </w:p>
        </w:tc>
        <w:tc>
          <w:tcPr>
            <w:tcW w:w="29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w:t>
            </w:r>
          </w:p>
        </w:tc>
        <w:tc>
          <w:tcPr>
            <w:tcW w:w="299"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6</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7</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8</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9</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10</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w:t>
            </w:r>
          </w:p>
        </w:tc>
        <w:tc>
          <w:tcPr>
            <w:tcW w:w="310"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12</w:t>
            </w:r>
          </w:p>
        </w:tc>
      </w:tr>
      <w:tr>
        <w:tblPrEx>
          <w:shd w:val="clear"/>
          <w:tblCellMar>
            <w:top w:w="0" w:type="dxa"/>
            <w:left w:w="108" w:type="dxa"/>
            <w:bottom w:w="0" w:type="dxa"/>
            <w:right w:w="108" w:type="dxa"/>
          </w:tblCellMar>
        </w:tblPrEx>
        <w:trPr>
          <w:trHeight w:val="285" w:hRule="atLeast"/>
        </w:trPr>
        <w:tc>
          <w:tcPr>
            <w:tcW w:w="298"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w:t>
            </w:r>
          </w:p>
        </w:tc>
        <w:tc>
          <w:tcPr>
            <w:tcW w:w="692"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外购原材料费</w:t>
            </w:r>
          </w:p>
        </w:tc>
        <w:tc>
          <w:tcPr>
            <w:tcW w:w="29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3133.16</w:t>
            </w:r>
          </w:p>
        </w:tc>
        <w:tc>
          <w:tcPr>
            <w:tcW w:w="29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99"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313.32</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313.32</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313.32</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313.32</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313.32</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313.32</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313.32</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313.32</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313.32</w:t>
            </w:r>
          </w:p>
        </w:tc>
        <w:tc>
          <w:tcPr>
            <w:tcW w:w="310"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313.32</w:t>
            </w:r>
          </w:p>
        </w:tc>
      </w:tr>
      <w:tr>
        <w:tblPrEx>
          <w:shd w:val="clear"/>
          <w:tblCellMar>
            <w:top w:w="0" w:type="dxa"/>
            <w:left w:w="108" w:type="dxa"/>
            <w:bottom w:w="0" w:type="dxa"/>
            <w:right w:w="108" w:type="dxa"/>
          </w:tblCellMar>
        </w:tblPrEx>
        <w:trPr>
          <w:trHeight w:val="285" w:hRule="atLeast"/>
        </w:trPr>
        <w:tc>
          <w:tcPr>
            <w:tcW w:w="298"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w:t>
            </w:r>
          </w:p>
        </w:tc>
        <w:tc>
          <w:tcPr>
            <w:tcW w:w="692"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外购燃料及动力费</w:t>
            </w:r>
          </w:p>
        </w:tc>
        <w:tc>
          <w:tcPr>
            <w:tcW w:w="29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22363</w:t>
            </w:r>
          </w:p>
        </w:tc>
        <w:tc>
          <w:tcPr>
            <w:tcW w:w="29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99"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2236.3</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2236.3</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2236.3</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2236.3</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2236.3</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2236.3</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2236.3</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2236.3</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2236.3</w:t>
            </w:r>
          </w:p>
        </w:tc>
        <w:tc>
          <w:tcPr>
            <w:tcW w:w="310"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2236.3</w:t>
            </w:r>
          </w:p>
        </w:tc>
      </w:tr>
      <w:tr>
        <w:tblPrEx>
          <w:shd w:val="clear"/>
          <w:tblCellMar>
            <w:top w:w="0" w:type="dxa"/>
            <w:left w:w="108" w:type="dxa"/>
            <w:bottom w:w="0" w:type="dxa"/>
            <w:right w:w="108" w:type="dxa"/>
          </w:tblCellMar>
        </w:tblPrEx>
        <w:trPr>
          <w:trHeight w:val="285" w:hRule="atLeast"/>
        </w:trPr>
        <w:tc>
          <w:tcPr>
            <w:tcW w:w="298"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w:t>
            </w:r>
          </w:p>
        </w:tc>
        <w:tc>
          <w:tcPr>
            <w:tcW w:w="692"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工资及福利费</w:t>
            </w:r>
          </w:p>
        </w:tc>
        <w:tc>
          <w:tcPr>
            <w:tcW w:w="29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3648</w:t>
            </w:r>
          </w:p>
        </w:tc>
        <w:tc>
          <w:tcPr>
            <w:tcW w:w="29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99"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364.8</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364.8</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364.8</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364.8</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364.8</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364.8</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364.8</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364.8</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364.8</w:t>
            </w:r>
          </w:p>
        </w:tc>
        <w:tc>
          <w:tcPr>
            <w:tcW w:w="310"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364.8</w:t>
            </w:r>
          </w:p>
        </w:tc>
      </w:tr>
      <w:tr>
        <w:tblPrEx>
          <w:shd w:val="clear"/>
          <w:tblCellMar>
            <w:top w:w="0" w:type="dxa"/>
            <w:left w:w="108" w:type="dxa"/>
            <w:bottom w:w="0" w:type="dxa"/>
            <w:right w:w="108" w:type="dxa"/>
          </w:tblCellMar>
        </w:tblPrEx>
        <w:trPr>
          <w:trHeight w:val="285" w:hRule="atLeast"/>
        </w:trPr>
        <w:tc>
          <w:tcPr>
            <w:tcW w:w="298"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w:t>
            </w:r>
          </w:p>
        </w:tc>
        <w:tc>
          <w:tcPr>
            <w:tcW w:w="692"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其他费用</w:t>
            </w:r>
          </w:p>
        </w:tc>
        <w:tc>
          <w:tcPr>
            <w:tcW w:w="29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116525.18</w:t>
            </w:r>
          </w:p>
        </w:tc>
        <w:tc>
          <w:tcPr>
            <w:tcW w:w="29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99"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11652.52</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11652.52</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11652.52</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11652.52</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11652.52</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11652.52</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11652.52</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11652.52</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11652.52</w:t>
            </w:r>
          </w:p>
        </w:tc>
        <w:tc>
          <w:tcPr>
            <w:tcW w:w="310"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11652.52</w:t>
            </w:r>
          </w:p>
        </w:tc>
      </w:tr>
      <w:tr>
        <w:tblPrEx>
          <w:shd w:val="clear"/>
          <w:tblCellMar>
            <w:top w:w="0" w:type="dxa"/>
            <w:left w:w="108" w:type="dxa"/>
            <w:bottom w:w="0" w:type="dxa"/>
            <w:right w:w="108" w:type="dxa"/>
          </w:tblCellMar>
        </w:tblPrEx>
        <w:trPr>
          <w:trHeight w:val="285" w:hRule="atLeast"/>
        </w:trPr>
        <w:tc>
          <w:tcPr>
            <w:tcW w:w="298"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4.1</w:t>
            </w:r>
          </w:p>
        </w:tc>
        <w:tc>
          <w:tcPr>
            <w:tcW w:w="692" w:type="pct"/>
            <w:tcBorders>
              <w:top w:val="single" w:color="000000" w:sz="8" w:space="0"/>
              <w:left w:val="single" w:color="000000" w:sz="8" w:space="0"/>
              <w:bottom w:val="single" w:color="000000" w:sz="8" w:space="0"/>
              <w:right w:val="single" w:color="000000" w:sz="8" w:space="0"/>
            </w:tcBorders>
            <w:shd w:val="cle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维修费</w:t>
            </w:r>
          </w:p>
        </w:tc>
        <w:tc>
          <w:tcPr>
            <w:tcW w:w="29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1527.74</w:t>
            </w:r>
          </w:p>
        </w:tc>
        <w:tc>
          <w:tcPr>
            <w:tcW w:w="29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99"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152.77</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152.77</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152.77</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152.77</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152.77</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152.77</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152.77</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152.77</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152.77</w:t>
            </w:r>
          </w:p>
        </w:tc>
        <w:tc>
          <w:tcPr>
            <w:tcW w:w="310"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152.77</w:t>
            </w:r>
          </w:p>
        </w:tc>
      </w:tr>
      <w:tr>
        <w:tblPrEx>
          <w:shd w:val="clear"/>
          <w:tblCellMar>
            <w:top w:w="0" w:type="dxa"/>
            <w:left w:w="108" w:type="dxa"/>
            <w:bottom w:w="0" w:type="dxa"/>
            <w:right w:w="108" w:type="dxa"/>
          </w:tblCellMar>
        </w:tblPrEx>
        <w:trPr>
          <w:trHeight w:val="285" w:hRule="atLeast"/>
        </w:trPr>
        <w:tc>
          <w:tcPr>
            <w:tcW w:w="298"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4.2</w:t>
            </w:r>
          </w:p>
        </w:tc>
        <w:tc>
          <w:tcPr>
            <w:tcW w:w="692"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其他管理费用</w:t>
            </w:r>
          </w:p>
        </w:tc>
        <w:tc>
          <w:tcPr>
            <w:tcW w:w="29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5610.24</w:t>
            </w:r>
          </w:p>
        </w:tc>
        <w:tc>
          <w:tcPr>
            <w:tcW w:w="29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99"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w:t>
            </w:r>
          </w:p>
        </w:tc>
        <w:tc>
          <w:tcPr>
            <w:tcW w:w="310"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w:t>
            </w:r>
          </w:p>
        </w:tc>
      </w:tr>
      <w:tr>
        <w:tblPrEx>
          <w:shd w:val="clear"/>
          <w:tblCellMar>
            <w:top w:w="0" w:type="dxa"/>
            <w:left w:w="108" w:type="dxa"/>
            <w:bottom w:w="0" w:type="dxa"/>
            <w:right w:w="108" w:type="dxa"/>
          </w:tblCellMar>
        </w:tblPrEx>
        <w:trPr>
          <w:trHeight w:val="285" w:hRule="atLeast"/>
        </w:trPr>
        <w:tc>
          <w:tcPr>
            <w:tcW w:w="298"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4.3</w:t>
            </w:r>
          </w:p>
        </w:tc>
        <w:tc>
          <w:tcPr>
            <w:tcW w:w="692"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清淤成本</w:t>
            </w:r>
          </w:p>
        </w:tc>
        <w:tc>
          <w:tcPr>
            <w:tcW w:w="29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109387.2</w:t>
            </w:r>
          </w:p>
        </w:tc>
        <w:tc>
          <w:tcPr>
            <w:tcW w:w="29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99"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10938.72</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10938.72</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10938.72</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10938.72</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10938.72</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10938.72</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10938.72</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10938.72</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10938.72</w:t>
            </w:r>
          </w:p>
        </w:tc>
        <w:tc>
          <w:tcPr>
            <w:tcW w:w="310"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10938.72</w:t>
            </w:r>
          </w:p>
        </w:tc>
      </w:tr>
      <w:tr>
        <w:tblPrEx>
          <w:shd w:val="clear"/>
          <w:tblCellMar>
            <w:top w:w="0" w:type="dxa"/>
            <w:left w:w="108" w:type="dxa"/>
            <w:bottom w:w="0" w:type="dxa"/>
            <w:right w:w="108" w:type="dxa"/>
          </w:tblCellMar>
        </w:tblPrEx>
        <w:trPr>
          <w:trHeight w:val="285" w:hRule="atLeast"/>
        </w:trPr>
        <w:tc>
          <w:tcPr>
            <w:tcW w:w="298"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w:t>
            </w:r>
          </w:p>
        </w:tc>
        <w:tc>
          <w:tcPr>
            <w:tcW w:w="692"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经营成本（</w:t>
            </w:r>
            <w:r>
              <w:rPr>
                <w:rFonts w:hint="default" w:ascii="Times New Roman" w:hAnsi="Times New Roman" w:eastAsia="宋体" w:cs="Times New Roman"/>
                <w:i w:val="0"/>
                <w:iCs w:val="0"/>
                <w:color w:val="000000"/>
                <w:kern w:val="0"/>
                <w:sz w:val="18"/>
                <w:szCs w:val="18"/>
                <w:u w:val="none"/>
                <w:bdr w:val="none" w:color="auto" w:sz="0" w:space="0"/>
                <w:lang w:val="en-US" w:eastAsia="zh-CN" w:bidi="ar"/>
              </w:rPr>
              <w:t>1+2+3+4</w:t>
            </w: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29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145669.34</w:t>
            </w:r>
          </w:p>
        </w:tc>
        <w:tc>
          <w:tcPr>
            <w:tcW w:w="29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99"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14566.93</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14566.93</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14566.93</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14566.93</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14566.93</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14566.93</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14566.93</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14566.93</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14566.93</w:t>
            </w:r>
          </w:p>
        </w:tc>
        <w:tc>
          <w:tcPr>
            <w:tcW w:w="310"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14566.93</w:t>
            </w:r>
          </w:p>
        </w:tc>
      </w:tr>
      <w:tr>
        <w:tblPrEx>
          <w:shd w:val="clear"/>
          <w:tblCellMar>
            <w:top w:w="0" w:type="dxa"/>
            <w:left w:w="108" w:type="dxa"/>
            <w:bottom w:w="0" w:type="dxa"/>
            <w:right w:w="108" w:type="dxa"/>
          </w:tblCellMar>
        </w:tblPrEx>
        <w:trPr>
          <w:trHeight w:val="285" w:hRule="atLeast"/>
        </w:trPr>
        <w:tc>
          <w:tcPr>
            <w:tcW w:w="298"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6</w:t>
            </w:r>
          </w:p>
        </w:tc>
        <w:tc>
          <w:tcPr>
            <w:tcW w:w="692"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折旧费</w:t>
            </w:r>
          </w:p>
        </w:tc>
        <w:tc>
          <w:tcPr>
            <w:tcW w:w="29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30554.81</w:t>
            </w:r>
          </w:p>
        </w:tc>
        <w:tc>
          <w:tcPr>
            <w:tcW w:w="29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99"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3055.48</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3055.48</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3055.48</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3055.48</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3055.48</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3055.48</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3055.48</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3055.48</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3055.48</w:t>
            </w:r>
          </w:p>
        </w:tc>
        <w:tc>
          <w:tcPr>
            <w:tcW w:w="310"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3055.48</w:t>
            </w:r>
          </w:p>
        </w:tc>
      </w:tr>
      <w:tr>
        <w:tblPrEx>
          <w:shd w:val="clear"/>
          <w:tblCellMar>
            <w:top w:w="0" w:type="dxa"/>
            <w:left w:w="108" w:type="dxa"/>
            <w:bottom w:w="0" w:type="dxa"/>
            <w:right w:w="108" w:type="dxa"/>
          </w:tblCellMar>
        </w:tblPrEx>
        <w:trPr>
          <w:trHeight w:val="285" w:hRule="atLeast"/>
        </w:trPr>
        <w:tc>
          <w:tcPr>
            <w:tcW w:w="298"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7</w:t>
            </w:r>
          </w:p>
        </w:tc>
        <w:tc>
          <w:tcPr>
            <w:tcW w:w="692"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摊销费</w:t>
            </w:r>
          </w:p>
        </w:tc>
        <w:tc>
          <w:tcPr>
            <w:tcW w:w="29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33239.43</w:t>
            </w:r>
          </w:p>
        </w:tc>
        <w:tc>
          <w:tcPr>
            <w:tcW w:w="29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99"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6647.89</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6647.89</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6647.89</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6647.89</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6647.89</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c>
          <w:tcPr>
            <w:tcW w:w="310"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r>
      <w:tr>
        <w:tblPrEx>
          <w:shd w:val="clear"/>
          <w:tblCellMar>
            <w:top w:w="0" w:type="dxa"/>
            <w:left w:w="108" w:type="dxa"/>
            <w:bottom w:w="0" w:type="dxa"/>
            <w:right w:w="108" w:type="dxa"/>
          </w:tblCellMar>
        </w:tblPrEx>
        <w:trPr>
          <w:trHeight w:val="285" w:hRule="atLeast"/>
        </w:trPr>
        <w:tc>
          <w:tcPr>
            <w:tcW w:w="298"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8</w:t>
            </w:r>
          </w:p>
        </w:tc>
        <w:tc>
          <w:tcPr>
            <w:tcW w:w="692"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利息支出</w:t>
            </w:r>
          </w:p>
        </w:tc>
        <w:tc>
          <w:tcPr>
            <w:tcW w:w="29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30282</w:t>
            </w:r>
          </w:p>
        </w:tc>
        <w:tc>
          <w:tcPr>
            <w:tcW w:w="29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99"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5753.58</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5147.94</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4542.3</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3936.66</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3331.02</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2725.38</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2119.74</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1514.1</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908.46</w:t>
            </w:r>
          </w:p>
        </w:tc>
        <w:tc>
          <w:tcPr>
            <w:tcW w:w="310"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302.82</w:t>
            </w:r>
          </w:p>
        </w:tc>
      </w:tr>
      <w:tr>
        <w:tblPrEx>
          <w:shd w:val="clear"/>
          <w:tblCellMar>
            <w:top w:w="0" w:type="dxa"/>
            <w:left w:w="108" w:type="dxa"/>
            <w:bottom w:w="0" w:type="dxa"/>
            <w:right w:w="108" w:type="dxa"/>
          </w:tblCellMar>
        </w:tblPrEx>
        <w:trPr>
          <w:trHeight w:val="285" w:hRule="atLeast"/>
        </w:trPr>
        <w:tc>
          <w:tcPr>
            <w:tcW w:w="298"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9</w:t>
            </w:r>
          </w:p>
        </w:tc>
        <w:tc>
          <w:tcPr>
            <w:tcW w:w="692"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总成本费用合计（</w:t>
            </w: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5+6+7+8</w:t>
            </w: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29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239745.58</w:t>
            </w:r>
          </w:p>
        </w:tc>
        <w:tc>
          <w:tcPr>
            <w:tcW w:w="29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99"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30023.88</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29418.24</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28812.6</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28206.96</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27601.32</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20347.79</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19742.15</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19136.51</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18530.87</w:t>
            </w:r>
          </w:p>
        </w:tc>
        <w:tc>
          <w:tcPr>
            <w:tcW w:w="310"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17925.23</w:t>
            </w:r>
          </w:p>
        </w:tc>
      </w:tr>
      <w:tr>
        <w:tblPrEx>
          <w:shd w:val="clear"/>
          <w:tblCellMar>
            <w:top w:w="0" w:type="dxa"/>
            <w:left w:w="108" w:type="dxa"/>
            <w:bottom w:w="0" w:type="dxa"/>
            <w:right w:w="108" w:type="dxa"/>
          </w:tblCellMar>
        </w:tblPrEx>
        <w:trPr>
          <w:trHeight w:val="285" w:hRule="atLeast"/>
        </w:trPr>
        <w:tc>
          <w:tcPr>
            <w:tcW w:w="298"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92"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其中：可变成本</w:t>
            </w:r>
          </w:p>
        </w:tc>
        <w:tc>
          <w:tcPr>
            <w:tcW w:w="29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145669.34</w:t>
            </w:r>
          </w:p>
        </w:tc>
        <w:tc>
          <w:tcPr>
            <w:tcW w:w="298"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99"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14566.93</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14566.93</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14566.93</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14566.93</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14566.93</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14566.93</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14566.93</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14566.93</w:t>
            </w:r>
          </w:p>
        </w:tc>
        <w:tc>
          <w:tcPr>
            <w:tcW w:w="31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14566.93</w:t>
            </w:r>
          </w:p>
        </w:tc>
        <w:tc>
          <w:tcPr>
            <w:tcW w:w="310"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14566.93</w:t>
            </w:r>
          </w:p>
        </w:tc>
      </w:tr>
      <w:tr>
        <w:tblPrEx>
          <w:shd w:val="clear"/>
          <w:tblCellMar>
            <w:top w:w="0" w:type="dxa"/>
            <w:left w:w="108" w:type="dxa"/>
            <w:bottom w:w="0" w:type="dxa"/>
            <w:right w:w="108" w:type="dxa"/>
          </w:tblCellMar>
        </w:tblPrEx>
        <w:trPr>
          <w:trHeight w:val="285" w:hRule="atLeast"/>
        </w:trPr>
        <w:tc>
          <w:tcPr>
            <w:tcW w:w="298" w:type="pct"/>
            <w:tcBorders>
              <w:top w:val="single" w:color="000000" w:sz="8" w:space="0"/>
              <w:left w:val="single" w:color="000000" w:sz="12" w:space="0"/>
              <w:bottom w:val="single" w:color="000000" w:sz="12"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92"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 xml:space="preserve">      固定成本</w:t>
            </w:r>
          </w:p>
        </w:tc>
        <w:tc>
          <w:tcPr>
            <w:tcW w:w="298"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94076.24</w:t>
            </w:r>
          </w:p>
        </w:tc>
        <w:tc>
          <w:tcPr>
            <w:tcW w:w="298"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99"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1"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15456.95</w:t>
            </w:r>
          </w:p>
        </w:tc>
        <w:tc>
          <w:tcPr>
            <w:tcW w:w="311"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14851.31</w:t>
            </w:r>
          </w:p>
        </w:tc>
        <w:tc>
          <w:tcPr>
            <w:tcW w:w="311"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14245.67</w:t>
            </w:r>
          </w:p>
        </w:tc>
        <w:tc>
          <w:tcPr>
            <w:tcW w:w="311"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13640.03</w:t>
            </w:r>
          </w:p>
        </w:tc>
        <w:tc>
          <w:tcPr>
            <w:tcW w:w="311"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13034.39</w:t>
            </w:r>
          </w:p>
        </w:tc>
        <w:tc>
          <w:tcPr>
            <w:tcW w:w="311"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5780.86</w:t>
            </w:r>
          </w:p>
        </w:tc>
        <w:tc>
          <w:tcPr>
            <w:tcW w:w="311"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5175.22</w:t>
            </w:r>
          </w:p>
        </w:tc>
        <w:tc>
          <w:tcPr>
            <w:tcW w:w="311"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4569.58</w:t>
            </w:r>
          </w:p>
        </w:tc>
        <w:tc>
          <w:tcPr>
            <w:tcW w:w="311"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3963.94</w:t>
            </w:r>
          </w:p>
        </w:tc>
        <w:tc>
          <w:tcPr>
            <w:tcW w:w="310" w:type="pct"/>
            <w:tcBorders>
              <w:top w:val="single" w:color="000000" w:sz="8" w:space="0"/>
              <w:left w:val="single" w:color="000000" w:sz="8" w:space="0"/>
              <w:bottom w:val="single" w:color="000000" w:sz="12"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3358.3</w:t>
            </w:r>
          </w:p>
        </w:tc>
      </w:tr>
    </w:tbl>
    <w:p>
      <w:pPr>
        <w:ind w:firstLine="480"/>
        <w:rPr>
          <w:color w:val="auto"/>
          <w:highlight w:val="none"/>
        </w:rPr>
      </w:pPr>
      <w:r>
        <w:rPr>
          <w:color w:val="auto"/>
          <w:highlight w:val="none"/>
        </w:rPr>
        <w:br w:type="page"/>
      </w:r>
    </w:p>
    <w:p>
      <w:pPr>
        <w:widowControl/>
        <w:spacing w:line="240" w:lineRule="auto"/>
        <w:ind w:firstLine="0" w:firstLineChars="0"/>
        <w:jc w:val="left"/>
        <w:rPr>
          <w:rFonts w:cs="Times New Roman"/>
          <w:color w:val="auto"/>
          <w:highlight w:val="none"/>
        </w:rPr>
      </w:pPr>
      <w:r>
        <w:rPr>
          <w:rFonts w:cs="Times New Roman"/>
          <w:b/>
          <w:bCs/>
          <w:color w:val="auto"/>
          <w:highlight w:val="none"/>
        </w:rPr>
        <w:t xml:space="preserve">附表4                                              利润与利润分配表                                        </w:t>
      </w:r>
      <w:r>
        <w:rPr>
          <w:rFonts w:cs="Times New Roman"/>
          <w:b/>
          <w:bCs/>
          <w:color w:val="auto"/>
          <w:sz w:val="21"/>
          <w:szCs w:val="21"/>
          <w:highlight w:val="none"/>
        </w:rPr>
        <w:t>单位：万元</w:t>
      </w:r>
    </w:p>
    <w:tbl>
      <w:tblPr>
        <w:tblW w:w="4998" w:type="pct"/>
        <w:tblInd w:w="0" w:type="dxa"/>
        <w:shd w:val="clear"/>
        <w:tblLayout w:type="autofit"/>
        <w:tblCellMar>
          <w:top w:w="0" w:type="dxa"/>
          <w:left w:w="108" w:type="dxa"/>
          <w:bottom w:w="0" w:type="dxa"/>
          <w:right w:w="108" w:type="dxa"/>
        </w:tblCellMar>
      </w:tblPr>
      <w:tblGrid>
        <w:gridCol w:w="598"/>
        <w:gridCol w:w="2028"/>
        <w:gridCol w:w="981"/>
        <w:gridCol w:w="598"/>
        <w:gridCol w:w="603"/>
        <w:gridCol w:w="891"/>
        <w:gridCol w:w="891"/>
        <w:gridCol w:w="891"/>
        <w:gridCol w:w="891"/>
        <w:gridCol w:w="891"/>
        <w:gridCol w:w="981"/>
        <w:gridCol w:w="981"/>
        <w:gridCol w:w="981"/>
        <w:gridCol w:w="981"/>
        <w:gridCol w:w="981"/>
      </w:tblGrid>
      <w:tr>
        <w:tblPrEx>
          <w:tblCellMar>
            <w:top w:w="0" w:type="dxa"/>
            <w:left w:w="108" w:type="dxa"/>
            <w:bottom w:w="0" w:type="dxa"/>
            <w:right w:w="108" w:type="dxa"/>
          </w:tblCellMar>
        </w:tblPrEx>
        <w:trPr>
          <w:trHeight w:val="300" w:hRule="atLeast"/>
        </w:trPr>
        <w:tc>
          <w:tcPr>
            <w:tcW w:w="306" w:type="pct"/>
            <w:vMerge w:val="restart"/>
            <w:tcBorders>
              <w:top w:val="single" w:color="000000" w:sz="12"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576" w:type="pct"/>
            <w:vMerge w:val="restart"/>
            <w:tcBorders>
              <w:top w:val="single" w:color="000000" w:sz="12"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w:t>
            </w:r>
          </w:p>
        </w:tc>
        <w:tc>
          <w:tcPr>
            <w:tcW w:w="306" w:type="pct"/>
            <w:vMerge w:val="restart"/>
            <w:tcBorders>
              <w:top w:val="single" w:color="000000" w:sz="12"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合计</w:t>
            </w:r>
          </w:p>
        </w:tc>
        <w:tc>
          <w:tcPr>
            <w:tcW w:w="614" w:type="pct"/>
            <w:gridSpan w:val="2"/>
            <w:tcBorders>
              <w:top w:val="single" w:color="000000" w:sz="12"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建设期</w:t>
            </w:r>
          </w:p>
        </w:tc>
        <w:tc>
          <w:tcPr>
            <w:tcW w:w="3195" w:type="pct"/>
            <w:gridSpan w:val="10"/>
            <w:tcBorders>
              <w:top w:val="single" w:color="000000" w:sz="12"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运营期</w:t>
            </w:r>
          </w:p>
        </w:tc>
      </w:tr>
      <w:tr>
        <w:tblPrEx>
          <w:shd w:val="clear"/>
          <w:tblCellMar>
            <w:top w:w="0" w:type="dxa"/>
            <w:left w:w="108" w:type="dxa"/>
            <w:bottom w:w="0" w:type="dxa"/>
            <w:right w:w="108" w:type="dxa"/>
          </w:tblCellMar>
        </w:tblPrEx>
        <w:trPr>
          <w:trHeight w:val="300" w:hRule="atLeast"/>
        </w:trPr>
        <w:tc>
          <w:tcPr>
            <w:tcW w:w="306" w:type="pct"/>
            <w:vMerge w:val="continue"/>
            <w:tcBorders>
              <w:top w:val="single" w:color="000000" w:sz="12"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18"/>
                <w:szCs w:val="18"/>
                <w:u w:val="none"/>
              </w:rPr>
            </w:pPr>
          </w:p>
        </w:tc>
        <w:tc>
          <w:tcPr>
            <w:tcW w:w="576" w:type="pct"/>
            <w:vMerge w:val="continue"/>
            <w:tcBorders>
              <w:top w:val="single" w:color="000000" w:sz="12"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18"/>
                <w:szCs w:val="18"/>
                <w:u w:val="none"/>
              </w:rPr>
            </w:pPr>
          </w:p>
        </w:tc>
        <w:tc>
          <w:tcPr>
            <w:tcW w:w="306" w:type="pct"/>
            <w:vMerge w:val="continue"/>
            <w:tcBorders>
              <w:top w:val="single" w:color="000000" w:sz="12"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w:t>
            </w:r>
          </w:p>
        </w:tc>
        <w:tc>
          <w:tcPr>
            <w:tcW w:w="30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6</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7</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8</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9</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10</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w:t>
            </w:r>
          </w:p>
        </w:tc>
        <w:tc>
          <w:tcPr>
            <w:tcW w:w="33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12</w:t>
            </w:r>
          </w:p>
        </w:tc>
      </w:tr>
      <w:tr>
        <w:tblPrEx>
          <w:shd w:val="clear"/>
          <w:tblCellMar>
            <w:top w:w="0" w:type="dxa"/>
            <w:left w:w="108" w:type="dxa"/>
            <w:bottom w:w="0" w:type="dxa"/>
            <w:right w:w="108" w:type="dxa"/>
          </w:tblCellMar>
        </w:tblPrEx>
        <w:trPr>
          <w:trHeight w:val="285" w:hRule="atLeast"/>
        </w:trPr>
        <w:tc>
          <w:tcPr>
            <w:tcW w:w="306"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w:t>
            </w:r>
          </w:p>
        </w:tc>
        <w:tc>
          <w:tcPr>
            <w:tcW w:w="57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营业收入</w:t>
            </w:r>
          </w:p>
        </w:tc>
        <w:tc>
          <w:tcPr>
            <w:tcW w:w="30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561024</w:t>
            </w:r>
          </w:p>
        </w:tc>
        <w:tc>
          <w:tcPr>
            <w:tcW w:w="30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56102.4</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56102.4</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56102.4</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56102.4</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56102.4</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56102.4</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56102.4</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56102.4</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56102.4</w:t>
            </w:r>
          </w:p>
        </w:tc>
        <w:tc>
          <w:tcPr>
            <w:tcW w:w="336"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56102.4</w:t>
            </w:r>
          </w:p>
        </w:tc>
      </w:tr>
      <w:tr>
        <w:tblPrEx>
          <w:shd w:val="clear"/>
          <w:tblCellMar>
            <w:top w:w="0" w:type="dxa"/>
            <w:left w:w="108" w:type="dxa"/>
            <w:bottom w:w="0" w:type="dxa"/>
            <w:right w:w="108" w:type="dxa"/>
          </w:tblCellMar>
        </w:tblPrEx>
        <w:trPr>
          <w:trHeight w:val="285" w:hRule="atLeast"/>
        </w:trPr>
        <w:tc>
          <w:tcPr>
            <w:tcW w:w="306"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w:t>
            </w:r>
          </w:p>
        </w:tc>
        <w:tc>
          <w:tcPr>
            <w:tcW w:w="57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营业税金及附加</w:t>
            </w:r>
          </w:p>
        </w:tc>
        <w:tc>
          <w:tcPr>
            <w:tcW w:w="30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3212.06</w:t>
            </w:r>
          </w:p>
        </w:tc>
        <w:tc>
          <w:tcPr>
            <w:tcW w:w="30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321.21</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321.21</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321.21</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321.21</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321.21</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321.21</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321.21</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321.21</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321.21</w:t>
            </w:r>
          </w:p>
        </w:tc>
        <w:tc>
          <w:tcPr>
            <w:tcW w:w="336"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321.21</w:t>
            </w:r>
          </w:p>
        </w:tc>
      </w:tr>
      <w:tr>
        <w:tblPrEx>
          <w:shd w:val="clear"/>
          <w:tblCellMar>
            <w:top w:w="0" w:type="dxa"/>
            <w:left w:w="108" w:type="dxa"/>
            <w:bottom w:w="0" w:type="dxa"/>
            <w:right w:w="108" w:type="dxa"/>
          </w:tblCellMar>
        </w:tblPrEx>
        <w:trPr>
          <w:trHeight w:val="285" w:hRule="atLeast"/>
        </w:trPr>
        <w:tc>
          <w:tcPr>
            <w:tcW w:w="306"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w:t>
            </w:r>
          </w:p>
        </w:tc>
        <w:tc>
          <w:tcPr>
            <w:tcW w:w="57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总成本费用</w:t>
            </w:r>
          </w:p>
        </w:tc>
        <w:tc>
          <w:tcPr>
            <w:tcW w:w="30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239745.58</w:t>
            </w:r>
          </w:p>
        </w:tc>
        <w:tc>
          <w:tcPr>
            <w:tcW w:w="30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30023.88</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29418.24</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28812.6</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28206.96</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27601.32</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20347.79</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19742.15</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19136.51</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18530.87</w:t>
            </w:r>
          </w:p>
        </w:tc>
        <w:tc>
          <w:tcPr>
            <w:tcW w:w="336"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17925.23</w:t>
            </w:r>
          </w:p>
        </w:tc>
      </w:tr>
      <w:tr>
        <w:tblPrEx>
          <w:shd w:val="clear"/>
          <w:tblCellMar>
            <w:top w:w="0" w:type="dxa"/>
            <w:left w:w="108" w:type="dxa"/>
            <w:bottom w:w="0" w:type="dxa"/>
            <w:right w:w="108" w:type="dxa"/>
          </w:tblCellMar>
        </w:tblPrEx>
        <w:trPr>
          <w:trHeight w:val="250" w:hRule="atLeast"/>
        </w:trPr>
        <w:tc>
          <w:tcPr>
            <w:tcW w:w="306"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w:t>
            </w:r>
          </w:p>
        </w:tc>
        <w:tc>
          <w:tcPr>
            <w:tcW w:w="57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补贴收入</w:t>
            </w:r>
          </w:p>
        </w:tc>
        <w:tc>
          <w:tcPr>
            <w:tcW w:w="30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36"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r>
      <w:tr>
        <w:tblPrEx>
          <w:tblCellMar>
            <w:top w:w="0" w:type="dxa"/>
            <w:left w:w="108" w:type="dxa"/>
            <w:bottom w:w="0" w:type="dxa"/>
            <w:right w:w="108" w:type="dxa"/>
          </w:tblCellMar>
        </w:tblPrEx>
        <w:trPr>
          <w:trHeight w:val="285" w:hRule="atLeast"/>
        </w:trPr>
        <w:tc>
          <w:tcPr>
            <w:tcW w:w="306"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6</w:t>
            </w:r>
          </w:p>
        </w:tc>
        <w:tc>
          <w:tcPr>
            <w:tcW w:w="57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利润总额（</w:t>
            </w:r>
            <w:r>
              <w:rPr>
                <w:rFonts w:hint="default" w:ascii="Times New Roman" w:hAnsi="Times New Roman" w:eastAsia="宋体" w:cs="Times New Roman"/>
                <w:i w:val="0"/>
                <w:iCs w:val="0"/>
                <w:color w:val="000000"/>
                <w:kern w:val="0"/>
                <w:sz w:val="18"/>
                <w:szCs w:val="18"/>
                <w:u w:val="none"/>
                <w:bdr w:val="none" w:color="auto" w:sz="0" w:space="0"/>
                <w:lang w:val="en-US" w:eastAsia="zh-CN" w:bidi="ar"/>
              </w:rPr>
              <w:t>1-2-3+4</w:t>
            </w: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30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318066.36</w:t>
            </w:r>
          </w:p>
        </w:tc>
        <w:tc>
          <w:tcPr>
            <w:tcW w:w="30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25757.31</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26362.95</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26968.59</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27574.23</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28179.87</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35433.4</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36039.04</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36644.68</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37250.32</w:t>
            </w:r>
          </w:p>
        </w:tc>
        <w:tc>
          <w:tcPr>
            <w:tcW w:w="336"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37855.96</w:t>
            </w:r>
          </w:p>
        </w:tc>
      </w:tr>
      <w:tr>
        <w:tblPrEx>
          <w:shd w:val="clear"/>
          <w:tblCellMar>
            <w:top w:w="0" w:type="dxa"/>
            <w:left w:w="108" w:type="dxa"/>
            <w:bottom w:w="0" w:type="dxa"/>
            <w:right w:w="108" w:type="dxa"/>
          </w:tblCellMar>
        </w:tblPrEx>
        <w:trPr>
          <w:trHeight w:val="285" w:hRule="atLeast"/>
        </w:trPr>
        <w:tc>
          <w:tcPr>
            <w:tcW w:w="306"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7</w:t>
            </w:r>
          </w:p>
        </w:tc>
        <w:tc>
          <w:tcPr>
            <w:tcW w:w="57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弥补以前年度亏损</w:t>
            </w:r>
          </w:p>
        </w:tc>
        <w:tc>
          <w:tcPr>
            <w:tcW w:w="30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36"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r>
      <w:tr>
        <w:tblPrEx>
          <w:shd w:val="clear"/>
          <w:tblCellMar>
            <w:top w:w="0" w:type="dxa"/>
            <w:left w:w="108" w:type="dxa"/>
            <w:bottom w:w="0" w:type="dxa"/>
            <w:right w:w="108" w:type="dxa"/>
          </w:tblCellMar>
        </w:tblPrEx>
        <w:trPr>
          <w:trHeight w:val="285" w:hRule="atLeast"/>
        </w:trPr>
        <w:tc>
          <w:tcPr>
            <w:tcW w:w="306"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8</w:t>
            </w:r>
          </w:p>
        </w:tc>
        <w:tc>
          <w:tcPr>
            <w:tcW w:w="57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应纳税所得额（</w:t>
            </w: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w:t>
            </w: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30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318066.36</w:t>
            </w:r>
          </w:p>
        </w:tc>
        <w:tc>
          <w:tcPr>
            <w:tcW w:w="30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25757.31</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26362.95</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26968.59</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27574.23</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28179.87</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35433.4</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36039.04</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36644.68</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37250.32</w:t>
            </w:r>
          </w:p>
        </w:tc>
        <w:tc>
          <w:tcPr>
            <w:tcW w:w="336"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37855.96</w:t>
            </w:r>
          </w:p>
        </w:tc>
      </w:tr>
      <w:tr>
        <w:tblPrEx>
          <w:shd w:val="clear"/>
          <w:tblCellMar>
            <w:top w:w="0" w:type="dxa"/>
            <w:left w:w="108" w:type="dxa"/>
            <w:bottom w:w="0" w:type="dxa"/>
            <w:right w:w="108" w:type="dxa"/>
          </w:tblCellMar>
        </w:tblPrEx>
        <w:trPr>
          <w:trHeight w:val="285" w:hRule="atLeast"/>
        </w:trPr>
        <w:tc>
          <w:tcPr>
            <w:tcW w:w="306"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9</w:t>
            </w:r>
          </w:p>
        </w:tc>
        <w:tc>
          <w:tcPr>
            <w:tcW w:w="57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所得税</w:t>
            </w:r>
          </w:p>
        </w:tc>
        <w:tc>
          <w:tcPr>
            <w:tcW w:w="30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79516.59</w:t>
            </w:r>
          </w:p>
        </w:tc>
        <w:tc>
          <w:tcPr>
            <w:tcW w:w="30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6439.33</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6590.74</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6742.15</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6893.56</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7044.97</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8858.35</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9009.76</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9161.17</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9312.58</w:t>
            </w:r>
          </w:p>
        </w:tc>
        <w:tc>
          <w:tcPr>
            <w:tcW w:w="336"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9463.99</w:t>
            </w:r>
          </w:p>
        </w:tc>
      </w:tr>
      <w:tr>
        <w:tblPrEx>
          <w:shd w:val="clear"/>
          <w:tblCellMar>
            <w:top w:w="0" w:type="dxa"/>
            <w:left w:w="108" w:type="dxa"/>
            <w:bottom w:w="0" w:type="dxa"/>
            <w:right w:w="108" w:type="dxa"/>
          </w:tblCellMar>
        </w:tblPrEx>
        <w:trPr>
          <w:trHeight w:val="285" w:hRule="atLeast"/>
        </w:trPr>
        <w:tc>
          <w:tcPr>
            <w:tcW w:w="306"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10</w:t>
            </w:r>
          </w:p>
        </w:tc>
        <w:tc>
          <w:tcPr>
            <w:tcW w:w="57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净利润（</w:t>
            </w:r>
            <w:r>
              <w:rPr>
                <w:rFonts w:hint="default" w:ascii="Times New Roman" w:hAnsi="Times New Roman" w:eastAsia="宋体" w:cs="Times New Roman"/>
                <w:i w:val="0"/>
                <w:iCs w:val="0"/>
                <w:color w:val="000000"/>
                <w:kern w:val="0"/>
                <w:sz w:val="18"/>
                <w:szCs w:val="18"/>
                <w:u w:val="none"/>
                <w:bdr w:val="none" w:color="auto" w:sz="0" w:space="0"/>
                <w:lang w:val="en-US" w:eastAsia="zh-CN" w:bidi="ar"/>
              </w:rPr>
              <w:t>5-8</w:t>
            </w: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30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238549.77</w:t>
            </w:r>
          </w:p>
        </w:tc>
        <w:tc>
          <w:tcPr>
            <w:tcW w:w="30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19317.99</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19772.22</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20226.45</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20680.68</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21134.91</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26575.05</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27029.28</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27483.51</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27937.74</w:t>
            </w:r>
          </w:p>
        </w:tc>
        <w:tc>
          <w:tcPr>
            <w:tcW w:w="336"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28391.97</w:t>
            </w:r>
          </w:p>
        </w:tc>
      </w:tr>
      <w:tr>
        <w:tblPrEx>
          <w:tblCellMar>
            <w:top w:w="0" w:type="dxa"/>
            <w:left w:w="108" w:type="dxa"/>
            <w:bottom w:w="0" w:type="dxa"/>
            <w:right w:w="108" w:type="dxa"/>
          </w:tblCellMar>
        </w:tblPrEx>
        <w:trPr>
          <w:trHeight w:val="285" w:hRule="atLeast"/>
        </w:trPr>
        <w:tc>
          <w:tcPr>
            <w:tcW w:w="306"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w:t>
            </w:r>
          </w:p>
        </w:tc>
        <w:tc>
          <w:tcPr>
            <w:tcW w:w="57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期初未分配利润</w:t>
            </w:r>
          </w:p>
        </w:tc>
        <w:tc>
          <w:tcPr>
            <w:tcW w:w="30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17386.19</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35181.18</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53384.98</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71997.59</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91019</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114936.55</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139262.9</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163998.06</w:t>
            </w:r>
          </w:p>
        </w:tc>
        <w:tc>
          <w:tcPr>
            <w:tcW w:w="336"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189142.02</w:t>
            </w:r>
          </w:p>
        </w:tc>
      </w:tr>
      <w:tr>
        <w:tblPrEx>
          <w:shd w:val="clear"/>
          <w:tblCellMar>
            <w:top w:w="0" w:type="dxa"/>
            <w:left w:w="108" w:type="dxa"/>
            <w:bottom w:w="0" w:type="dxa"/>
            <w:right w:w="108" w:type="dxa"/>
          </w:tblCellMar>
        </w:tblPrEx>
        <w:trPr>
          <w:trHeight w:val="285" w:hRule="atLeast"/>
        </w:trPr>
        <w:tc>
          <w:tcPr>
            <w:tcW w:w="306"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12</w:t>
            </w:r>
          </w:p>
        </w:tc>
        <w:tc>
          <w:tcPr>
            <w:tcW w:w="57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可供分配利润（</w:t>
            </w:r>
            <w:r>
              <w:rPr>
                <w:rFonts w:hint="default" w:ascii="Times New Roman" w:hAnsi="Times New Roman" w:eastAsia="宋体" w:cs="Times New Roman"/>
                <w:i w:val="0"/>
                <w:iCs w:val="0"/>
                <w:color w:val="000000"/>
                <w:kern w:val="0"/>
                <w:sz w:val="18"/>
                <w:szCs w:val="18"/>
                <w:u w:val="none"/>
                <w:bdr w:val="none" w:color="auto" w:sz="0" w:space="0"/>
                <w:lang w:val="en-US" w:eastAsia="zh-CN" w:bidi="ar"/>
              </w:rPr>
              <w:t>9+10</w:t>
            </w: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30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19317.99</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37158.4</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55407.63</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74065.66</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93132.49</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117594.05</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141965.83</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166746.41</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191935.8</w:t>
            </w:r>
          </w:p>
        </w:tc>
        <w:tc>
          <w:tcPr>
            <w:tcW w:w="336"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217533.99</w:t>
            </w:r>
          </w:p>
        </w:tc>
      </w:tr>
      <w:tr>
        <w:tblPrEx>
          <w:shd w:val="clear"/>
          <w:tblCellMar>
            <w:top w:w="0" w:type="dxa"/>
            <w:left w:w="108" w:type="dxa"/>
            <w:bottom w:w="0" w:type="dxa"/>
            <w:right w:w="108" w:type="dxa"/>
          </w:tblCellMar>
        </w:tblPrEx>
        <w:trPr>
          <w:trHeight w:val="285" w:hRule="atLeast"/>
        </w:trPr>
        <w:tc>
          <w:tcPr>
            <w:tcW w:w="306"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13</w:t>
            </w:r>
          </w:p>
        </w:tc>
        <w:tc>
          <w:tcPr>
            <w:tcW w:w="57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提取法定盈余公积金</w:t>
            </w:r>
          </w:p>
        </w:tc>
        <w:tc>
          <w:tcPr>
            <w:tcW w:w="30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23854.98</w:t>
            </w:r>
          </w:p>
        </w:tc>
        <w:tc>
          <w:tcPr>
            <w:tcW w:w="30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1931.8</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1977.22</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2022.64</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2068.07</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2113.49</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2657.5</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2702.93</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2748.35</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2793.77</w:t>
            </w:r>
          </w:p>
        </w:tc>
        <w:tc>
          <w:tcPr>
            <w:tcW w:w="336"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2839.2</w:t>
            </w:r>
          </w:p>
        </w:tc>
      </w:tr>
      <w:tr>
        <w:tblPrEx>
          <w:shd w:val="clear"/>
          <w:tblCellMar>
            <w:top w:w="0" w:type="dxa"/>
            <w:left w:w="108" w:type="dxa"/>
            <w:bottom w:w="0" w:type="dxa"/>
            <w:right w:w="108" w:type="dxa"/>
          </w:tblCellMar>
        </w:tblPrEx>
        <w:trPr>
          <w:trHeight w:val="705" w:hRule="atLeast"/>
        </w:trPr>
        <w:tc>
          <w:tcPr>
            <w:tcW w:w="306"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w:t>
            </w:r>
          </w:p>
        </w:tc>
        <w:tc>
          <w:tcPr>
            <w:tcW w:w="576" w:type="pct"/>
            <w:tcBorders>
              <w:top w:val="single" w:color="000000" w:sz="8" w:space="0"/>
              <w:left w:val="single" w:color="000000" w:sz="8" w:space="0"/>
              <w:bottom w:val="single" w:color="000000" w:sz="8" w:space="0"/>
              <w:right w:val="single" w:color="000000" w:sz="8" w:space="0"/>
            </w:tcBorders>
            <w:shd w:val="cle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可供投资者分配的利润（</w:t>
            </w: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11-12</w:t>
            </w: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30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17386.19</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35181.18</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53384.98</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71997.59</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91019</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114936.55</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139262.9</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163998.06</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189142.02</w:t>
            </w:r>
          </w:p>
        </w:tc>
        <w:tc>
          <w:tcPr>
            <w:tcW w:w="336"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214694.8</w:t>
            </w:r>
          </w:p>
        </w:tc>
      </w:tr>
      <w:tr>
        <w:tblPrEx>
          <w:shd w:val="clear"/>
          <w:tblCellMar>
            <w:top w:w="0" w:type="dxa"/>
            <w:left w:w="108" w:type="dxa"/>
            <w:bottom w:w="0" w:type="dxa"/>
            <w:right w:w="108" w:type="dxa"/>
          </w:tblCellMar>
        </w:tblPrEx>
        <w:trPr>
          <w:trHeight w:val="285" w:hRule="atLeast"/>
        </w:trPr>
        <w:tc>
          <w:tcPr>
            <w:tcW w:w="306"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15</w:t>
            </w:r>
          </w:p>
        </w:tc>
        <w:tc>
          <w:tcPr>
            <w:tcW w:w="57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应付优先股股利</w:t>
            </w:r>
          </w:p>
        </w:tc>
        <w:tc>
          <w:tcPr>
            <w:tcW w:w="30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36"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r>
      <w:tr>
        <w:tblPrEx>
          <w:shd w:val="clear"/>
          <w:tblCellMar>
            <w:top w:w="0" w:type="dxa"/>
            <w:left w:w="108" w:type="dxa"/>
            <w:bottom w:w="0" w:type="dxa"/>
            <w:right w:w="108" w:type="dxa"/>
          </w:tblCellMar>
        </w:tblPrEx>
        <w:trPr>
          <w:trHeight w:val="285" w:hRule="atLeast"/>
        </w:trPr>
        <w:tc>
          <w:tcPr>
            <w:tcW w:w="306"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16</w:t>
            </w:r>
          </w:p>
        </w:tc>
        <w:tc>
          <w:tcPr>
            <w:tcW w:w="57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提取任意盈余公积金</w:t>
            </w:r>
          </w:p>
        </w:tc>
        <w:tc>
          <w:tcPr>
            <w:tcW w:w="30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36"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r>
      <w:tr>
        <w:tblPrEx>
          <w:shd w:val="clear"/>
          <w:tblCellMar>
            <w:top w:w="0" w:type="dxa"/>
            <w:left w:w="108" w:type="dxa"/>
            <w:bottom w:w="0" w:type="dxa"/>
            <w:right w:w="108" w:type="dxa"/>
          </w:tblCellMar>
        </w:tblPrEx>
        <w:trPr>
          <w:trHeight w:val="720" w:hRule="atLeast"/>
        </w:trPr>
        <w:tc>
          <w:tcPr>
            <w:tcW w:w="306"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17</w:t>
            </w:r>
          </w:p>
        </w:tc>
        <w:tc>
          <w:tcPr>
            <w:tcW w:w="576" w:type="pct"/>
            <w:tcBorders>
              <w:top w:val="single" w:color="000000" w:sz="8" w:space="0"/>
              <w:left w:val="single" w:color="000000" w:sz="8" w:space="0"/>
              <w:bottom w:val="single" w:color="000000" w:sz="8" w:space="0"/>
              <w:right w:val="single" w:color="000000" w:sz="8" w:space="0"/>
            </w:tcBorders>
            <w:shd w:val="cle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应付普通股股利</w:t>
            </w:r>
            <w:r>
              <w:rPr>
                <w:rFonts w:hint="default" w:ascii="Times New Roman" w:hAnsi="Times New Roman" w:eastAsia="宋体" w:cs="Times New Roman"/>
                <w:i w:val="0"/>
                <w:iCs w:val="0"/>
                <w:color w:val="000000"/>
                <w:kern w:val="0"/>
                <w:sz w:val="18"/>
                <w:szCs w:val="18"/>
                <w:u w:val="none"/>
                <w:bdr w:val="none" w:color="auto" w:sz="0" w:space="0"/>
                <w:lang w:val="en-US" w:eastAsia="zh-CN" w:bidi="ar"/>
              </w:rPr>
              <w:t>13-14-15</w:t>
            </w: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30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17386.19</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35181.18</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53384.98</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71997.59</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91019</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114936.55</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139262.9</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163998.06</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189142.02</w:t>
            </w:r>
          </w:p>
        </w:tc>
        <w:tc>
          <w:tcPr>
            <w:tcW w:w="336"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214694.8</w:t>
            </w:r>
          </w:p>
        </w:tc>
      </w:tr>
      <w:tr>
        <w:tblPrEx>
          <w:shd w:val="clear"/>
          <w:tblCellMar>
            <w:top w:w="0" w:type="dxa"/>
            <w:left w:w="108" w:type="dxa"/>
            <w:bottom w:w="0" w:type="dxa"/>
            <w:right w:w="108" w:type="dxa"/>
          </w:tblCellMar>
        </w:tblPrEx>
        <w:trPr>
          <w:trHeight w:val="285" w:hRule="atLeast"/>
        </w:trPr>
        <w:tc>
          <w:tcPr>
            <w:tcW w:w="306"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18</w:t>
            </w:r>
          </w:p>
        </w:tc>
        <w:tc>
          <w:tcPr>
            <w:tcW w:w="57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各投资方利润分配：</w:t>
            </w:r>
          </w:p>
        </w:tc>
        <w:tc>
          <w:tcPr>
            <w:tcW w:w="30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36"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r>
      <w:tr>
        <w:tblPrEx>
          <w:shd w:val="clear"/>
          <w:tblCellMar>
            <w:top w:w="0" w:type="dxa"/>
            <w:left w:w="108" w:type="dxa"/>
            <w:bottom w:w="0" w:type="dxa"/>
            <w:right w:w="108" w:type="dxa"/>
          </w:tblCellMar>
        </w:tblPrEx>
        <w:trPr>
          <w:trHeight w:val="720" w:hRule="atLeast"/>
        </w:trPr>
        <w:tc>
          <w:tcPr>
            <w:tcW w:w="306"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19</w:t>
            </w:r>
          </w:p>
        </w:tc>
        <w:tc>
          <w:tcPr>
            <w:tcW w:w="576" w:type="pct"/>
            <w:tcBorders>
              <w:top w:val="single" w:color="000000" w:sz="8" w:space="0"/>
              <w:left w:val="single" w:color="000000" w:sz="8" w:space="0"/>
              <w:bottom w:val="single" w:color="000000" w:sz="8" w:space="0"/>
              <w:right w:val="single" w:color="000000" w:sz="8" w:space="0"/>
            </w:tcBorders>
            <w:shd w:val="cle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未分配利润（</w:t>
            </w:r>
            <w:r>
              <w:rPr>
                <w:rFonts w:hint="default" w:ascii="Times New Roman" w:hAnsi="Times New Roman" w:eastAsia="宋体" w:cs="Times New Roman"/>
                <w:i w:val="0"/>
                <w:iCs w:val="0"/>
                <w:color w:val="000000"/>
                <w:kern w:val="0"/>
                <w:sz w:val="18"/>
                <w:szCs w:val="18"/>
                <w:u w:val="none"/>
                <w:bdr w:val="none" w:color="auto" w:sz="0" w:space="0"/>
                <w:lang w:val="en-US" w:eastAsia="zh-CN" w:bidi="ar"/>
              </w:rPr>
              <w:t>13-14-15-17</w:t>
            </w: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30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17386.19</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35181.18</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53384.98</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71997.59</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91019</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114936.55</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139262.9</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163998.06</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189142.02</w:t>
            </w:r>
          </w:p>
        </w:tc>
        <w:tc>
          <w:tcPr>
            <w:tcW w:w="336"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214694.8</w:t>
            </w:r>
          </w:p>
        </w:tc>
      </w:tr>
      <w:tr>
        <w:tblPrEx>
          <w:shd w:val="clear"/>
          <w:tblCellMar>
            <w:top w:w="0" w:type="dxa"/>
            <w:left w:w="108" w:type="dxa"/>
            <w:bottom w:w="0" w:type="dxa"/>
            <w:right w:w="108" w:type="dxa"/>
          </w:tblCellMar>
        </w:tblPrEx>
        <w:trPr>
          <w:trHeight w:val="285" w:hRule="atLeast"/>
        </w:trPr>
        <w:tc>
          <w:tcPr>
            <w:tcW w:w="306"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20</w:t>
            </w:r>
          </w:p>
        </w:tc>
        <w:tc>
          <w:tcPr>
            <w:tcW w:w="576" w:type="pct"/>
            <w:tcBorders>
              <w:top w:val="single" w:color="000000" w:sz="8" w:space="0"/>
              <w:left w:val="single" w:color="000000" w:sz="8" w:space="0"/>
              <w:bottom w:val="single" w:color="000000" w:sz="8" w:space="0"/>
              <w:right w:val="single" w:color="000000" w:sz="8" w:space="0"/>
            </w:tcBorders>
            <w:shd w:val="cle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息税前利润</w:t>
            </w:r>
          </w:p>
        </w:tc>
        <w:tc>
          <w:tcPr>
            <w:tcW w:w="30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348348.36</w:t>
            </w:r>
          </w:p>
        </w:tc>
        <w:tc>
          <w:tcPr>
            <w:tcW w:w="306"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31510.89</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31510.89</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31510.89</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31510.89</w:t>
            </w:r>
          </w:p>
        </w:tc>
        <w:tc>
          <w:tcPr>
            <w:tcW w:w="30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31510.89</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38158.78</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38158.78</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38158.78</w:t>
            </w:r>
          </w:p>
        </w:tc>
        <w:tc>
          <w:tcPr>
            <w:tcW w:w="334"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38158.78</w:t>
            </w:r>
          </w:p>
        </w:tc>
        <w:tc>
          <w:tcPr>
            <w:tcW w:w="336"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38158.78</w:t>
            </w:r>
          </w:p>
        </w:tc>
      </w:tr>
      <w:tr>
        <w:tblPrEx>
          <w:shd w:val="clear"/>
          <w:tblCellMar>
            <w:top w:w="0" w:type="dxa"/>
            <w:left w:w="108" w:type="dxa"/>
            <w:bottom w:w="0" w:type="dxa"/>
            <w:right w:w="108" w:type="dxa"/>
          </w:tblCellMar>
        </w:tblPrEx>
        <w:trPr>
          <w:trHeight w:val="285" w:hRule="atLeast"/>
        </w:trPr>
        <w:tc>
          <w:tcPr>
            <w:tcW w:w="306" w:type="pct"/>
            <w:tcBorders>
              <w:top w:val="single" w:color="000000" w:sz="8" w:space="0"/>
              <w:left w:val="single" w:color="000000" w:sz="12" w:space="0"/>
              <w:bottom w:val="single" w:color="000000" w:sz="12"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21</w:t>
            </w:r>
          </w:p>
        </w:tc>
        <w:tc>
          <w:tcPr>
            <w:tcW w:w="576"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息税折旧摊销前利润</w:t>
            </w:r>
          </w:p>
        </w:tc>
        <w:tc>
          <w:tcPr>
            <w:tcW w:w="306"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412142.6</w:t>
            </w:r>
          </w:p>
        </w:tc>
        <w:tc>
          <w:tcPr>
            <w:tcW w:w="306"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7"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3"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41214.26</w:t>
            </w:r>
          </w:p>
        </w:tc>
        <w:tc>
          <w:tcPr>
            <w:tcW w:w="303"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41214.26</w:t>
            </w:r>
          </w:p>
        </w:tc>
        <w:tc>
          <w:tcPr>
            <w:tcW w:w="303"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41214.26</w:t>
            </w:r>
          </w:p>
        </w:tc>
        <w:tc>
          <w:tcPr>
            <w:tcW w:w="303"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41214.26</w:t>
            </w:r>
          </w:p>
        </w:tc>
        <w:tc>
          <w:tcPr>
            <w:tcW w:w="303"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41214.26</w:t>
            </w:r>
          </w:p>
        </w:tc>
        <w:tc>
          <w:tcPr>
            <w:tcW w:w="334"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41214.26</w:t>
            </w:r>
          </w:p>
        </w:tc>
        <w:tc>
          <w:tcPr>
            <w:tcW w:w="334"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41214.26</w:t>
            </w:r>
          </w:p>
        </w:tc>
        <w:tc>
          <w:tcPr>
            <w:tcW w:w="334"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41214.26</w:t>
            </w:r>
          </w:p>
        </w:tc>
        <w:tc>
          <w:tcPr>
            <w:tcW w:w="334"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41214.26</w:t>
            </w:r>
          </w:p>
        </w:tc>
        <w:tc>
          <w:tcPr>
            <w:tcW w:w="336" w:type="pct"/>
            <w:tcBorders>
              <w:top w:val="single" w:color="000000" w:sz="8" w:space="0"/>
              <w:left w:val="single" w:color="000000" w:sz="8" w:space="0"/>
              <w:bottom w:val="single" w:color="000000" w:sz="12"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41214.26</w:t>
            </w:r>
          </w:p>
        </w:tc>
      </w:tr>
    </w:tbl>
    <w:p>
      <w:pPr>
        <w:widowControl/>
        <w:spacing w:line="240" w:lineRule="auto"/>
        <w:ind w:firstLine="0" w:firstLineChars="0"/>
        <w:jc w:val="left"/>
        <w:rPr>
          <w:rFonts w:cs="Times New Roman"/>
          <w:b/>
          <w:bCs/>
          <w:color w:val="auto"/>
          <w:highlight w:val="none"/>
        </w:rPr>
        <w:sectPr>
          <w:pgSz w:w="16838" w:h="11906" w:orient="landscape"/>
          <w:pgMar w:top="1702" w:right="1440" w:bottom="1560" w:left="1440" w:header="851" w:footer="992" w:gutter="0"/>
          <w:cols w:space="720" w:num="1"/>
          <w:docGrid w:type="lines" w:linePitch="326" w:charSpace="0"/>
        </w:sectPr>
      </w:pPr>
    </w:p>
    <w:p>
      <w:pPr>
        <w:widowControl/>
        <w:spacing w:line="240" w:lineRule="auto"/>
        <w:ind w:firstLine="0" w:firstLineChars="0"/>
        <w:jc w:val="left"/>
        <w:rPr>
          <w:rFonts w:cs="Times New Roman"/>
          <w:color w:val="auto"/>
          <w:highlight w:val="none"/>
        </w:rPr>
      </w:pPr>
      <w:r>
        <w:rPr>
          <w:rFonts w:cs="Times New Roman"/>
          <w:b/>
          <w:bCs/>
          <w:color w:val="auto"/>
          <w:highlight w:val="none"/>
        </w:rPr>
        <w:t xml:space="preserve">附表5                                              投资现金流量表                                        </w:t>
      </w:r>
      <w:r>
        <w:rPr>
          <w:rFonts w:cs="Times New Roman"/>
          <w:b/>
          <w:bCs/>
          <w:color w:val="auto"/>
          <w:sz w:val="21"/>
          <w:szCs w:val="21"/>
          <w:highlight w:val="none"/>
        </w:rPr>
        <w:t>单位：万元</w:t>
      </w:r>
    </w:p>
    <w:tbl>
      <w:tblPr>
        <w:tblW w:w="4998" w:type="pct"/>
        <w:tblInd w:w="0" w:type="dxa"/>
        <w:shd w:val="clear"/>
        <w:tblLayout w:type="autofit"/>
        <w:tblCellMar>
          <w:top w:w="0" w:type="dxa"/>
          <w:left w:w="108" w:type="dxa"/>
          <w:bottom w:w="0" w:type="dxa"/>
          <w:right w:w="108" w:type="dxa"/>
        </w:tblCellMar>
      </w:tblPr>
      <w:tblGrid>
        <w:gridCol w:w="1034"/>
        <w:gridCol w:w="2224"/>
        <w:gridCol w:w="861"/>
        <w:gridCol w:w="836"/>
        <w:gridCol w:w="836"/>
        <w:gridCol w:w="836"/>
        <w:gridCol w:w="836"/>
        <w:gridCol w:w="836"/>
        <w:gridCol w:w="785"/>
        <w:gridCol w:w="785"/>
        <w:gridCol w:w="861"/>
        <w:gridCol w:w="861"/>
        <w:gridCol w:w="861"/>
        <w:gridCol w:w="861"/>
        <w:gridCol w:w="861"/>
      </w:tblGrid>
      <w:tr>
        <w:tblPrEx>
          <w:shd w:val="clear"/>
          <w:tblCellMar>
            <w:top w:w="0" w:type="dxa"/>
            <w:left w:w="108" w:type="dxa"/>
            <w:bottom w:w="0" w:type="dxa"/>
            <w:right w:w="108" w:type="dxa"/>
          </w:tblCellMar>
        </w:tblPrEx>
        <w:trPr>
          <w:trHeight w:val="300" w:hRule="atLeast"/>
        </w:trPr>
        <w:tc>
          <w:tcPr>
            <w:tcW w:w="325" w:type="pct"/>
            <w:vMerge w:val="restart"/>
            <w:tcBorders>
              <w:top w:val="single" w:color="000000" w:sz="12"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710" w:type="pct"/>
            <w:vMerge w:val="restart"/>
            <w:tcBorders>
              <w:top w:val="single" w:color="000000" w:sz="12" w:space="0"/>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w:t>
            </w:r>
          </w:p>
        </w:tc>
        <w:tc>
          <w:tcPr>
            <w:tcW w:w="295" w:type="pct"/>
            <w:vMerge w:val="restart"/>
            <w:tcBorders>
              <w:top w:val="single" w:color="000000" w:sz="12" w:space="0"/>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合计</w:t>
            </w:r>
          </w:p>
        </w:tc>
        <w:tc>
          <w:tcPr>
            <w:tcW w:w="591" w:type="pct"/>
            <w:gridSpan w:val="2"/>
            <w:tcBorders>
              <w:top w:val="single" w:color="000000" w:sz="12" w:space="0"/>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建设期</w:t>
            </w:r>
          </w:p>
        </w:tc>
        <w:tc>
          <w:tcPr>
            <w:tcW w:w="3076" w:type="pct"/>
            <w:gridSpan w:val="10"/>
            <w:tcBorders>
              <w:top w:val="single" w:color="000000" w:sz="12" w:space="0"/>
              <w:left w:val="nil"/>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运营期</w:t>
            </w:r>
          </w:p>
        </w:tc>
      </w:tr>
      <w:tr>
        <w:tblPrEx>
          <w:shd w:val="clear"/>
          <w:tblCellMar>
            <w:top w:w="0" w:type="dxa"/>
            <w:left w:w="108" w:type="dxa"/>
            <w:bottom w:w="0" w:type="dxa"/>
            <w:right w:w="108" w:type="dxa"/>
          </w:tblCellMar>
        </w:tblPrEx>
        <w:trPr>
          <w:trHeight w:val="300" w:hRule="atLeast"/>
        </w:trPr>
        <w:tc>
          <w:tcPr>
            <w:tcW w:w="325" w:type="pct"/>
            <w:vMerge w:val="continue"/>
            <w:tcBorders>
              <w:top w:val="single" w:color="000000" w:sz="12"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18"/>
                <w:szCs w:val="18"/>
                <w:u w:val="none"/>
              </w:rPr>
            </w:pPr>
          </w:p>
        </w:tc>
        <w:tc>
          <w:tcPr>
            <w:tcW w:w="710" w:type="pct"/>
            <w:vMerge w:val="continue"/>
            <w:tcBorders>
              <w:top w:val="single" w:color="000000" w:sz="12" w:space="0"/>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18"/>
                <w:szCs w:val="18"/>
                <w:u w:val="none"/>
              </w:rPr>
            </w:pPr>
          </w:p>
        </w:tc>
        <w:tc>
          <w:tcPr>
            <w:tcW w:w="295" w:type="pct"/>
            <w:vMerge w:val="continue"/>
            <w:tcBorders>
              <w:top w:val="single" w:color="000000" w:sz="12" w:space="0"/>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w:t>
            </w: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w:t>
            </w: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w:t>
            </w: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w:t>
            </w: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w:t>
            </w:r>
          </w:p>
        </w:tc>
        <w:tc>
          <w:tcPr>
            <w:tcW w:w="287"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6</w:t>
            </w:r>
          </w:p>
        </w:tc>
        <w:tc>
          <w:tcPr>
            <w:tcW w:w="287"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7</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8</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9</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10</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w:t>
            </w:r>
          </w:p>
        </w:tc>
        <w:tc>
          <w:tcPr>
            <w:tcW w:w="317"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12</w:t>
            </w:r>
          </w:p>
        </w:tc>
      </w:tr>
      <w:tr>
        <w:tblPrEx>
          <w:shd w:val="clear"/>
          <w:tblCellMar>
            <w:top w:w="0" w:type="dxa"/>
            <w:left w:w="108" w:type="dxa"/>
            <w:bottom w:w="0" w:type="dxa"/>
            <w:right w:w="108" w:type="dxa"/>
          </w:tblCellMar>
        </w:tblPrEx>
        <w:trPr>
          <w:trHeight w:val="285" w:hRule="atLeast"/>
        </w:trPr>
        <w:tc>
          <w:tcPr>
            <w:tcW w:w="325" w:type="pct"/>
            <w:tcBorders>
              <w:top w:val="nil"/>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w:t>
            </w:r>
          </w:p>
        </w:tc>
        <w:tc>
          <w:tcPr>
            <w:tcW w:w="710"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现金流入</w:t>
            </w: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626958.05</w:t>
            </w: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56102.4</w:t>
            </w: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56102.4</w:t>
            </w: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56102.4</w:t>
            </w:r>
          </w:p>
        </w:tc>
        <w:tc>
          <w:tcPr>
            <w:tcW w:w="287"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56102.4</w:t>
            </w:r>
          </w:p>
        </w:tc>
        <w:tc>
          <w:tcPr>
            <w:tcW w:w="287"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56102.4</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56102.4</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56102.4</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56102.4</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56102.4</w:t>
            </w:r>
          </w:p>
        </w:tc>
        <w:tc>
          <w:tcPr>
            <w:tcW w:w="317" w:type="pct"/>
            <w:tcBorders>
              <w:top w:val="nil"/>
              <w:left w:val="nil"/>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122036.45</w:t>
            </w:r>
          </w:p>
        </w:tc>
      </w:tr>
      <w:tr>
        <w:tblPrEx>
          <w:shd w:val="clear"/>
          <w:tblCellMar>
            <w:top w:w="0" w:type="dxa"/>
            <w:left w:w="108" w:type="dxa"/>
            <w:bottom w:w="0" w:type="dxa"/>
            <w:right w:w="108" w:type="dxa"/>
          </w:tblCellMar>
        </w:tblPrEx>
        <w:trPr>
          <w:trHeight w:val="285" w:hRule="atLeast"/>
        </w:trPr>
        <w:tc>
          <w:tcPr>
            <w:tcW w:w="325" w:type="pct"/>
            <w:tcBorders>
              <w:top w:val="nil"/>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w:t>
            </w:r>
          </w:p>
        </w:tc>
        <w:tc>
          <w:tcPr>
            <w:tcW w:w="710"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营业收入</w:t>
            </w: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561024</w:t>
            </w: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56102.4</w:t>
            </w: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56102.4</w:t>
            </w: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56102.4</w:t>
            </w:r>
          </w:p>
        </w:tc>
        <w:tc>
          <w:tcPr>
            <w:tcW w:w="287"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56102.4</w:t>
            </w:r>
          </w:p>
        </w:tc>
        <w:tc>
          <w:tcPr>
            <w:tcW w:w="287"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56102.4</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56102.4</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56102.4</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56102.4</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56102.4</w:t>
            </w:r>
          </w:p>
        </w:tc>
        <w:tc>
          <w:tcPr>
            <w:tcW w:w="317" w:type="pct"/>
            <w:tcBorders>
              <w:top w:val="nil"/>
              <w:left w:val="nil"/>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56102.4</w:t>
            </w:r>
          </w:p>
        </w:tc>
      </w:tr>
      <w:tr>
        <w:tblPrEx>
          <w:shd w:val="clear"/>
          <w:tblCellMar>
            <w:top w:w="0" w:type="dxa"/>
            <w:left w:w="108" w:type="dxa"/>
            <w:bottom w:w="0" w:type="dxa"/>
            <w:right w:w="108" w:type="dxa"/>
          </w:tblCellMar>
        </w:tblPrEx>
        <w:trPr>
          <w:trHeight w:val="285" w:hRule="atLeast"/>
        </w:trPr>
        <w:tc>
          <w:tcPr>
            <w:tcW w:w="325" w:type="pct"/>
            <w:tcBorders>
              <w:top w:val="nil"/>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1.2</w:t>
            </w:r>
          </w:p>
        </w:tc>
        <w:tc>
          <w:tcPr>
            <w:tcW w:w="710"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补贴收入</w:t>
            </w: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c>
          <w:tcPr>
            <w:tcW w:w="287"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c>
          <w:tcPr>
            <w:tcW w:w="287"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c>
          <w:tcPr>
            <w:tcW w:w="317" w:type="pct"/>
            <w:tcBorders>
              <w:top w:val="nil"/>
              <w:left w:val="nil"/>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r>
      <w:tr>
        <w:tblPrEx>
          <w:shd w:val="clear"/>
          <w:tblCellMar>
            <w:top w:w="0" w:type="dxa"/>
            <w:left w:w="108" w:type="dxa"/>
            <w:bottom w:w="0" w:type="dxa"/>
            <w:right w:w="108" w:type="dxa"/>
          </w:tblCellMar>
        </w:tblPrEx>
        <w:trPr>
          <w:trHeight w:val="285" w:hRule="atLeast"/>
        </w:trPr>
        <w:tc>
          <w:tcPr>
            <w:tcW w:w="325" w:type="pct"/>
            <w:tcBorders>
              <w:top w:val="nil"/>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1.3</w:t>
            </w:r>
          </w:p>
        </w:tc>
        <w:tc>
          <w:tcPr>
            <w:tcW w:w="710"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回收固定资产余值</w:t>
            </w: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65934.05</w:t>
            </w: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c>
          <w:tcPr>
            <w:tcW w:w="287"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c>
          <w:tcPr>
            <w:tcW w:w="287"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c>
          <w:tcPr>
            <w:tcW w:w="317" w:type="pct"/>
            <w:tcBorders>
              <w:top w:val="nil"/>
              <w:left w:val="nil"/>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65934.05</w:t>
            </w:r>
          </w:p>
        </w:tc>
      </w:tr>
      <w:tr>
        <w:tblPrEx>
          <w:shd w:val="clear"/>
          <w:tblCellMar>
            <w:top w:w="0" w:type="dxa"/>
            <w:left w:w="108" w:type="dxa"/>
            <w:bottom w:w="0" w:type="dxa"/>
            <w:right w:w="108" w:type="dxa"/>
          </w:tblCellMar>
        </w:tblPrEx>
        <w:trPr>
          <w:trHeight w:val="285" w:hRule="atLeast"/>
        </w:trPr>
        <w:tc>
          <w:tcPr>
            <w:tcW w:w="325" w:type="pct"/>
            <w:tcBorders>
              <w:top w:val="nil"/>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w:t>
            </w:r>
          </w:p>
        </w:tc>
        <w:tc>
          <w:tcPr>
            <w:tcW w:w="710"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回收流动资金</w:t>
            </w: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c>
          <w:tcPr>
            <w:tcW w:w="287"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c>
          <w:tcPr>
            <w:tcW w:w="287"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c>
          <w:tcPr>
            <w:tcW w:w="317" w:type="pct"/>
            <w:tcBorders>
              <w:top w:val="nil"/>
              <w:left w:val="nil"/>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r>
      <w:tr>
        <w:tblPrEx>
          <w:shd w:val="clear"/>
          <w:tblCellMar>
            <w:top w:w="0" w:type="dxa"/>
            <w:left w:w="108" w:type="dxa"/>
            <w:bottom w:w="0" w:type="dxa"/>
            <w:right w:w="108" w:type="dxa"/>
          </w:tblCellMar>
        </w:tblPrEx>
        <w:trPr>
          <w:trHeight w:val="285" w:hRule="atLeast"/>
        </w:trPr>
        <w:tc>
          <w:tcPr>
            <w:tcW w:w="325" w:type="pct"/>
            <w:tcBorders>
              <w:top w:val="nil"/>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w:t>
            </w:r>
          </w:p>
        </w:tc>
        <w:tc>
          <w:tcPr>
            <w:tcW w:w="710"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现金流出</w:t>
            </w: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274380.73</w:t>
            </w: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40214.56</w:t>
            </w: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40214.56</w:t>
            </w: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15373.7</w:t>
            </w: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15373.7</w:t>
            </w: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15373.7</w:t>
            </w:r>
          </w:p>
        </w:tc>
        <w:tc>
          <w:tcPr>
            <w:tcW w:w="287"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15373.7</w:t>
            </w:r>
          </w:p>
        </w:tc>
        <w:tc>
          <w:tcPr>
            <w:tcW w:w="287"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15373.7</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15373.7</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15373.7</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15373.7</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15373.7</w:t>
            </w:r>
          </w:p>
        </w:tc>
        <w:tc>
          <w:tcPr>
            <w:tcW w:w="317" w:type="pct"/>
            <w:tcBorders>
              <w:top w:val="nil"/>
              <w:left w:val="nil"/>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15373.7</w:t>
            </w:r>
          </w:p>
        </w:tc>
      </w:tr>
      <w:tr>
        <w:tblPrEx>
          <w:shd w:val="clear"/>
          <w:tblCellMar>
            <w:top w:w="0" w:type="dxa"/>
            <w:left w:w="108" w:type="dxa"/>
            <w:bottom w:w="0" w:type="dxa"/>
            <w:right w:w="108" w:type="dxa"/>
          </w:tblCellMar>
        </w:tblPrEx>
        <w:trPr>
          <w:trHeight w:val="285" w:hRule="atLeast"/>
        </w:trPr>
        <w:tc>
          <w:tcPr>
            <w:tcW w:w="325" w:type="pct"/>
            <w:tcBorders>
              <w:top w:val="nil"/>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2.1</w:t>
            </w:r>
          </w:p>
        </w:tc>
        <w:tc>
          <w:tcPr>
            <w:tcW w:w="710"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建设投资</w:t>
            </w: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120643.69</w:t>
            </w: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40214.56</w:t>
            </w: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40214.56</w:t>
            </w: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87"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87"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7" w:type="pct"/>
            <w:tcBorders>
              <w:top w:val="nil"/>
              <w:left w:val="nil"/>
              <w:bottom w:val="single" w:color="000000" w:sz="8" w:space="0"/>
              <w:right w:val="single" w:color="000000" w:sz="12"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r>
      <w:tr>
        <w:tblPrEx>
          <w:shd w:val="clear"/>
          <w:tblCellMar>
            <w:top w:w="0" w:type="dxa"/>
            <w:left w:w="108" w:type="dxa"/>
            <w:bottom w:w="0" w:type="dxa"/>
            <w:right w:w="108" w:type="dxa"/>
          </w:tblCellMar>
        </w:tblPrEx>
        <w:trPr>
          <w:trHeight w:val="285" w:hRule="atLeast"/>
        </w:trPr>
        <w:tc>
          <w:tcPr>
            <w:tcW w:w="325" w:type="pct"/>
            <w:tcBorders>
              <w:top w:val="nil"/>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2.2</w:t>
            </w:r>
          </w:p>
        </w:tc>
        <w:tc>
          <w:tcPr>
            <w:tcW w:w="710"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流动资金</w:t>
            </w: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4855.64</w:t>
            </w: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485.56</w:t>
            </w: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485.56</w:t>
            </w: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485.56</w:t>
            </w:r>
          </w:p>
        </w:tc>
        <w:tc>
          <w:tcPr>
            <w:tcW w:w="287"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485.56</w:t>
            </w:r>
          </w:p>
        </w:tc>
        <w:tc>
          <w:tcPr>
            <w:tcW w:w="287"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485.56</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485.56</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485.56</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485.56</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485.56</w:t>
            </w:r>
          </w:p>
        </w:tc>
        <w:tc>
          <w:tcPr>
            <w:tcW w:w="317" w:type="pct"/>
            <w:tcBorders>
              <w:top w:val="nil"/>
              <w:left w:val="nil"/>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485.56</w:t>
            </w:r>
          </w:p>
        </w:tc>
      </w:tr>
      <w:tr>
        <w:tblPrEx>
          <w:shd w:val="clear"/>
          <w:tblCellMar>
            <w:top w:w="0" w:type="dxa"/>
            <w:left w:w="108" w:type="dxa"/>
            <w:bottom w:w="0" w:type="dxa"/>
            <w:right w:w="108" w:type="dxa"/>
          </w:tblCellMar>
        </w:tblPrEx>
        <w:trPr>
          <w:trHeight w:val="285" w:hRule="atLeast"/>
        </w:trPr>
        <w:tc>
          <w:tcPr>
            <w:tcW w:w="325" w:type="pct"/>
            <w:tcBorders>
              <w:top w:val="nil"/>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2.3</w:t>
            </w:r>
          </w:p>
        </w:tc>
        <w:tc>
          <w:tcPr>
            <w:tcW w:w="710"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经营成本</w:t>
            </w: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145669.34</w:t>
            </w: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14566.93</w:t>
            </w: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14566.93</w:t>
            </w: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14566.93</w:t>
            </w:r>
          </w:p>
        </w:tc>
        <w:tc>
          <w:tcPr>
            <w:tcW w:w="287"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14566.93</w:t>
            </w:r>
          </w:p>
        </w:tc>
        <w:tc>
          <w:tcPr>
            <w:tcW w:w="287"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14566.93</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14566.93</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14566.93</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14566.93</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14566.93</w:t>
            </w:r>
          </w:p>
        </w:tc>
        <w:tc>
          <w:tcPr>
            <w:tcW w:w="317" w:type="pct"/>
            <w:tcBorders>
              <w:top w:val="nil"/>
              <w:left w:val="nil"/>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14566.93</w:t>
            </w:r>
          </w:p>
        </w:tc>
      </w:tr>
      <w:tr>
        <w:tblPrEx>
          <w:shd w:val="clear"/>
          <w:tblCellMar>
            <w:top w:w="0" w:type="dxa"/>
            <w:left w:w="108" w:type="dxa"/>
            <w:bottom w:w="0" w:type="dxa"/>
            <w:right w:w="108" w:type="dxa"/>
          </w:tblCellMar>
        </w:tblPrEx>
        <w:trPr>
          <w:trHeight w:val="285" w:hRule="atLeast"/>
        </w:trPr>
        <w:tc>
          <w:tcPr>
            <w:tcW w:w="325" w:type="pct"/>
            <w:tcBorders>
              <w:top w:val="nil"/>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2.4</w:t>
            </w:r>
          </w:p>
        </w:tc>
        <w:tc>
          <w:tcPr>
            <w:tcW w:w="710"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营业税金及附加</w:t>
            </w: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3212.06</w:t>
            </w: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321.21</w:t>
            </w: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321.21</w:t>
            </w: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321.21</w:t>
            </w:r>
          </w:p>
        </w:tc>
        <w:tc>
          <w:tcPr>
            <w:tcW w:w="287"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321.21</w:t>
            </w:r>
          </w:p>
        </w:tc>
        <w:tc>
          <w:tcPr>
            <w:tcW w:w="287"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321.21</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321.21</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321.21</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321.21</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321.21</w:t>
            </w:r>
          </w:p>
        </w:tc>
        <w:tc>
          <w:tcPr>
            <w:tcW w:w="317" w:type="pct"/>
            <w:tcBorders>
              <w:top w:val="nil"/>
              <w:left w:val="nil"/>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321.21</w:t>
            </w:r>
          </w:p>
        </w:tc>
      </w:tr>
      <w:tr>
        <w:tblPrEx>
          <w:shd w:val="clear"/>
          <w:tblCellMar>
            <w:top w:w="0" w:type="dxa"/>
            <w:left w:w="108" w:type="dxa"/>
            <w:bottom w:w="0" w:type="dxa"/>
            <w:right w:w="108" w:type="dxa"/>
          </w:tblCellMar>
        </w:tblPrEx>
        <w:trPr>
          <w:trHeight w:val="285" w:hRule="atLeast"/>
        </w:trPr>
        <w:tc>
          <w:tcPr>
            <w:tcW w:w="325" w:type="pct"/>
            <w:tcBorders>
              <w:top w:val="nil"/>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2.5</w:t>
            </w:r>
          </w:p>
        </w:tc>
        <w:tc>
          <w:tcPr>
            <w:tcW w:w="710"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维持运营投资</w:t>
            </w: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c>
          <w:tcPr>
            <w:tcW w:w="287"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c>
          <w:tcPr>
            <w:tcW w:w="287"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c>
          <w:tcPr>
            <w:tcW w:w="317" w:type="pct"/>
            <w:tcBorders>
              <w:top w:val="nil"/>
              <w:left w:val="nil"/>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0</w:t>
            </w:r>
          </w:p>
        </w:tc>
      </w:tr>
      <w:tr>
        <w:tblPrEx>
          <w:shd w:val="clear"/>
          <w:tblCellMar>
            <w:top w:w="0" w:type="dxa"/>
            <w:left w:w="108" w:type="dxa"/>
            <w:bottom w:w="0" w:type="dxa"/>
            <w:right w:w="108" w:type="dxa"/>
          </w:tblCellMar>
        </w:tblPrEx>
        <w:trPr>
          <w:trHeight w:val="705" w:hRule="atLeast"/>
        </w:trPr>
        <w:tc>
          <w:tcPr>
            <w:tcW w:w="325" w:type="pct"/>
            <w:tcBorders>
              <w:top w:val="nil"/>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w:t>
            </w:r>
          </w:p>
        </w:tc>
        <w:tc>
          <w:tcPr>
            <w:tcW w:w="710" w:type="pct"/>
            <w:tcBorders>
              <w:top w:val="nil"/>
              <w:left w:val="nil"/>
              <w:bottom w:val="single" w:color="000000" w:sz="8" w:space="0"/>
              <w:right w:val="single" w:color="000000" w:sz="8" w:space="0"/>
            </w:tcBorders>
            <w:shd w:val="cle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所得税前净现金流量（</w:t>
            </w:r>
            <w:r>
              <w:rPr>
                <w:rFonts w:hint="default" w:ascii="Times New Roman" w:hAnsi="Times New Roman" w:eastAsia="宋体" w:cs="Times New Roman"/>
                <w:i w:val="0"/>
                <w:iCs w:val="0"/>
                <w:color w:val="000000"/>
                <w:kern w:val="0"/>
                <w:sz w:val="18"/>
                <w:szCs w:val="18"/>
                <w:u w:val="none"/>
                <w:bdr w:val="none" w:color="auto" w:sz="0" w:space="0"/>
                <w:lang w:val="en-US" w:eastAsia="zh-CN" w:bidi="ar"/>
              </w:rPr>
              <w:t>1-2</w:t>
            </w: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352577.32</w:t>
            </w: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-40214.56</w:t>
            </w: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-40214.56</w:t>
            </w: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40728.7</w:t>
            </w: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40728.7</w:t>
            </w: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40728.7</w:t>
            </w:r>
          </w:p>
        </w:tc>
        <w:tc>
          <w:tcPr>
            <w:tcW w:w="287"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40728.7</w:t>
            </w:r>
          </w:p>
        </w:tc>
        <w:tc>
          <w:tcPr>
            <w:tcW w:w="287"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40728.7</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40728.7</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40728.7</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40728.7</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40728.7</w:t>
            </w:r>
          </w:p>
        </w:tc>
        <w:tc>
          <w:tcPr>
            <w:tcW w:w="317" w:type="pct"/>
            <w:tcBorders>
              <w:top w:val="nil"/>
              <w:left w:val="nil"/>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106662.75</w:t>
            </w:r>
          </w:p>
        </w:tc>
      </w:tr>
      <w:tr>
        <w:tblPrEx>
          <w:shd w:val="clear"/>
          <w:tblCellMar>
            <w:top w:w="0" w:type="dxa"/>
            <w:left w:w="108" w:type="dxa"/>
            <w:bottom w:w="0" w:type="dxa"/>
            <w:right w:w="108" w:type="dxa"/>
          </w:tblCellMar>
        </w:tblPrEx>
        <w:trPr>
          <w:trHeight w:val="285" w:hRule="atLeast"/>
        </w:trPr>
        <w:tc>
          <w:tcPr>
            <w:tcW w:w="325" w:type="pct"/>
            <w:tcBorders>
              <w:top w:val="nil"/>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w:t>
            </w:r>
          </w:p>
        </w:tc>
        <w:tc>
          <w:tcPr>
            <w:tcW w:w="710"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累计所得税前净现金流量</w:t>
            </w: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-40214.56</w:t>
            </w: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-80429.13</w:t>
            </w: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-79914.99</w:t>
            </w: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-39186.3</w:t>
            </w: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1542.4</w:t>
            </w:r>
          </w:p>
        </w:tc>
        <w:tc>
          <w:tcPr>
            <w:tcW w:w="287"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42271.09</w:t>
            </w:r>
          </w:p>
        </w:tc>
        <w:tc>
          <w:tcPr>
            <w:tcW w:w="287"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82999.79</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123728.48</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164457.18</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205185.87</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245914.57</w:t>
            </w:r>
          </w:p>
        </w:tc>
        <w:tc>
          <w:tcPr>
            <w:tcW w:w="317" w:type="pct"/>
            <w:tcBorders>
              <w:top w:val="nil"/>
              <w:left w:val="nil"/>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352577.32</w:t>
            </w:r>
          </w:p>
        </w:tc>
      </w:tr>
      <w:tr>
        <w:tblPrEx>
          <w:shd w:val="clear"/>
          <w:tblCellMar>
            <w:top w:w="0" w:type="dxa"/>
            <w:left w:w="108" w:type="dxa"/>
            <w:bottom w:w="0" w:type="dxa"/>
            <w:right w:w="108" w:type="dxa"/>
          </w:tblCellMar>
        </w:tblPrEx>
        <w:trPr>
          <w:trHeight w:val="285" w:hRule="atLeast"/>
        </w:trPr>
        <w:tc>
          <w:tcPr>
            <w:tcW w:w="325" w:type="pct"/>
            <w:tcBorders>
              <w:top w:val="nil"/>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w:t>
            </w:r>
          </w:p>
        </w:tc>
        <w:tc>
          <w:tcPr>
            <w:tcW w:w="710"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调整所得税</w:t>
            </w: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79516.59</w:t>
            </w: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6439.33</w:t>
            </w: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6590.74</w:t>
            </w: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6742.15</w:t>
            </w:r>
          </w:p>
        </w:tc>
        <w:tc>
          <w:tcPr>
            <w:tcW w:w="287"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6893.56</w:t>
            </w:r>
          </w:p>
        </w:tc>
        <w:tc>
          <w:tcPr>
            <w:tcW w:w="287"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7044.97</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8858.35</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9009.76</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9161.17</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9312.58</w:t>
            </w:r>
          </w:p>
        </w:tc>
        <w:tc>
          <w:tcPr>
            <w:tcW w:w="317" w:type="pct"/>
            <w:tcBorders>
              <w:top w:val="nil"/>
              <w:left w:val="nil"/>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9463.99</w:t>
            </w:r>
          </w:p>
        </w:tc>
      </w:tr>
      <w:tr>
        <w:tblPrEx>
          <w:shd w:val="clear"/>
          <w:tblCellMar>
            <w:top w:w="0" w:type="dxa"/>
            <w:left w:w="108" w:type="dxa"/>
            <w:bottom w:w="0" w:type="dxa"/>
            <w:right w:w="108" w:type="dxa"/>
          </w:tblCellMar>
        </w:tblPrEx>
        <w:trPr>
          <w:trHeight w:val="285" w:hRule="atLeast"/>
        </w:trPr>
        <w:tc>
          <w:tcPr>
            <w:tcW w:w="325" w:type="pct"/>
            <w:tcBorders>
              <w:top w:val="nil"/>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6</w:t>
            </w:r>
          </w:p>
        </w:tc>
        <w:tc>
          <w:tcPr>
            <w:tcW w:w="710"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所得税后净现金流量（</w:t>
            </w:r>
            <w:r>
              <w:rPr>
                <w:rFonts w:hint="default" w:ascii="Times New Roman" w:hAnsi="Times New Roman" w:eastAsia="宋体" w:cs="Times New Roman"/>
                <w:i w:val="0"/>
                <w:iCs w:val="0"/>
                <w:color w:val="000000"/>
                <w:kern w:val="0"/>
                <w:sz w:val="18"/>
                <w:szCs w:val="18"/>
                <w:u w:val="none"/>
                <w:bdr w:val="none" w:color="auto" w:sz="0" w:space="0"/>
                <w:lang w:val="en-US" w:eastAsia="zh-CN" w:bidi="ar"/>
              </w:rPr>
              <w:t>3-5</w:t>
            </w: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273060.73</w:t>
            </w: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-40214.56</w:t>
            </w: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-40214.56</w:t>
            </w: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34289.37</w:t>
            </w: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34137.96</w:t>
            </w: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33986.55</w:t>
            </w:r>
          </w:p>
        </w:tc>
        <w:tc>
          <w:tcPr>
            <w:tcW w:w="287"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33835.14</w:t>
            </w:r>
          </w:p>
        </w:tc>
        <w:tc>
          <w:tcPr>
            <w:tcW w:w="287"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33683.73</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31870.35</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31718.94</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31567.53</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31416.12</w:t>
            </w:r>
          </w:p>
        </w:tc>
        <w:tc>
          <w:tcPr>
            <w:tcW w:w="317" w:type="pct"/>
            <w:tcBorders>
              <w:top w:val="nil"/>
              <w:left w:val="nil"/>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97198.76</w:t>
            </w:r>
          </w:p>
        </w:tc>
      </w:tr>
      <w:tr>
        <w:tblPrEx>
          <w:shd w:val="clear"/>
          <w:tblCellMar>
            <w:top w:w="0" w:type="dxa"/>
            <w:left w:w="108" w:type="dxa"/>
            <w:bottom w:w="0" w:type="dxa"/>
            <w:right w:w="108" w:type="dxa"/>
          </w:tblCellMar>
        </w:tblPrEx>
        <w:trPr>
          <w:trHeight w:val="285" w:hRule="atLeast"/>
        </w:trPr>
        <w:tc>
          <w:tcPr>
            <w:tcW w:w="325" w:type="pct"/>
            <w:tcBorders>
              <w:top w:val="nil"/>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7</w:t>
            </w:r>
          </w:p>
        </w:tc>
        <w:tc>
          <w:tcPr>
            <w:tcW w:w="710"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累计所得税后净现金流量</w:t>
            </w: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-40214.56</w:t>
            </w: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-80429.13</w:t>
            </w: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-86354.32</w:t>
            </w: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-52216.37</w:t>
            </w: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-18229.82</w:t>
            </w:r>
          </w:p>
        </w:tc>
        <w:tc>
          <w:tcPr>
            <w:tcW w:w="287"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15605.32</w:t>
            </w:r>
          </w:p>
        </w:tc>
        <w:tc>
          <w:tcPr>
            <w:tcW w:w="287"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49289.05</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81159.39</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112878.33</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144445.85</w:t>
            </w: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175861.97</w:t>
            </w:r>
          </w:p>
        </w:tc>
        <w:tc>
          <w:tcPr>
            <w:tcW w:w="317" w:type="pct"/>
            <w:tcBorders>
              <w:top w:val="nil"/>
              <w:left w:val="nil"/>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273060.73</w:t>
            </w:r>
          </w:p>
        </w:tc>
      </w:tr>
      <w:tr>
        <w:tblPrEx>
          <w:shd w:val="clear"/>
          <w:tblCellMar>
            <w:top w:w="0" w:type="dxa"/>
            <w:left w:w="108" w:type="dxa"/>
            <w:bottom w:w="0" w:type="dxa"/>
            <w:right w:w="108" w:type="dxa"/>
          </w:tblCellMar>
        </w:tblPrEx>
        <w:trPr>
          <w:trHeight w:val="285" w:hRule="atLeast"/>
        </w:trPr>
        <w:tc>
          <w:tcPr>
            <w:tcW w:w="325" w:type="pct"/>
            <w:tcBorders>
              <w:top w:val="nil"/>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计算指标：</w:t>
            </w:r>
          </w:p>
        </w:tc>
        <w:tc>
          <w:tcPr>
            <w:tcW w:w="710"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87"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87"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7" w:type="pct"/>
            <w:tcBorders>
              <w:top w:val="nil"/>
              <w:left w:val="nil"/>
              <w:bottom w:val="single" w:color="000000" w:sz="8" w:space="0"/>
              <w:right w:val="single" w:color="000000" w:sz="12"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r>
      <w:tr>
        <w:tblPrEx>
          <w:shd w:val="clear"/>
          <w:tblCellMar>
            <w:top w:w="0" w:type="dxa"/>
            <w:left w:w="108" w:type="dxa"/>
            <w:bottom w:w="0" w:type="dxa"/>
            <w:right w:w="108" w:type="dxa"/>
          </w:tblCellMar>
        </w:tblPrEx>
        <w:trPr>
          <w:trHeight w:val="285" w:hRule="atLeast"/>
        </w:trPr>
        <w:tc>
          <w:tcPr>
            <w:tcW w:w="1036" w:type="pct"/>
            <w:gridSpan w:val="2"/>
            <w:tcBorders>
              <w:top w:val="nil"/>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项目投资财务内部收益率（</w:t>
            </w:r>
            <w:r>
              <w:rPr>
                <w:rFonts w:hint="default" w:ascii="Times New Roman" w:hAnsi="Times New Roman" w:eastAsia="宋体" w:cs="Times New Roman"/>
                <w:i w:val="0"/>
                <w:iCs w:val="0"/>
                <w:color w:val="000000"/>
                <w:kern w:val="0"/>
                <w:sz w:val="18"/>
                <w:szCs w:val="18"/>
                <w:u w:val="none"/>
                <w:bdr w:val="none" w:color="auto" w:sz="0" w:space="0"/>
                <w:lang w:val="en-US" w:eastAsia="zh-CN" w:bidi="ar"/>
              </w:rPr>
              <w:t>%</w:t>
            </w:r>
            <w:r>
              <w:rPr>
                <w:rFonts w:hint="eastAsia" w:ascii="宋体" w:hAnsi="宋体" w:eastAsia="宋体" w:cs="宋体"/>
                <w:i w:val="0"/>
                <w:iCs w:val="0"/>
                <w:color w:val="000000"/>
                <w:kern w:val="0"/>
                <w:sz w:val="18"/>
                <w:szCs w:val="18"/>
                <w:u w:val="none"/>
                <w:bdr w:val="none" w:color="auto" w:sz="0" w:space="0"/>
                <w:lang w:val="en-US" w:eastAsia="zh-CN" w:bidi="ar"/>
              </w:rPr>
              <w:t>）（所得税前）</w:t>
            </w: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24.87%</w:t>
            </w: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87"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87"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7" w:type="pct"/>
            <w:tcBorders>
              <w:top w:val="nil"/>
              <w:left w:val="nil"/>
              <w:bottom w:val="single" w:color="000000" w:sz="8" w:space="0"/>
              <w:right w:val="single" w:color="000000" w:sz="12"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r>
      <w:tr>
        <w:tblPrEx>
          <w:shd w:val="clear"/>
          <w:tblCellMar>
            <w:top w:w="0" w:type="dxa"/>
            <w:left w:w="108" w:type="dxa"/>
            <w:bottom w:w="0" w:type="dxa"/>
            <w:right w:w="108" w:type="dxa"/>
          </w:tblCellMar>
        </w:tblPrEx>
        <w:trPr>
          <w:trHeight w:val="285" w:hRule="atLeast"/>
        </w:trPr>
        <w:tc>
          <w:tcPr>
            <w:tcW w:w="1036" w:type="pct"/>
            <w:gridSpan w:val="2"/>
            <w:tcBorders>
              <w:top w:val="nil"/>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项目投资财务内部收益率（</w:t>
            </w:r>
            <w:r>
              <w:rPr>
                <w:rFonts w:hint="default" w:ascii="Times New Roman" w:hAnsi="Times New Roman" w:eastAsia="宋体" w:cs="Times New Roman"/>
                <w:i w:val="0"/>
                <w:iCs w:val="0"/>
                <w:color w:val="000000"/>
                <w:kern w:val="0"/>
                <w:sz w:val="18"/>
                <w:szCs w:val="18"/>
                <w:u w:val="none"/>
                <w:bdr w:val="none" w:color="auto" w:sz="0" w:space="0"/>
                <w:lang w:val="en-US" w:eastAsia="zh-CN" w:bidi="ar"/>
              </w:rPr>
              <w:t>%</w:t>
            </w:r>
            <w:r>
              <w:rPr>
                <w:rFonts w:hint="eastAsia" w:ascii="宋体" w:hAnsi="宋体" w:eastAsia="宋体" w:cs="宋体"/>
                <w:i w:val="0"/>
                <w:iCs w:val="0"/>
                <w:color w:val="000000"/>
                <w:kern w:val="0"/>
                <w:sz w:val="18"/>
                <w:szCs w:val="18"/>
                <w:u w:val="none"/>
                <w:bdr w:val="none" w:color="auto" w:sz="0" w:space="0"/>
                <w:lang w:val="en-US" w:eastAsia="zh-CN" w:bidi="ar"/>
              </w:rPr>
              <w:t>）（所得税后）</w:t>
            </w: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20.60%</w:t>
            </w: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87"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87"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7" w:type="pct"/>
            <w:tcBorders>
              <w:top w:val="nil"/>
              <w:left w:val="nil"/>
              <w:bottom w:val="single" w:color="000000" w:sz="8" w:space="0"/>
              <w:right w:val="single" w:color="000000" w:sz="12"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r>
      <w:tr>
        <w:tblPrEx>
          <w:shd w:val="clear"/>
          <w:tblCellMar>
            <w:top w:w="0" w:type="dxa"/>
            <w:left w:w="108" w:type="dxa"/>
            <w:bottom w:w="0" w:type="dxa"/>
            <w:right w:w="108" w:type="dxa"/>
          </w:tblCellMar>
        </w:tblPrEx>
        <w:trPr>
          <w:trHeight w:val="285" w:hRule="atLeast"/>
        </w:trPr>
        <w:tc>
          <w:tcPr>
            <w:tcW w:w="1036" w:type="pct"/>
            <w:gridSpan w:val="2"/>
            <w:tcBorders>
              <w:top w:val="nil"/>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项目投资财务净现值（所得税前）（</w:t>
            </w:r>
            <w:r>
              <w:rPr>
                <w:rFonts w:hint="default" w:ascii="Times New Roman" w:hAnsi="Times New Roman" w:eastAsia="宋体" w:cs="Times New Roman"/>
                <w:i w:val="0"/>
                <w:iCs w:val="0"/>
                <w:color w:val="000000"/>
                <w:kern w:val="0"/>
                <w:sz w:val="18"/>
                <w:szCs w:val="18"/>
                <w:u w:val="none"/>
                <w:bdr w:val="none" w:color="auto" w:sz="0" w:space="0"/>
                <w:lang w:val="en-US" w:eastAsia="zh-CN" w:bidi="ar"/>
              </w:rPr>
              <w:t>ic=8%</w:t>
            </w: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137555.67</w:t>
            </w: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87"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87"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7" w:type="pct"/>
            <w:tcBorders>
              <w:top w:val="nil"/>
              <w:left w:val="nil"/>
              <w:bottom w:val="single" w:color="000000" w:sz="8" w:space="0"/>
              <w:right w:val="single" w:color="000000" w:sz="12"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r>
      <w:tr>
        <w:tblPrEx>
          <w:shd w:val="clear"/>
          <w:tblCellMar>
            <w:top w:w="0" w:type="dxa"/>
            <w:left w:w="108" w:type="dxa"/>
            <w:bottom w:w="0" w:type="dxa"/>
            <w:right w:w="108" w:type="dxa"/>
          </w:tblCellMar>
        </w:tblPrEx>
        <w:trPr>
          <w:trHeight w:val="285" w:hRule="atLeast"/>
        </w:trPr>
        <w:tc>
          <w:tcPr>
            <w:tcW w:w="1036" w:type="pct"/>
            <w:gridSpan w:val="2"/>
            <w:tcBorders>
              <w:top w:val="nil"/>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项目投资财务净现值（所得税后）（</w:t>
            </w:r>
            <w:r>
              <w:rPr>
                <w:rFonts w:hint="default" w:ascii="Times New Roman" w:hAnsi="Times New Roman" w:eastAsia="宋体" w:cs="Times New Roman"/>
                <w:i w:val="0"/>
                <w:iCs w:val="0"/>
                <w:color w:val="000000"/>
                <w:kern w:val="0"/>
                <w:sz w:val="18"/>
                <w:szCs w:val="18"/>
                <w:u w:val="none"/>
                <w:bdr w:val="none" w:color="auto" w:sz="0" w:space="0"/>
                <w:lang w:val="en-US" w:eastAsia="zh-CN" w:bidi="ar"/>
              </w:rPr>
              <w:t>ic=8%</w:t>
            </w: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96548.07</w:t>
            </w: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87"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87"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7" w:type="pct"/>
            <w:tcBorders>
              <w:top w:val="nil"/>
              <w:left w:val="nil"/>
              <w:bottom w:val="single" w:color="000000" w:sz="8" w:space="0"/>
              <w:right w:val="single" w:color="000000" w:sz="12"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r>
      <w:tr>
        <w:tblPrEx>
          <w:shd w:val="clear"/>
          <w:tblCellMar>
            <w:top w:w="0" w:type="dxa"/>
            <w:left w:w="108" w:type="dxa"/>
            <w:bottom w:w="0" w:type="dxa"/>
            <w:right w:w="108" w:type="dxa"/>
          </w:tblCellMar>
        </w:tblPrEx>
        <w:trPr>
          <w:trHeight w:val="285" w:hRule="atLeast"/>
        </w:trPr>
        <w:tc>
          <w:tcPr>
            <w:tcW w:w="1036" w:type="pct"/>
            <w:gridSpan w:val="2"/>
            <w:tcBorders>
              <w:top w:val="nil"/>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项目投资回收期（年）（所得税前）</w:t>
            </w: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5.96</w:t>
            </w: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9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87"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87"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6"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7" w:type="pct"/>
            <w:tcBorders>
              <w:top w:val="nil"/>
              <w:left w:val="nil"/>
              <w:bottom w:val="single" w:color="000000" w:sz="8" w:space="0"/>
              <w:right w:val="single" w:color="000000" w:sz="12"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r>
      <w:tr>
        <w:tblPrEx>
          <w:shd w:val="clear"/>
          <w:tblCellMar>
            <w:top w:w="0" w:type="dxa"/>
            <w:left w:w="108" w:type="dxa"/>
            <w:bottom w:w="0" w:type="dxa"/>
            <w:right w:w="108" w:type="dxa"/>
          </w:tblCellMar>
        </w:tblPrEx>
        <w:trPr>
          <w:trHeight w:val="285" w:hRule="atLeast"/>
        </w:trPr>
        <w:tc>
          <w:tcPr>
            <w:tcW w:w="1036" w:type="pct"/>
            <w:gridSpan w:val="2"/>
            <w:tcBorders>
              <w:top w:val="nil"/>
              <w:left w:val="single" w:color="000000" w:sz="12" w:space="0"/>
              <w:bottom w:val="single" w:color="000000" w:sz="12"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项目投资回收期（年）（所得税后）</w:t>
            </w:r>
          </w:p>
        </w:tc>
        <w:tc>
          <w:tcPr>
            <w:tcW w:w="295" w:type="pct"/>
            <w:tcBorders>
              <w:top w:val="nil"/>
              <w:left w:val="nil"/>
              <w:bottom w:val="single" w:color="000000" w:sz="12"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6.54</w:t>
            </w:r>
          </w:p>
        </w:tc>
        <w:tc>
          <w:tcPr>
            <w:tcW w:w="295" w:type="pct"/>
            <w:tcBorders>
              <w:top w:val="nil"/>
              <w:left w:val="nil"/>
              <w:bottom w:val="single" w:color="000000" w:sz="12"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95" w:type="pct"/>
            <w:tcBorders>
              <w:top w:val="nil"/>
              <w:left w:val="nil"/>
              <w:bottom w:val="single" w:color="000000" w:sz="12"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6" w:type="pct"/>
            <w:tcBorders>
              <w:top w:val="nil"/>
              <w:left w:val="nil"/>
              <w:bottom w:val="single" w:color="000000" w:sz="12"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6" w:type="pct"/>
            <w:tcBorders>
              <w:top w:val="nil"/>
              <w:left w:val="nil"/>
              <w:bottom w:val="single" w:color="000000" w:sz="12"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06" w:type="pct"/>
            <w:tcBorders>
              <w:top w:val="nil"/>
              <w:left w:val="nil"/>
              <w:bottom w:val="single" w:color="000000" w:sz="12"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87" w:type="pct"/>
            <w:tcBorders>
              <w:top w:val="nil"/>
              <w:left w:val="nil"/>
              <w:bottom w:val="single" w:color="000000" w:sz="12"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87" w:type="pct"/>
            <w:tcBorders>
              <w:top w:val="nil"/>
              <w:left w:val="nil"/>
              <w:bottom w:val="single" w:color="000000" w:sz="12"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6" w:type="pct"/>
            <w:tcBorders>
              <w:top w:val="nil"/>
              <w:left w:val="nil"/>
              <w:bottom w:val="single" w:color="000000" w:sz="12"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6" w:type="pct"/>
            <w:tcBorders>
              <w:top w:val="nil"/>
              <w:left w:val="nil"/>
              <w:bottom w:val="single" w:color="000000" w:sz="12"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6" w:type="pct"/>
            <w:tcBorders>
              <w:top w:val="nil"/>
              <w:left w:val="nil"/>
              <w:bottom w:val="single" w:color="000000" w:sz="12"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6" w:type="pct"/>
            <w:tcBorders>
              <w:top w:val="nil"/>
              <w:left w:val="nil"/>
              <w:bottom w:val="single" w:color="000000" w:sz="12"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7" w:type="pct"/>
            <w:tcBorders>
              <w:top w:val="nil"/>
              <w:left w:val="nil"/>
              <w:bottom w:val="single" w:color="000000" w:sz="12" w:space="0"/>
              <w:right w:val="single" w:color="000000" w:sz="12"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18"/>
                <w:szCs w:val="18"/>
                <w:u w:val="none"/>
              </w:rPr>
            </w:pPr>
          </w:p>
        </w:tc>
      </w:tr>
    </w:tbl>
    <w:p>
      <w:pPr>
        <w:widowControl/>
        <w:spacing w:line="240" w:lineRule="auto"/>
        <w:ind w:firstLine="0" w:firstLineChars="0"/>
        <w:jc w:val="left"/>
        <w:rPr>
          <w:rFonts w:cs="Times New Roman"/>
          <w:color w:val="auto"/>
          <w:highlight w:val="none"/>
        </w:rPr>
      </w:pPr>
      <w:r>
        <w:rPr>
          <w:color w:val="auto"/>
          <w:highlight w:val="none"/>
        </w:rPr>
        <w:br w:type="page"/>
      </w:r>
      <w:r>
        <w:rPr>
          <w:rFonts w:cs="Times New Roman"/>
          <w:b/>
          <w:bCs/>
          <w:color w:val="auto"/>
          <w:highlight w:val="none"/>
        </w:rPr>
        <w:t>附表</w:t>
      </w:r>
      <w:r>
        <w:rPr>
          <w:rFonts w:hint="eastAsia" w:cs="Times New Roman"/>
          <w:b/>
          <w:bCs/>
          <w:color w:val="auto"/>
          <w:highlight w:val="none"/>
        </w:rPr>
        <w:t>6</w:t>
      </w:r>
      <w:r>
        <w:rPr>
          <w:rFonts w:cs="Times New Roman"/>
          <w:b/>
          <w:bCs/>
          <w:color w:val="auto"/>
          <w:highlight w:val="none"/>
        </w:rPr>
        <w:t xml:space="preserve">                                              </w:t>
      </w:r>
      <w:r>
        <w:rPr>
          <w:rFonts w:hint="eastAsia" w:cs="Times New Roman"/>
          <w:b/>
          <w:bCs/>
          <w:color w:val="auto"/>
          <w:highlight w:val="none"/>
        </w:rPr>
        <w:t>资本金现金流量</w:t>
      </w:r>
      <w:r>
        <w:rPr>
          <w:rFonts w:cs="Times New Roman"/>
          <w:b/>
          <w:bCs/>
          <w:color w:val="auto"/>
          <w:highlight w:val="none"/>
        </w:rPr>
        <w:t xml:space="preserve">表                                       </w:t>
      </w:r>
      <w:r>
        <w:rPr>
          <w:rFonts w:cs="Times New Roman"/>
          <w:b/>
          <w:bCs/>
          <w:color w:val="auto"/>
          <w:sz w:val="21"/>
          <w:szCs w:val="21"/>
          <w:highlight w:val="none"/>
        </w:rPr>
        <w:t>单位：万元</w:t>
      </w:r>
    </w:p>
    <w:tbl>
      <w:tblPr>
        <w:tblW w:w="4999" w:type="pct"/>
        <w:tblInd w:w="0" w:type="dxa"/>
        <w:shd w:val="clear"/>
        <w:tblLayout w:type="autofit"/>
        <w:tblCellMar>
          <w:top w:w="0" w:type="dxa"/>
          <w:left w:w="108" w:type="dxa"/>
          <w:bottom w:w="0" w:type="dxa"/>
          <w:right w:w="108" w:type="dxa"/>
        </w:tblCellMar>
      </w:tblPr>
      <w:tblGrid>
        <w:gridCol w:w="535"/>
        <w:gridCol w:w="1547"/>
        <w:gridCol w:w="971"/>
        <w:gridCol w:w="942"/>
        <w:gridCol w:w="942"/>
        <w:gridCol w:w="1030"/>
        <w:gridCol w:w="942"/>
        <w:gridCol w:w="942"/>
        <w:gridCol w:w="882"/>
        <w:gridCol w:w="942"/>
        <w:gridCol w:w="882"/>
        <w:gridCol w:w="882"/>
        <w:gridCol w:w="882"/>
        <w:gridCol w:w="882"/>
        <w:gridCol w:w="971"/>
      </w:tblGrid>
      <w:tr>
        <w:tblPrEx>
          <w:shd w:val="clear"/>
          <w:tblCellMar>
            <w:top w:w="0" w:type="dxa"/>
            <w:left w:w="108" w:type="dxa"/>
            <w:bottom w:w="0" w:type="dxa"/>
            <w:right w:w="108" w:type="dxa"/>
          </w:tblCellMar>
        </w:tblPrEx>
        <w:trPr>
          <w:trHeight w:val="300" w:hRule="atLeast"/>
        </w:trPr>
        <w:tc>
          <w:tcPr>
            <w:tcW w:w="237" w:type="pct"/>
            <w:vMerge w:val="restart"/>
            <w:tcBorders>
              <w:top w:val="single" w:color="000000" w:sz="12"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481" w:type="pct"/>
            <w:vMerge w:val="restart"/>
            <w:tcBorders>
              <w:top w:val="single" w:color="000000" w:sz="12"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w:t>
            </w:r>
          </w:p>
        </w:tc>
        <w:tc>
          <w:tcPr>
            <w:tcW w:w="339" w:type="pct"/>
            <w:vMerge w:val="restart"/>
            <w:tcBorders>
              <w:top w:val="single" w:color="000000" w:sz="12"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合计</w:t>
            </w:r>
          </w:p>
        </w:tc>
        <w:tc>
          <w:tcPr>
            <w:tcW w:w="664" w:type="pct"/>
            <w:gridSpan w:val="2"/>
            <w:tcBorders>
              <w:top w:val="single" w:color="000000" w:sz="12"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建设期</w:t>
            </w:r>
          </w:p>
        </w:tc>
        <w:tc>
          <w:tcPr>
            <w:tcW w:w="3277" w:type="pct"/>
            <w:gridSpan w:val="10"/>
            <w:tcBorders>
              <w:top w:val="single" w:color="000000" w:sz="12"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运营期</w:t>
            </w:r>
          </w:p>
        </w:tc>
      </w:tr>
      <w:tr>
        <w:tblPrEx>
          <w:shd w:val="clear"/>
          <w:tblCellMar>
            <w:top w:w="0" w:type="dxa"/>
            <w:left w:w="108" w:type="dxa"/>
            <w:bottom w:w="0" w:type="dxa"/>
            <w:right w:w="108" w:type="dxa"/>
          </w:tblCellMar>
        </w:tblPrEx>
        <w:trPr>
          <w:trHeight w:val="300" w:hRule="atLeast"/>
        </w:trPr>
        <w:tc>
          <w:tcPr>
            <w:tcW w:w="237" w:type="pct"/>
            <w:vMerge w:val="continue"/>
            <w:tcBorders>
              <w:top w:val="single" w:color="000000" w:sz="12"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18"/>
                <w:szCs w:val="18"/>
                <w:u w:val="none"/>
              </w:rPr>
            </w:pPr>
          </w:p>
        </w:tc>
        <w:tc>
          <w:tcPr>
            <w:tcW w:w="481" w:type="pct"/>
            <w:vMerge w:val="continue"/>
            <w:tcBorders>
              <w:top w:val="single" w:color="000000" w:sz="12"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18"/>
                <w:szCs w:val="18"/>
                <w:u w:val="none"/>
              </w:rPr>
            </w:pPr>
          </w:p>
        </w:tc>
        <w:tc>
          <w:tcPr>
            <w:tcW w:w="339" w:type="pct"/>
            <w:vMerge w:val="continue"/>
            <w:tcBorders>
              <w:top w:val="single" w:color="000000" w:sz="12"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18"/>
                <w:szCs w:val="18"/>
                <w:u w:val="none"/>
              </w:rPr>
            </w:pP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w:t>
            </w:r>
          </w:p>
        </w:tc>
        <w:tc>
          <w:tcPr>
            <w:tcW w:w="332"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w:t>
            </w:r>
          </w:p>
        </w:tc>
        <w:tc>
          <w:tcPr>
            <w:tcW w:w="35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5</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6</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7</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8</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9</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10</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w:t>
            </w:r>
          </w:p>
        </w:tc>
        <w:tc>
          <w:tcPr>
            <w:tcW w:w="34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12</w:t>
            </w:r>
          </w:p>
        </w:tc>
      </w:tr>
      <w:tr>
        <w:tblPrEx>
          <w:shd w:val="clear"/>
          <w:tblCellMar>
            <w:top w:w="0" w:type="dxa"/>
            <w:left w:w="108" w:type="dxa"/>
            <w:bottom w:w="0" w:type="dxa"/>
            <w:right w:w="108" w:type="dxa"/>
          </w:tblCellMar>
        </w:tblPrEx>
        <w:trPr>
          <w:trHeight w:val="285" w:hRule="atLeast"/>
        </w:trPr>
        <w:tc>
          <w:tcPr>
            <w:tcW w:w="237"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w:t>
            </w:r>
          </w:p>
        </w:tc>
        <w:tc>
          <w:tcPr>
            <w:tcW w:w="48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现金流入</w:t>
            </w:r>
          </w:p>
        </w:tc>
        <w:tc>
          <w:tcPr>
            <w:tcW w:w="339"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626958.05</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32"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5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56102.4</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56102.4</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56102.4</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56102.4</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56102.4</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56102.4</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56102.4</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56102.4</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56102.4</w:t>
            </w:r>
          </w:p>
        </w:tc>
        <w:tc>
          <w:tcPr>
            <w:tcW w:w="341"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122036.45</w:t>
            </w:r>
          </w:p>
        </w:tc>
      </w:tr>
      <w:tr>
        <w:tblPrEx>
          <w:shd w:val="clear"/>
          <w:tblCellMar>
            <w:top w:w="0" w:type="dxa"/>
            <w:left w:w="108" w:type="dxa"/>
            <w:bottom w:w="0" w:type="dxa"/>
            <w:right w:w="108" w:type="dxa"/>
          </w:tblCellMar>
        </w:tblPrEx>
        <w:trPr>
          <w:trHeight w:val="285" w:hRule="atLeast"/>
        </w:trPr>
        <w:tc>
          <w:tcPr>
            <w:tcW w:w="237"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1.1</w:t>
            </w:r>
          </w:p>
        </w:tc>
        <w:tc>
          <w:tcPr>
            <w:tcW w:w="48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营业收入</w:t>
            </w:r>
          </w:p>
        </w:tc>
        <w:tc>
          <w:tcPr>
            <w:tcW w:w="339"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561024</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32"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5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56102.4</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56102.4</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56102.4</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56102.4</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56102.4</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56102.4</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56102.4</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56102.4</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56102.4</w:t>
            </w:r>
          </w:p>
        </w:tc>
        <w:tc>
          <w:tcPr>
            <w:tcW w:w="341"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56102.4</w:t>
            </w:r>
          </w:p>
        </w:tc>
      </w:tr>
      <w:tr>
        <w:tblPrEx>
          <w:tblCellMar>
            <w:top w:w="0" w:type="dxa"/>
            <w:left w:w="108" w:type="dxa"/>
            <w:bottom w:w="0" w:type="dxa"/>
            <w:right w:w="108" w:type="dxa"/>
          </w:tblCellMar>
        </w:tblPrEx>
        <w:trPr>
          <w:trHeight w:val="285" w:hRule="atLeast"/>
        </w:trPr>
        <w:tc>
          <w:tcPr>
            <w:tcW w:w="237"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1.2</w:t>
            </w:r>
          </w:p>
        </w:tc>
        <w:tc>
          <w:tcPr>
            <w:tcW w:w="48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补贴收入</w:t>
            </w:r>
          </w:p>
        </w:tc>
        <w:tc>
          <w:tcPr>
            <w:tcW w:w="339"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32"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5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41"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r>
      <w:tr>
        <w:tblPrEx>
          <w:shd w:val="clear"/>
          <w:tblCellMar>
            <w:top w:w="0" w:type="dxa"/>
            <w:left w:w="108" w:type="dxa"/>
            <w:bottom w:w="0" w:type="dxa"/>
            <w:right w:w="108" w:type="dxa"/>
          </w:tblCellMar>
        </w:tblPrEx>
        <w:trPr>
          <w:trHeight w:val="285" w:hRule="atLeast"/>
        </w:trPr>
        <w:tc>
          <w:tcPr>
            <w:tcW w:w="237"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1.3</w:t>
            </w:r>
          </w:p>
        </w:tc>
        <w:tc>
          <w:tcPr>
            <w:tcW w:w="48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回收固定资产余值</w:t>
            </w:r>
          </w:p>
        </w:tc>
        <w:tc>
          <w:tcPr>
            <w:tcW w:w="339"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65934.05</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32"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5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41"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65934.05</w:t>
            </w:r>
          </w:p>
        </w:tc>
      </w:tr>
      <w:tr>
        <w:tblPrEx>
          <w:tblCellMar>
            <w:top w:w="0" w:type="dxa"/>
            <w:left w:w="108" w:type="dxa"/>
            <w:bottom w:w="0" w:type="dxa"/>
            <w:right w:w="108" w:type="dxa"/>
          </w:tblCellMar>
        </w:tblPrEx>
        <w:trPr>
          <w:trHeight w:val="285" w:hRule="atLeast"/>
        </w:trPr>
        <w:tc>
          <w:tcPr>
            <w:tcW w:w="237"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1.4</w:t>
            </w:r>
          </w:p>
        </w:tc>
        <w:tc>
          <w:tcPr>
            <w:tcW w:w="48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回收流动资金</w:t>
            </w:r>
          </w:p>
        </w:tc>
        <w:tc>
          <w:tcPr>
            <w:tcW w:w="339"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32"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5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41"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r>
      <w:tr>
        <w:tblPrEx>
          <w:shd w:val="clear"/>
          <w:tblCellMar>
            <w:top w:w="0" w:type="dxa"/>
            <w:left w:w="108" w:type="dxa"/>
            <w:bottom w:w="0" w:type="dxa"/>
            <w:right w:w="108" w:type="dxa"/>
          </w:tblCellMar>
        </w:tblPrEx>
        <w:trPr>
          <w:trHeight w:val="285" w:hRule="atLeast"/>
        </w:trPr>
        <w:tc>
          <w:tcPr>
            <w:tcW w:w="237"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w:t>
            </w:r>
          </w:p>
        </w:tc>
        <w:tc>
          <w:tcPr>
            <w:tcW w:w="48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现金流出</w:t>
            </w:r>
          </w:p>
        </w:tc>
        <w:tc>
          <w:tcPr>
            <w:tcW w:w="339"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482323.68</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40214.56</w:t>
            </w:r>
          </w:p>
        </w:tc>
        <w:tc>
          <w:tcPr>
            <w:tcW w:w="332"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40214.56</w:t>
            </w:r>
          </w:p>
        </w:tc>
        <w:tc>
          <w:tcPr>
            <w:tcW w:w="35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37381.05</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36926.82</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36472.59</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36018.36</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35564.13</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36771.87</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36317.64</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35863.41</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35409.18</w:t>
            </w:r>
          </w:p>
        </w:tc>
        <w:tc>
          <w:tcPr>
            <w:tcW w:w="341"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34954.95</w:t>
            </w:r>
          </w:p>
        </w:tc>
      </w:tr>
      <w:tr>
        <w:tblPrEx>
          <w:tblCellMar>
            <w:top w:w="0" w:type="dxa"/>
            <w:left w:w="108" w:type="dxa"/>
            <w:bottom w:w="0" w:type="dxa"/>
            <w:right w:w="108" w:type="dxa"/>
          </w:tblCellMar>
        </w:tblPrEx>
        <w:trPr>
          <w:trHeight w:val="285" w:hRule="atLeast"/>
        </w:trPr>
        <w:tc>
          <w:tcPr>
            <w:tcW w:w="237"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2.1</w:t>
            </w:r>
          </w:p>
        </w:tc>
        <w:tc>
          <w:tcPr>
            <w:tcW w:w="48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项目资本金</w:t>
            </w:r>
          </w:p>
        </w:tc>
        <w:tc>
          <w:tcPr>
            <w:tcW w:w="339"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120643.69</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40214.56</w:t>
            </w:r>
          </w:p>
        </w:tc>
        <w:tc>
          <w:tcPr>
            <w:tcW w:w="332"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40214.56</w:t>
            </w:r>
          </w:p>
        </w:tc>
        <w:tc>
          <w:tcPr>
            <w:tcW w:w="35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41"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r>
      <w:tr>
        <w:tblPrEx>
          <w:tblCellMar>
            <w:top w:w="0" w:type="dxa"/>
            <w:left w:w="108" w:type="dxa"/>
            <w:bottom w:w="0" w:type="dxa"/>
            <w:right w:w="108" w:type="dxa"/>
          </w:tblCellMar>
        </w:tblPrEx>
        <w:trPr>
          <w:trHeight w:val="285" w:hRule="atLeast"/>
        </w:trPr>
        <w:tc>
          <w:tcPr>
            <w:tcW w:w="237"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2.2</w:t>
            </w:r>
          </w:p>
        </w:tc>
        <w:tc>
          <w:tcPr>
            <w:tcW w:w="48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借款本金偿还</w:t>
            </w:r>
          </w:p>
        </w:tc>
        <w:tc>
          <w:tcPr>
            <w:tcW w:w="339"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103000</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32"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5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10300</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10300</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10300</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10300</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10300</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10300</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10300</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10300</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10300</w:t>
            </w:r>
          </w:p>
        </w:tc>
        <w:tc>
          <w:tcPr>
            <w:tcW w:w="341"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10300</w:t>
            </w:r>
          </w:p>
        </w:tc>
      </w:tr>
      <w:tr>
        <w:tblPrEx>
          <w:shd w:val="clear"/>
          <w:tblCellMar>
            <w:top w:w="0" w:type="dxa"/>
            <w:left w:w="108" w:type="dxa"/>
            <w:bottom w:w="0" w:type="dxa"/>
            <w:right w:w="108" w:type="dxa"/>
          </w:tblCellMar>
        </w:tblPrEx>
        <w:trPr>
          <w:trHeight w:val="285" w:hRule="atLeast"/>
        </w:trPr>
        <w:tc>
          <w:tcPr>
            <w:tcW w:w="237"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2.3</w:t>
            </w:r>
          </w:p>
        </w:tc>
        <w:tc>
          <w:tcPr>
            <w:tcW w:w="48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借款利息支付</w:t>
            </w:r>
          </w:p>
        </w:tc>
        <w:tc>
          <w:tcPr>
            <w:tcW w:w="339"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30282</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32"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5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5753.58</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5147.94</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4542.3</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3936.66</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3331.02</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2725.38</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2119.74</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1514.1</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908.46</w:t>
            </w:r>
          </w:p>
        </w:tc>
        <w:tc>
          <w:tcPr>
            <w:tcW w:w="341"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302.82</w:t>
            </w:r>
          </w:p>
        </w:tc>
      </w:tr>
      <w:tr>
        <w:tblPrEx>
          <w:shd w:val="clear"/>
          <w:tblCellMar>
            <w:top w:w="0" w:type="dxa"/>
            <w:left w:w="108" w:type="dxa"/>
            <w:bottom w:w="0" w:type="dxa"/>
            <w:right w:w="108" w:type="dxa"/>
          </w:tblCellMar>
        </w:tblPrEx>
        <w:trPr>
          <w:trHeight w:val="285" w:hRule="atLeast"/>
        </w:trPr>
        <w:tc>
          <w:tcPr>
            <w:tcW w:w="237"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2.4</w:t>
            </w:r>
          </w:p>
        </w:tc>
        <w:tc>
          <w:tcPr>
            <w:tcW w:w="48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经营成本</w:t>
            </w:r>
          </w:p>
        </w:tc>
        <w:tc>
          <w:tcPr>
            <w:tcW w:w="339"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145669.34</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32"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5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14566.93</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14566.93</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14566.93</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14566.93</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14566.93</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14566.93</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14566.93</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14566.93</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14566.93</w:t>
            </w:r>
          </w:p>
        </w:tc>
        <w:tc>
          <w:tcPr>
            <w:tcW w:w="341"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14566.93</w:t>
            </w:r>
          </w:p>
        </w:tc>
      </w:tr>
      <w:tr>
        <w:tblPrEx>
          <w:tblCellMar>
            <w:top w:w="0" w:type="dxa"/>
            <w:left w:w="108" w:type="dxa"/>
            <w:bottom w:w="0" w:type="dxa"/>
            <w:right w:w="108" w:type="dxa"/>
          </w:tblCellMar>
        </w:tblPrEx>
        <w:trPr>
          <w:trHeight w:val="285" w:hRule="atLeast"/>
        </w:trPr>
        <w:tc>
          <w:tcPr>
            <w:tcW w:w="237"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2.5</w:t>
            </w:r>
          </w:p>
        </w:tc>
        <w:tc>
          <w:tcPr>
            <w:tcW w:w="48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营业税金及附加</w:t>
            </w:r>
          </w:p>
        </w:tc>
        <w:tc>
          <w:tcPr>
            <w:tcW w:w="339"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3212.06</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32"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5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321.21</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321.21</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321.21</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321.21</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321.21</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321.21</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321.21</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321.21</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321.21</w:t>
            </w:r>
          </w:p>
        </w:tc>
        <w:tc>
          <w:tcPr>
            <w:tcW w:w="341"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321.21</w:t>
            </w:r>
          </w:p>
        </w:tc>
      </w:tr>
      <w:tr>
        <w:tblPrEx>
          <w:shd w:val="clear"/>
          <w:tblCellMar>
            <w:top w:w="0" w:type="dxa"/>
            <w:left w:w="108" w:type="dxa"/>
            <w:bottom w:w="0" w:type="dxa"/>
            <w:right w:w="108" w:type="dxa"/>
          </w:tblCellMar>
        </w:tblPrEx>
        <w:trPr>
          <w:trHeight w:val="285" w:hRule="atLeast"/>
        </w:trPr>
        <w:tc>
          <w:tcPr>
            <w:tcW w:w="237"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2.6</w:t>
            </w:r>
          </w:p>
        </w:tc>
        <w:tc>
          <w:tcPr>
            <w:tcW w:w="48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所得税</w:t>
            </w:r>
          </w:p>
        </w:tc>
        <w:tc>
          <w:tcPr>
            <w:tcW w:w="339"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79516.59</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32"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5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6439.33</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6590.74</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6742.15</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6893.56</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7044.97</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8858.35</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9009.76</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9161.17</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9312.58</w:t>
            </w:r>
          </w:p>
        </w:tc>
        <w:tc>
          <w:tcPr>
            <w:tcW w:w="341"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9463.99</w:t>
            </w:r>
          </w:p>
        </w:tc>
      </w:tr>
      <w:tr>
        <w:tblPrEx>
          <w:tblCellMar>
            <w:top w:w="0" w:type="dxa"/>
            <w:left w:w="108" w:type="dxa"/>
            <w:bottom w:w="0" w:type="dxa"/>
            <w:right w:w="108" w:type="dxa"/>
          </w:tblCellMar>
        </w:tblPrEx>
        <w:trPr>
          <w:trHeight w:val="285" w:hRule="atLeast"/>
        </w:trPr>
        <w:tc>
          <w:tcPr>
            <w:tcW w:w="237"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2.7</w:t>
            </w:r>
          </w:p>
        </w:tc>
        <w:tc>
          <w:tcPr>
            <w:tcW w:w="48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维持运营投资</w:t>
            </w:r>
          </w:p>
        </w:tc>
        <w:tc>
          <w:tcPr>
            <w:tcW w:w="339"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32"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5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c>
          <w:tcPr>
            <w:tcW w:w="341"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0</w:t>
            </w:r>
          </w:p>
        </w:tc>
      </w:tr>
      <w:tr>
        <w:tblPrEx>
          <w:tblCellMar>
            <w:top w:w="0" w:type="dxa"/>
            <w:left w:w="108" w:type="dxa"/>
            <w:bottom w:w="0" w:type="dxa"/>
            <w:right w:w="108" w:type="dxa"/>
          </w:tblCellMar>
        </w:tblPrEx>
        <w:trPr>
          <w:trHeight w:val="285" w:hRule="atLeast"/>
        </w:trPr>
        <w:tc>
          <w:tcPr>
            <w:tcW w:w="237"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3</w:t>
            </w:r>
          </w:p>
        </w:tc>
        <w:tc>
          <w:tcPr>
            <w:tcW w:w="48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净现金流量（</w:t>
            </w:r>
            <w:r>
              <w:rPr>
                <w:rFonts w:hint="default" w:ascii="Times New Roman" w:hAnsi="Times New Roman" w:eastAsia="宋体" w:cs="Times New Roman"/>
                <w:i w:val="0"/>
                <w:iCs w:val="0"/>
                <w:color w:val="000000"/>
                <w:kern w:val="0"/>
                <w:sz w:val="18"/>
                <w:szCs w:val="18"/>
                <w:u w:val="none"/>
                <w:bdr w:val="none" w:color="auto" w:sz="0" w:space="0"/>
                <w:lang w:val="en-US" w:eastAsia="zh-CN" w:bidi="ar"/>
              </w:rPr>
              <w:t>1-2</w:t>
            </w: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339"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144634.37</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-40214.56</w:t>
            </w:r>
          </w:p>
        </w:tc>
        <w:tc>
          <w:tcPr>
            <w:tcW w:w="332"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-40214.56</w:t>
            </w:r>
          </w:p>
        </w:tc>
        <w:tc>
          <w:tcPr>
            <w:tcW w:w="35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18721.35</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19175.58</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19629.81</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20084.04</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20538.27</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19330.53</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19784.76</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20238.99</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20693.22</w:t>
            </w:r>
          </w:p>
        </w:tc>
        <w:tc>
          <w:tcPr>
            <w:tcW w:w="341"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87081.5</w:t>
            </w:r>
          </w:p>
        </w:tc>
      </w:tr>
      <w:tr>
        <w:tblPrEx>
          <w:shd w:val="clear"/>
          <w:tblCellMar>
            <w:top w:w="0" w:type="dxa"/>
            <w:left w:w="108" w:type="dxa"/>
            <w:bottom w:w="0" w:type="dxa"/>
            <w:right w:w="108" w:type="dxa"/>
          </w:tblCellMar>
        </w:tblPrEx>
        <w:trPr>
          <w:trHeight w:val="285" w:hRule="atLeast"/>
        </w:trPr>
        <w:tc>
          <w:tcPr>
            <w:tcW w:w="237" w:type="pct"/>
            <w:tcBorders>
              <w:top w:val="single" w:color="000000" w:sz="8"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bdr w:val="none" w:color="auto" w:sz="0" w:space="0"/>
                <w:lang w:val="en-US" w:eastAsia="zh-CN" w:bidi="ar"/>
              </w:rPr>
              <w:t>4</w:t>
            </w:r>
          </w:p>
        </w:tc>
        <w:tc>
          <w:tcPr>
            <w:tcW w:w="48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累计净现金流量</w:t>
            </w:r>
          </w:p>
        </w:tc>
        <w:tc>
          <w:tcPr>
            <w:tcW w:w="339"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-40214.56</w:t>
            </w:r>
          </w:p>
        </w:tc>
        <w:tc>
          <w:tcPr>
            <w:tcW w:w="332"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-80429.13</w:t>
            </w:r>
          </w:p>
        </w:tc>
        <w:tc>
          <w:tcPr>
            <w:tcW w:w="353"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-101922.34</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-82746.76</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-63116.95</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-43032.9</w:t>
            </w:r>
          </w:p>
        </w:tc>
        <w:tc>
          <w:tcPr>
            <w:tcW w:w="331"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-22494.63</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-3164.1</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16620.66</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36859.65</w:t>
            </w:r>
          </w:p>
        </w:tc>
        <w:tc>
          <w:tcPr>
            <w:tcW w:w="317" w:type="pct"/>
            <w:tcBorders>
              <w:top w:val="single" w:color="000000" w:sz="8" w:space="0"/>
              <w:left w:val="single" w:color="000000" w:sz="8"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57552.87</w:t>
            </w:r>
          </w:p>
        </w:tc>
        <w:tc>
          <w:tcPr>
            <w:tcW w:w="341" w:type="pct"/>
            <w:tcBorders>
              <w:top w:val="single" w:color="000000" w:sz="8" w:space="0"/>
              <w:left w:val="single" w:color="000000" w:sz="8" w:space="0"/>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144634.37</w:t>
            </w:r>
          </w:p>
        </w:tc>
      </w:tr>
      <w:tr>
        <w:tblPrEx>
          <w:shd w:val="clear"/>
          <w:tblCellMar>
            <w:top w:w="0" w:type="dxa"/>
            <w:left w:w="108" w:type="dxa"/>
            <w:bottom w:w="0" w:type="dxa"/>
            <w:right w:w="108" w:type="dxa"/>
          </w:tblCellMar>
        </w:tblPrEx>
        <w:trPr>
          <w:trHeight w:val="285" w:hRule="atLeast"/>
        </w:trPr>
        <w:tc>
          <w:tcPr>
            <w:tcW w:w="718" w:type="pct"/>
            <w:gridSpan w:val="2"/>
            <w:tcBorders>
              <w:top w:val="single" w:color="000000" w:sz="8" w:space="0"/>
              <w:left w:val="single" w:color="000000" w:sz="12" w:space="0"/>
              <w:bottom w:val="single" w:color="000000" w:sz="12"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资本金财务内部收益率</w:t>
            </w:r>
          </w:p>
        </w:tc>
        <w:tc>
          <w:tcPr>
            <w:tcW w:w="339"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11.64%</w:t>
            </w:r>
          </w:p>
        </w:tc>
        <w:tc>
          <w:tcPr>
            <w:tcW w:w="331"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32"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53"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31"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31"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17"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31"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17"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17"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17"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17" w:type="pct"/>
            <w:tcBorders>
              <w:top w:val="single" w:color="000000" w:sz="8" w:space="0"/>
              <w:left w:val="single" w:color="000000" w:sz="8" w:space="0"/>
              <w:bottom w:val="single" w:color="000000" w:sz="12"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41" w:type="pct"/>
            <w:tcBorders>
              <w:top w:val="single" w:color="000000" w:sz="8" w:space="0"/>
              <w:left w:val="single" w:color="000000" w:sz="8" w:space="0"/>
              <w:bottom w:val="single" w:color="000000" w:sz="12" w:space="0"/>
              <w:right w:val="single" w:color="000000" w:sz="12"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2"/>
                <w:szCs w:val="22"/>
                <w:u w:val="none"/>
              </w:rPr>
            </w:pPr>
          </w:p>
        </w:tc>
      </w:tr>
    </w:tbl>
    <w:p>
      <w:pPr>
        <w:ind w:firstLine="480"/>
        <w:rPr>
          <w:color w:val="auto"/>
          <w:highlight w:val="none"/>
        </w:rPr>
      </w:pPr>
      <w:r>
        <w:rPr>
          <w:color w:val="auto"/>
          <w:highlight w:val="none"/>
        </w:rPr>
        <w:br w:type="page"/>
      </w:r>
    </w:p>
    <w:p>
      <w:pPr>
        <w:ind w:firstLine="480"/>
        <w:rPr>
          <w:color w:val="auto"/>
          <w:highlight w:val="none"/>
        </w:rPr>
      </w:pPr>
    </w:p>
    <w:p>
      <w:pPr>
        <w:widowControl/>
        <w:spacing w:line="240" w:lineRule="auto"/>
        <w:ind w:firstLine="0" w:firstLineChars="0"/>
        <w:jc w:val="left"/>
        <w:rPr>
          <w:rFonts w:cs="Times New Roman"/>
          <w:color w:val="auto"/>
          <w:highlight w:val="none"/>
        </w:rPr>
      </w:pPr>
      <w:r>
        <w:rPr>
          <w:rFonts w:cs="Times New Roman"/>
          <w:b/>
          <w:bCs/>
          <w:color w:val="auto"/>
          <w:highlight w:val="none"/>
        </w:rPr>
        <w:t>附表</w:t>
      </w:r>
      <w:r>
        <w:rPr>
          <w:rFonts w:hint="eastAsia" w:cs="Times New Roman"/>
          <w:b/>
          <w:bCs/>
          <w:color w:val="auto"/>
          <w:highlight w:val="none"/>
        </w:rPr>
        <w:t>7</w:t>
      </w:r>
      <w:r>
        <w:rPr>
          <w:rFonts w:cs="Times New Roman"/>
          <w:b/>
          <w:bCs/>
          <w:color w:val="auto"/>
          <w:highlight w:val="none"/>
        </w:rPr>
        <w:t xml:space="preserve">                                              借款还本付息表                                       </w:t>
      </w:r>
      <w:r>
        <w:rPr>
          <w:rFonts w:cs="Times New Roman"/>
          <w:b/>
          <w:bCs/>
          <w:color w:val="auto"/>
          <w:sz w:val="21"/>
          <w:szCs w:val="21"/>
          <w:highlight w:val="none"/>
        </w:rPr>
        <w:t>单位：万元</w:t>
      </w:r>
    </w:p>
    <w:tbl>
      <w:tblPr>
        <w:tblW w:w="4998" w:type="pct"/>
        <w:tblInd w:w="0" w:type="dxa"/>
        <w:shd w:val="clear"/>
        <w:tblLayout w:type="autofit"/>
        <w:tblCellMar>
          <w:top w:w="0" w:type="dxa"/>
          <w:left w:w="108" w:type="dxa"/>
          <w:bottom w:w="0" w:type="dxa"/>
          <w:right w:w="108" w:type="dxa"/>
        </w:tblCellMar>
      </w:tblPr>
      <w:tblGrid>
        <w:gridCol w:w="552"/>
        <w:gridCol w:w="1396"/>
        <w:gridCol w:w="1199"/>
        <w:gridCol w:w="918"/>
        <w:gridCol w:w="919"/>
        <w:gridCol w:w="919"/>
        <w:gridCol w:w="919"/>
        <w:gridCol w:w="919"/>
        <w:gridCol w:w="919"/>
        <w:gridCol w:w="919"/>
        <w:gridCol w:w="919"/>
        <w:gridCol w:w="919"/>
        <w:gridCol w:w="919"/>
        <w:gridCol w:w="919"/>
        <w:gridCol w:w="919"/>
      </w:tblGrid>
      <w:tr>
        <w:tblPrEx>
          <w:shd w:val="clear"/>
          <w:tblCellMar>
            <w:top w:w="0" w:type="dxa"/>
            <w:left w:w="108" w:type="dxa"/>
            <w:bottom w:w="0" w:type="dxa"/>
            <w:right w:w="108" w:type="dxa"/>
          </w:tblCellMar>
        </w:tblPrEx>
        <w:trPr>
          <w:trHeight w:val="330" w:hRule="atLeast"/>
        </w:trPr>
        <w:tc>
          <w:tcPr>
            <w:tcW w:w="168" w:type="pct"/>
            <w:vMerge w:val="restart"/>
            <w:tcBorders>
              <w:top w:val="single" w:color="000000" w:sz="12"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226" w:type="pct"/>
            <w:vMerge w:val="restart"/>
            <w:tcBorders>
              <w:top w:val="single" w:color="000000" w:sz="12" w:space="0"/>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w:t>
            </w:r>
          </w:p>
        </w:tc>
        <w:tc>
          <w:tcPr>
            <w:tcW w:w="272" w:type="pct"/>
            <w:vMerge w:val="restart"/>
            <w:tcBorders>
              <w:top w:val="single" w:color="000000" w:sz="12" w:space="0"/>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合计</w:t>
            </w:r>
          </w:p>
        </w:tc>
        <w:tc>
          <w:tcPr>
            <w:tcW w:w="577" w:type="pct"/>
            <w:gridSpan w:val="2"/>
            <w:tcBorders>
              <w:top w:val="single" w:color="000000" w:sz="12" w:space="0"/>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建设期</w:t>
            </w:r>
          </w:p>
        </w:tc>
        <w:tc>
          <w:tcPr>
            <w:tcW w:w="3755" w:type="pct"/>
            <w:gridSpan w:val="10"/>
            <w:tcBorders>
              <w:top w:val="single" w:color="000000" w:sz="12" w:space="0"/>
              <w:left w:val="nil"/>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运营期</w:t>
            </w:r>
          </w:p>
        </w:tc>
      </w:tr>
      <w:tr>
        <w:tblPrEx>
          <w:shd w:val="clear"/>
          <w:tblCellMar>
            <w:top w:w="0" w:type="dxa"/>
            <w:left w:w="108" w:type="dxa"/>
            <w:bottom w:w="0" w:type="dxa"/>
            <w:right w:w="108" w:type="dxa"/>
          </w:tblCellMar>
        </w:tblPrEx>
        <w:trPr>
          <w:trHeight w:val="300" w:hRule="atLeast"/>
        </w:trPr>
        <w:tc>
          <w:tcPr>
            <w:tcW w:w="168" w:type="pct"/>
            <w:vMerge w:val="continue"/>
            <w:tcBorders>
              <w:top w:val="single" w:color="000000" w:sz="12" w:space="0"/>
              <w:left w:val="single" w:color="000000" w:sz="12"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18"/>
                <w:szCs w:val="18"/>
                <w:u w:val="none"/>
              </w:rPr>
            </w:pPr>
          </w:p>
        </w:tc>
        <w:tc>
          <w:tcPr>
            <w:tcW w:w="226" w:type="pct"/>
            <w:vMerge w:val="continue"/>
            <w:tcBorders>
              <w:top w:val="single" w:color="000000" w:sz="12" w:space="0"/>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18"/>
                <w:szCs w:val="18"/>
                <w:u w:val="none"/>
              </w:rPr>
            </w:pPr>
          </w:p>
        </w:tc>
        <w:tc>
          <w:tcPr>
            <w:tcW w:w="272" w:type="pct"/>
            <w:vMerge w:val="continue"/>
            <w:tcBorders>
              <w:top w:val="single" w:color="000000" w:sz="12" w:space="0"/>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18"/>
                <w:szCs w:val="18"/>
                <w:u w:val="none"/>
              </w:rPr>
            </w:pP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352"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1729" w:type="pct"/>
            <w:tcBorders>
              <w:top w:val="nil"/>
              <w:left w:val="nil"/>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r>
      <w:tr>
        <w:tblPrEx>
          <w:shd w:val="clear"/>
          <w:tblCellMar>
            <w:top w:w="0" w:type="dxa"/>
            <w:left w:w="108" w:type="dxa"/>
            <w:bottom w:w="0" w:type="dxa"/>
            <w:right w:w="108" w:type="dxa"/>
          </w:tblCellMar>
        </w:tblPrEx>
        <w:trPr>
          <w:trHeight w:val="285" w:hRule="atLeast"/>
        </w:trPr>
        <w:tc>
          <w:tcPr>
            <w:tcW w:w="168" w:type="pct"/>
            <w:tcBorders>
              <w:top w:val="nil"/>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2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长期借款</w:t>
            </w:r>
          </w:p>
        </w:tc>
        <w:tc>
          <w:tcPr>
            <w:tcW w:w="272"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52"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1729" w:type="pct"/>
            <w:tcBorders>
              <w:top w:val="nil"/>
              <w:left w:val="nil"/>
              <w:bottom w:val="single" w:color="000000" w:sz="8" w:space="0"/>
              <w:right w:val="single" w:color="000000" w:sz="12"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r>
      <w:tr>
        <w:tblPrEx>
          <w:shd w:val="clear"/>
          <w:tblCellMar>
            <w:top w:w="0" w:type="dxa"/>
            <w:left w:w="108" w:type="dxa"/>
            <w:bottom w:w="0" w:type="dxa"/>
            <w:right w:w="108" w:type="dxa"/>
          </w:tblCellMar>
        </w:tblPrEx>
        <w:trPr>
          <w:trHeight w:val="285" w:hRule="atLeast"/>
        </w:trPr>
        <w:tc>
          <w:tcPr>
            <w:tcW w:w="168" w:type="pct"/>
            <w:tcBorders>
              <w:top w:val="nil"/>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22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年初本息余額</w:t>
            </w:r>
          </w:p>
        </w:tc>
        <w:tc>
          <w:tcPr>
            <w:tcW w:w="272"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40000.00</w:t>
            </w:r>
          </w:p>
        </w:tc>
        <w:tc>
          <w:tcPr>
            <w:tcW w:w="352"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80000.00</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80000.00</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71111.11</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62222.22</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53333.33</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44444.44</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35555.56</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26666.67</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17777.78</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8888.89</w:t>
            </w:r>
          </w:p>
        </w:tc>
        <w:tc>
          <w:tcPr>
            <w:tcW w:w="1729"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0.00</w:t>
            </w:r>
          </w:p>
        </w:tc>
      </w:tr>
      <w:tr>
        <w:tblPrEx>
          <w:shd w:val="clear"/>
          <w:tblCellMar>
            <w:top w:w="0" w:type="dxa"/>
            <w:left w:w="108" w:type="dxa"/>
            <w:bottom w:w="0" w:type="dxa"/>
            <w:right w:w="108" w:type="dxa"/>
          </w:tblCellMar>
        </w:tblPrEx>
        <w:trPr>
          <w:trHeight w:val="285" w:hRule="atLeast"/>
        </w:trPr>
        <w:tc>
          <w:tcPr>
            <w:tcW w:w="168" w:type="pct"/>
            <w:tcBorders>
              <w:top w:val="nil"/>
              <w:left w:val="single" w:color="000000" w:sz="12"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2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本年借款</w:t>
            </w:r>
          </w:p>
        </w:tc>
        <w:tc>
          <w:tcPr>
            <w:tcW w:w="272"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40000.00</w:t>
            </w:r>
          </w:p>
        </w:tc>
        <w:tc>
          <w:tcPr>
            <w:tcW w:w="352"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80000.00</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729" w:type="pct"/>
            <w:tcBorders>
              <w:top w:val="nil"/>
              <w:left w:val="nil"/>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r>
      <w:tr>
        <w:tblPrEx>
          <w:shd w:val="clear"/>
          <w:tblCellMar>
            <w:top w:w="0" w:type="dxa"/>
            <w:left w:w="108" w:type="dxa"/>
            <w:bottom w:w="0" w:type="dxa"/>
            <w:right w:w="108" w:type="dxa"/>
          </w:tblCellMar>
        </w:tblPrEx>
        <w:trPr>
          <w:trHeight w:val="285" w:hRule="atLeast"/>
        </w:trPr>
        <w:tc>
          <w:tcPr>
            <w:tcW w:w="168" w:type="pct"/>
            <w:tcBorders>
              <w:top w:val="nil"/>
              <w:left w:val="single" w:color="000000" w:sz="12"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2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本年应计利息</w:t>
            </w:r>
          </w:p>
        </w:tc>
        <w:tc>
          <w:tcPr>
            <w:tcW w:w="272"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36642</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2120.00</w:t>
            </w:r>
          </w:p>
        </w:tc>
        <w:tc>
          <w:tcPr>
            <w:tcW w:w="352"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4240.00</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5753.58</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5147.94</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4542.3</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3936.66</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3331.02</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2725.38</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2119.74</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1514.1</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908.46</w:t>
            </w:r>
          </w:p>
        </w:tc>
        <w:tc>
          <w:tcPr>
            <w:tcW w:w="1729" w:type="pct"/>
            <w:tcBorders>
              <w:top w:val="nil"/>
              <w:left w:val="nil"/>
              <w:bottom w:val="single" w:color="000000" w:sz="8"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302.82</w:t>
            </w:r>
          </w:p>
        </w:tc>
      </w:tr>
      <w:tr>
        <w:tblPrEx>
          <w:shd w:val="clear"/>
          <w:tblCellMar>
            <w:top w:w="0" w:type="dxa"/>
            <w:left w:w="108" w:type="dxa"/>
            <w:bottom w:w="0" w:type="dxa"/>
            <w:right w:w="108" w:type="dxa"/>
          </w:tblCellMar>
        </w:tblPrEx>
        <w:trPr>
          <w:trHeight w:val="285" w:hRule="atLeast"/>
        </w:trPr>
        <w:tc>
          <w:tcPr>
            <w:tcW w:w="168" w:type="pct"/>
            <w:tcBorders>
              <w:top w:val="nil"/>
              <w:left w:val="single" w:color="000000" w:sz="12"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2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本年还本付息</w:t>
            </w:r>
          </w:p>
        </w:tc>
        <w:tc>
          <w:tcPr>
            <w:tcW w:w="272"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125530.8889</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2120.00</w:t>
            </w:r>
          </w:p>
        </w:tc>
        <w:tc>
          <w:tcPr>
            <w:tcW w:w="352"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4240.00</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14642.47</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14036.83</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13431.19</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12825.55</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12219.91</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11614.27</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11008.63</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10402.99</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9797.35</w:t>
            </w:r>
          </w:p>
        </w:tc>
        <w:tc>
          <w:tcPr>
            <w:tcW w:w="1729"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9191.71</w:t>
            </w:r>
          </w:p>
        </w:tc>
      </w:tr>
      <w:tr>
        <w:tblPrEx>
          <w:tblCellMar>
            <w:top w:w="0" w:type="dxa"/>
            <w:left w:w="108" w:type="dxa"/>
            <w:bottom w:w="0" w:type="dxa"/>
            <w:right w:w="108" w:type="dxa"/>
          </w:tblCellMar>
        </w:tblPrEx>
        <w:trPr>
          <w:trHeight w:val="285" w:hRule="atLeast"/>
        </w:trPr>
        <w:tc>
          <w:tcPr>
            <w:tcW w:w="168" w:type="pct"/>
            <w:tcBorders>
              <w:top w:val="nil"/>
              <w:left w:val="single" w:color="000000" w:sz="12"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2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其中：还本</w:t>
            </w:r>
          </w:p>
        </w:tc>
        <w:tc>
          <w:tcPr>
            <w:tcW w:w="272"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88888.88889</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0.00</w:t>
            </w:r>
          </w:p>
        </w:tc>
        <w:tc>
          <w:tcPr>
            <w:tcW w:w="352"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0.00</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8888.89</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8888.89</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8888.89</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8888.89</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8888.89</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8888.89</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8888.89</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8888.89</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8888.89</w:t>
            </w:r>
          </w:p>
        </w:tc>
        <w:tc>
          <w:tcPr>
            <w:tcW w:w="1729"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8888.89</w:t>
            </w:r>
          </w:p>
        </w:tc>
      </w:tr>
      <w:tr>
        <w:tblPrEx>
          <w:shd w:val="clear"/>
          <w:tblCellMar>
            <w:top w:w="0" w:type="dxa"/>
            <w:left w:w="108" w:type="dxa"/>
            <w:bottom w:w="0" w:type="dxa"/>
            <w:right w:w="108" w:type="dxa"/>
          </w:tblCellMar>
        </w:tblPrEx>
        <w:trPr>
          <w:trHeight w:val="285" w:hRule="atLeast"/>
        </w:trPr>
        <w:tc>
          <w:tcPr>
            <w:tcW w:w="168" w:type="pct"/>
            <w:tcBorders>
              <w:top w:val="nil"/>
              <w:left w:val="single" w:color="000000" w:sz="12" w:space="0"/>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2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付息</w:t>
            </w:r>
          </w:p>
        </w:tc>
        <w:tc>
          <w:tcPr>
            <w:tcW w:w="272"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36642</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2120.00</w:t>
            </w:r>
          </w:p>
        </w:tc>
        <w:tc>
          <w:tcPr>
            <w:tcW w:w="352"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4240.00</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5753.58</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5147.94</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4542.30</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3936.66</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3331.02</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2725.38</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2119.74</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1514.10</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908.46</w:t>
            </w:r>
          </w:p>
        </w:tc>
        <w:tc>
          <w:tcPr>
            <w:tcW w:w="1729"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302.82</w:t>
            </w:r>
          </w:p>
        </w:tc>
      </w:tr>
      <w:tr>
        <w:tblPrEx>
          <w:tblCellMar>
            <w:top w:w="0" w:type="dxa"/>
            <w:left w:w="108" w:type="dxa"/>
            <w:bottom w:w="0" w:type="dxa"/>
            <w:right w:w="108" w:type="dxa"/>
          </w:tblCellMar>
        </w:tblPrEx>
        <w:trPr>
          <w:trHeight w:val="285" w:hRule="atLeast"/>
        </w:trPr>
        <w:tc>
          <w:tcPr>
            <w:tcW w:w="168" w:type="pct"/>
            <w:tcBorders>
              <w:top w:val="nil"/>
              <w:left w:val="single" w:color="000000" w:sz="12" w:space="0"/>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22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期末余额</w:t>
            </w:r>
          </w:p>
        </w:tc>
        <w:tc>
          <w:tcPr>
            <w:tcW w:w="272"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0.00</w:t>
            </w:r>
          </w:p>
        </w:tc>
        <w:tc>
          <w:tcPr>
            <w:tcW w:w="352"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0.00</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80000.00</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71111.11</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62222.22</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53333.33</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44444.44</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35555.56</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26666.67</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17777.78</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8888.89</w:t>
            </w:r>
          </w:p>
        </w:tc>
        <w:tc>
          <w:tcPr>
            <w:tcW w:w="1729"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0.00</w:t>
            </w:r>
          </w:p>
        </w:tc>
      </w:tr>
      <w:tr>
        <w:tblPrEx>
          <w:shd w:val="clear"/>
          <w:tblCellMar>
            <w:top w:w="0" w:type="dxa"/>
            <w:left w:w="108" w:type="dxa"/>
            <w:bottom w:w="0" w:type="dxa"/>
            <w:right w:w="108" w:type="dxa"/>
          </w:tblCellMar>
        </w:tblPrEx>
        <w:trPr>
          <w:trHeight w:val="300" w:hRule="atLeast"/>
        </w:trPr>
        <w:tc>
          <w:tcPr>
            <w:tcW w:w="168" w:type="pct"/>
            <w:vMerge w:val="restart"/>
            <w:tcBorders>
              <w:top w:val="nil"/>
              <w:left w:val="single" w:color="000000" w:sz="12" w:space="0"/>
              <w:bottom w:val="single" w:color="000000" w:sz="8" w:space="0"/>
              <w:right w:val="single" w:color="000000" w:sz="8" w:space="0"/>
            </w:tcBorders>
            <w:shd w:val="cle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26"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可用于偿还资金</w:t>
            </w:r>
          </w:p>
        </w:tc>
        <w:tc>
          <w:tcPr>
            <w:tcW w:w="272"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332626.01</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52" w:type="pct"/>
            <w:tcBorders>
              <w:top w:val="nil"/>
              <w:left w:val="nil"/>
              <w:bottom w:val="single" w:color="000000" w:sz="8"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31774.16</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31442.50</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31160.36</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30909.57</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30671.97</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28803.39</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28512.35</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28192.10</w:t>
            </w:r>
          </w:p>
        </w:tc>
        <w:tc>
          <w:tcPr>
            <w:tcW w:w="225"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27922.44</w:t>
            </w:r>
          </w:p>
        </w:tc>
        <w:tc>
          <w:tcPr>
            <w:tcW w:w="1729" w:type="pct"/>
            <w:tcBorders>
              <w:top w:val="nil"/>
              <w:left w:val="nil"/>
              <w:bottom w:val="single" w:color="000000" w:sz="8"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27483.21</w:t>
            </w:r>
          </w:p>
        </w:tc>
      </w:tr>
      <w:tr>
        <w:tblPrEx>
          <w:shd w:val="clear"/>
          <w:tblCellMar>
            <w:top w:w="0" w:type="dxa"/>
            <w:left w:w="108" w:type="dxa"/>
            <w:bottom w:w="0" w:type="dxa"/>
            <w:right w:w="108" w:type="dxa"/>
          </w:tblCellMar>
        </w:tblPrEx>
        <w:trPr>
          <w:trHeight w:val="270" w:hRule="atLeast"/>
        </w:trPr>
        <w:tc>
          <w:tcPr>
            <w:tcW w:w="168" w:type="pct"/>
            <w:vMerge w:val="continue"/>
            <w:tcBorders>
              <w:top w:val="nil"/>
              <w:left w:val="single" w:color="000000" w:sz="12" w:space="0"/>
              <w:bottom w:val="single" w:color="000000" w:sz="8" w:space="0"/>
              <w:right w:val="single" w:color="000000" w:sz="8" w:space="0"/>
            </w:tcBorders>
            <w:shd w:val="cle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26" w:type="pct"/>
            <w:tcBorders>
              <w:top w:val="nil"/>
              <w:left w:val="nil"/>
              <w:bottom w:val="single" w:color="000000" w:sz="12"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偿债备付率</w:t>
            </w:r>
          </w:p>
        </w:tc>
        <w:tc>
          <w:tcPr>
            <w:tcW w:w="272" w:type="pct"/>
            <w:tcBorders>
              <w:top w:val="nil"/>
              <w:left w:val="nil"/>
              <w:bottom w:val="single" w:color="000000" w:sz="12"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2.5</w:t>
            </w:r>
          </w:p>
        </w:tc>
        <w:tc>
          <w:tcPr>
            <w:tcW w:w="225" w:type="pct"/>
            <w:tcBorders>
              <w:top w:val="nil"/>
              <w:left w:val="nil"/>
              <w:bottom w:val="single" w:color="000000" w:sz="12"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352" w:type="pct"/>
            <w:tcBorders>
              <w:top w:val="nil"/>
              <w:left w:val="nil"/>
              <w:bottom w:val="single" w:color="000000" w:sz="12" w:space="0"/>
              <w:right w:val="single" w:color="000000" w:sz="8"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u w:val="none"/>
              </w:rPr>
            </w:pPr>
          </w:p>
        </w:tc>
        <w:tc>
          <w:tcPr>
            <w:tcW w:w="225" w:type="pct"/>
            <w:tcBorders>
              <w:top w:val="nil"/>
              <w:left w:val="nil"/>
              <w:bottom w:val="single" w:color="000000" w:sz="12"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2.17</w:t>
            </w:r>
          </w:p>
        </w:tc>
        <w:tc>
          <w:tcPr>
            <w:tcW w:w="225" w:type="pct"/>
            <w:tcBorders>
              <w:top w:val="nil"/>
              <w:left w:val="nil"/>
              <w:bottom w:val="single" w:color="000000" w:sz="12"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2.24</w:t>
            </w:r>
          </w:p>
        </w:tc>
        <w:tc>
          <w:tcPr>
            <w:tcW w:w="225" w:type="pct"/>
            <w:tcBorders>
              <w:top w:val="nil"/>
              <w:left w:val="nil"/>
              <w:bottom w:val="single" w:color="000000" w:sz="12"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2.32</w:t>
            </w:r>
          </w:p>
        </w:tc>
        <w:tc>
          <w:tcPr>
            <w:tcW w:w="225" w:type="pct"/>
            <w:tcBorders>
              <w:top w:val="nil"/>
              <w:left w:val="nil"/>
              <w:bottom w:val="single" w:color="000000" w:sz="12"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2.41</w:t>
            </w:r>
          </w:p>
        </w:tc>
        <w:tc>
          <w:tcPr>
            <w:tcW w:w="225" w:type="pct"/>
            <w:tcBorders>
              <w:top w:val="nil"/>
              <w:left w:val="nil"/>
              <w:bottom w:val="single" w:color="000000" w:sz="12"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2.51</w:t>
            </w:r>
          </w:p>
        </w:tc>
        <w:tc>
          <w:tcPr>
            <w:tcW w:w="225" w:type="pct"/>
            <w:tcBorders>
              <w:top w:val="nil"/>
              <w:left w:val="nil"/>
              <w:bottom w:val="single" w:color="000000" w:sz="12"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2.48</w:t>
            </w:r>
          </w:p>
        </w:tc>
        <w:tc>
          <w:tcPr>
            <w:tcW w:w="225" w:type="pct"/>
            <w:tcBorders>
              <w:top w:val="nil"/>
              <w:left w:val="nil"/>
              <w:bottom w:val="single" w:color="000000" w:sz="12"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2.59</w:t>
            </w:r>
          </w:p>
        </w:tc>
        <w:tc>
          <w:tcPr>
            <w:tcW w:w="225" w:type="pct"/>
            <w:tcBorders>
              <w:top w:val="nil"/>
              <w:left w:val="nil"/>
              <w:bottom w:val="single" w:color="000000" w:sz="12"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2.71</w:t>
            </w:r>
          </w:p>
        </w:tc>
        <w:tc>
          <w:tcPr>
            <w:tcW w:w="225" w:type="pct"/>
            <w:tcBorders>
              <w:top w:val="nil"/>
              <w:left w:val="nil"/>
              <w:bottom w:val="single" w:color="000000" w:sz="12" w:space="0"/>
              <w:right w:val="single" w:color="000000" w:sz="8"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2.85</w:t>
            </w:r>
          </w:p>
        </w:tc>
        <w:tc>
          <w:tcPr>
            <w:tcW w:w="1729" w:type="pct"/>
            <w:tcBorders>
              <w:top w:val="nil"/>
              <w:left w:val="nil"/>
              <w:bottom w:val="single" w:color="000000" w:sz="12" w:space="0"/>
              <w:right w:val="single" w:color="000000" w:sz="12"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2.99</w:t>
            </w:r>
          </w:p>
        </w:tc>
      </w:tr>
    </w:tbl>
    <w:p>
      <w:pPr>
        <w:ind w:firstLine="679" w:firstLineChars="283"/>
        <w:jc w:val="left"/>
        <w:rPr>
          <w:rFonts w:ascii="宋体" w:hAnsi="宋体"/>
          <w:color w:val="auto"/>
          <w:szCs w:val="24"/>
          <w:highlight w:val="none"/>
        </w:rPr>
      </w:pPr>
    </w:p>
    <w:p>
      <w:pPr>
        <w:ind w:firstLine="679" w:firstLineChars="283"/>
        <w:jc w:val="left"/>
        <w:rPr>
          <w:rFonts w:ascii="宋体" w:hAnsi="宋体"/>
          <w:color w:val="auto"/>
          <w:szCs w:val="24"/>
          <w:highlight w:val="none"/>
        </w:rPr>
      </w:pPr>
    </w:p>
    <w:p>
      <w:pPr>
        <w:ind w:firstLine="679" w:firstLineChars="283"/>
        <w:jc w:val="left"/>
        <w:rPr>
          <w:rFonts w:ascii="宋体" w:hAnsi="宋体"/>
          <w:color w:val="auto"/>
          <w:szCs w:val="24"/>
          <w:highlight w:val="none"/>
        </w:rPr>
        <w:sectPr>
          <w:pgSz w:w="16838" w:h="11906" w:orient="landscape"/>
          <w:pgMar w:top="1702" w:right="1440" w:bottom="1560" w:left="1440" w:header="851" w:footer="992" w:gutter="0"/>
          <w:cols w:space="720" w:num="1"/>
          <w:docGrid w:type="lines" w:linePitch="326" w:charSpace="0"/>
        </w:sectPr>
      </w:pPr>
    </w:p>
    <w:p>
      <w:pPr>
        <w:pStyle w:val="2"/>
        <w:rPr>
          <w:color w:val="auto"/>
          <w:highlight w:val="none"/>
        </w:rPr>
      </w:pPr>
      <w:bookmarkStart w:id="173" w:name="_Toc15331"/>
      <w:r>
        <w:rPr>
          <w:rFonts w:hint="eastAsia"/>
          <w:color w:val="auto"/>
          <w:highlight w:val="none"/>
        </w:rPr>
        <w:t>16社会稳定风险分析</w:t>
      </w:r>
      <w:bookmarkEnd w:id="173"/>
    </w:p>
    <w:p>
      <w:pPr>
        <w:pStyle w:val="3"/>
        <w:rPr>
          <w:color w:val="auto"/>
          <w:highlight w:val="none"/>
        </w:rPr>
      </w:pPr>
      <w:bookmarkStart w:id="174" w:name="_Toc14645"/>
      <w:r>
        <w:rPr>
          <w:rFonts w:hint="eastAsia"/>
          <w:color w:val="auto"/>
          <w:highlight w:val="none"/>
        </w:rPr>
        <w:t>16.1编制依据</w:t>
      </w:r>
      <w:bookmarkEnd w:id="174"/>
    </w:p>
    <w:p>
      <w:pPr>
        <w:pStyle w:val="4"/>
        <w:rPr>
          <w:color w:val="auto"/>
          <w:highlight w:val="none"/>
        </w:rPr>
      </w:pPr>
      <w:r>
        <w:rPr>
          <w:rFonts w:hint="eastAsia"/>
          <w:color w:val="auto"/>
          <w:highlight w:val="none"/>
        </w:rPr>
        <w:t>16.1.1 依据文件</w:t>
      </w:r>
    </w:p>
    <w:p>
      <w:pPr>
        <w:ind w:firstLine="480"/>
        <w:rPr>
          <w:color w:val="auto"/>
          <w:highlight w:val="none"/>
        </w:rPr>
      </w:pPr>
      <w:r>
        <w:rPr>
          <w:rFonts w:hint="eastAsia"/>
          <w:color w:val="auto"/>
          <w:highlight w:val="none"/>
        </w:rPr>
        <w:t>（1）《中华人民共和国水法》（2002年 8月29日第九届全国人民代表大会常务委员会第二十九次会议通过）；</w:t>
      </w:r>
    </w:p>
    <w:p>
      <w:pPr>
        <w:ind w:firstLine="480"/>
        <w:rPr>
          <w:color w:val="auto"/>
          <w:highlight w:val="none"/>
        </w:rPr>
      </w:pPr>
      <w:r>
        <w:rPr>
          <w:rFonts w:hint="eastAsia"/>
          <w:color w:val="auto"/>
          <w:highlight w:val="none"/>
        </w:rPr>
        <w:t>（2）《中华人民共和国防洪法》（2015年4月24日第十二届全国人民代表大会常务委员会第十四次会议修订）；</w:t>
      </w:r>
    </w:p>
    <w:p>
      <w:pPr>
        <w:ind w:firstLine="480"/>
        <w:rPr>
          <w:color w:val="auto"/>
          <w:highlight w:val="none"/>
        </w:rPr>
      </w:pPr>
      <w:r>
        <w:rPr>
          <w:rFonts w:hint="eastAsia"/>
          <w:color w:val="auto"/>
          <w:highlight w:val="none"/>
        </w:rPr>
        <w:t>（3）《国家发展改革委重大固定资产投资项目社会稳定风险评估暂行办法》（发改投资〔2012〕2492号）；</w:t>
      </w:r>
    </w:p>
    <w:p>
      <w:pPr>
        <w:ind w:firstLine="480"/>
        <w:rPr>
          <w:color w:val="auto"/>
          <w:highlight w:val="none"/>
        </w:rPr>
      </w:pPr>
      <w:r>
        <w:rPr>
          <w:rFonts w:hint="eastAsia"/>
          <w:color w:val="auto"/>
          <w:highlight w:val="none"/>
        </w:rPr>
        <w:t>（4）《国家发展改革委关于印发重大固定资产投资项目社会稳定风险分析篇章和评估报告编制大纲（试行）的通知》（发改办投资〔2013〕428号）；</w:t>
      </w:r>
    </w:p>
    <w:p>
      <w:pPr>
        <w:ind w:firstLine="480"/>
        <w:rPr>
          <w:color w:val="auto"/>
          <w:highlight w:val="none"/>
        </w:rPr>
      </w:pPr>
      <w:r>
        <w:rPr>
          <w:rFonts w:hint="eastAsia"/>
          <w:color w:val="auto"/>
          <w:highlight w:val="none"/>
        </w:rPr>
        <w:t>（5）《山东省发展改革委关于印发重大固定资产投资项目社会稳定风险分析评估暂行办法》（鲁发改投资〔2014〕471号）》。</w:t>
      </w:r>
    </w:p>
    <w:p>
      <w:pPr>
        <w:pStyle w:val="4"/>
        <w:rPr>
          <w:color w:val="auto"/>
          <w:highlight w:val="none"/>
        </w:rPr>
      </w:pPr>
      <w:r>
        <w:rPr>
          <w:rFonts w:hint="eastAsia"/>
          <w:color w:val="auto"/>
          <w:highlight w:val="none"/>
        </w:rPr>
        <w:t>16.1.2 相关标准、规划及规程</w:t>
      </w:r>
    </w:p>
    <w:p>
      <w:pPr>
        <w:ind w:firstLine="480"/>
        <w:rPr>
          <w:color w:val="auto"/>
          <w:highlight w:val="none"/>
        </w:rPr>
      </w:pPr>
      <w:r>
        <w:rPr>
          <w:rFonts w:hint="eastAsia"/>
          <w:color w:val="auto"/>
          <w:highlight w:val="none"/>
        </w:rPr>
        <w:t>（1）《水利水电工程初步设计报告编制规程》（SL619-2013）；</w:t>
      </w:r>
    </w:p>
    <w:p>
      <w:pPr>
        <w:ind w:firstLine="480"/>
        <w:rPr>
          <w:color w:val="auto"/>
          <w:highlight w:val="none"/>
        </w:rPr>
      </w:pPr>
      <w:r>
        <w:rPr>
          <w:rFonts w:hint="eastAsia"/>
          <w:color w:val="auto"/>
          <w:highlight w:val="none"/>
        </w:rPr>
        <w:t>（2）《防洪标准》（GB50201-2014）；</w:t>
      </w:r>
    </w:p>
    <w:p>
      <w:pPr>
        <w:ind w:firstLine="480"/>
        <w:rPr>
          <w:color w:val="auto"/>
          <w:highlight w:val="none"/>
        </w:rPr>
      </w:pPr>
      <w:r>
        <w:rPr>
          <w:rFonts w:hint="eastAsia"/>
          <w:color w:val="auto"/>
          <w:highlight w:val="none"/>
        </w:rPr>
        <w:t>（3）《水利水电工程等级划分及洪水标准》（SL252-2017）；</w:t>
      </w:r>
    </w:p>
    <w:p>
      <w:pPr>
        <w:ind w:firstLine="480"/>
        <w:rPr>
          <w:color w:val="auto"/>
          <w:highlight w:val="none"/>
        </w:rPr>
      </w:pPr>
      <w:r>
        <w:rPr>
          <w:rFonts w:hint="eastAsia"/>
          <w:color w:val="auto"/>
          <w:highlight w:val="none"/>
        </w:rPr>
        <w:t>（4）《水利建设项目经济评价规范》（SL72-2013）；</w:t>
      </w:r>
    </w:p>
    <w:p>
      <w:pPr>
        <w:ind w:firstLine="480"/>
        <w:rPr>
          <w:color w:val="auto"/>
          <w:highlight w:val="none"/>
        </w:rPr>
      </w:pPr>
      <w:r>
        <w:rPr>
          <w:rFonts w:hint="eastAsia"/>
          <w:color w:val="auto"/>
          <w:highlight w:val="none"/>
        </w:rPr>
        <w:t>（5）《开发建设项目水土保持方案技术规范》（GB 50433-2008）；</w:t>
      </w:r>
    </w:p>
    <w:p>
      <w:pPr>
        <w:ind w:firstLine="480"/>
        <w:rPr>
          <w:color w:val="auto"/>
          <w:highlight w:val="none"/>
        </w:rPr>
      </w:pPr>
      <w:r>
        <w:rPr>
          <w:rFonts w:hint="eastAsia"/>
          <w:color w:val="auto"/>
          <w:highlight w:val="none"/>
        </w:rPr>
        <w:t>（6）《水利水电工程环境影响评价规范》（SD 302-1988）；</w:t>
      </w:r>
    </w:p>
    <w:p>
      <w:pPr>
        <w:ind w:firstLine="480"/>
        <w:rPr>
          <w:color w:val="auto"/>
          <w:highlight w:val="none"/>
        </w:rPr>
      </w:pPr>
      <w:r>
        <w:rPr>
          <w:rFonts w:hint="eastAsia"/>
          <w:color w:val="auto"/>
          <w:highlight w:val="none"/>
        </w:rPr>
        <w:t>（7）《山东省地质环境保护条例》；</w:t>
      </w:r>
    </w:p>
    <w:p>
      <w:pPr>
        <w:ind w:firstLine="480"/>
        <w:rPr>
          <w:color w:val="auto"/>
          <w:highlight w:val="none"/>
        </w:rPr>
      </w:pPr>
      <w:r>
        <w:rPr>
          <w:rFonts w:hint="eastAsia"/>
          <w:color w:val="auto"/>
          <w:highlight w:val="none"/>
        </w:rPr>
        <w:t>（8） 《水利水电工程建设农村移民安置规划设计规范》 （SL440-2009）；</w:t>
      </w:r>
    </w:p>
    <w:p>
      <w:pPr>
        <w:ind w:firstLine="480"/>
        <w:rPr>
          <w:color w:val="auto"/>
          <w:highlight w:val="none"/>
        </w:rPr>
      </w:pPr>
      <w:r>
        <w:rPr>
          <w:rFonts w:hint="eastAsia"/>
          <w:color w:val="auto"/>
          <w:highlight w:val="none"/>
        </w:rPr>
        <w:t>（9）《水利水电工程建设征地移民实物调查规范》（SL442-2009）；</w:t>
      </w:r>
    </w:p>
    <w:p>
      <w:pPr>
        <w:ind w:firstLine="480"/>
        <w:rPr>
          <w:color w:val="auto"/>
          <w:highlight w:val="none"/>
        </w:rPr>
      </w:pPr>
      <w:r>
        <w:rPr>
          <w:rFonts w:hint="eastAsia"/>
          <w:color w:val="auto"/>
          <w:highlight w:val="none"/>
        </w:rPr>
        <w:t>（10）《大中型水利水电工程建设征地补偿和移民安置条例》（国务院令第471号公布，国务院令638号第一次修订，国务院令645号第二次修订，国务院令第679号第三次修订）；</w:t>
      </w:r>
    </w:p>
    <w:p>
      <w:pPr>
        <w:ind w:firstLine="480"/>
        <w:rPr>
          <w:color w:val="auto"/>
          <w:highlight w:val="none"/>
        </w:rPr>
      </w:pPr>
      <w:r>
        <w:rPr>
          <w:rFonts w:hint="eastAsia"/>
          <w:color w:val="auto"/>
          <w:highlight w:val="none"/>
        </w:rPr>
        <w:t>（11）《山东省实施&lt;中华人民共和国土地管理法&gt;办法》 （2004年修订）；</w:t>
      </w:r>
    </w:p>
    <w:p>
      <w:pPr>
        <w:ind w:firstLine="480"/>
        <w:rPr>
          <w:color w:val="auto"/>
          <w:highlight w:val="none"/>
        </w:rPr>
      </w:pPr>
      <w:r>
        <w:rPr>
          <w:rFonts w:hint="eastAsia"/>
          <w:color w:val="auto"/>
          <w:highlight w:val="none"/>
        </w:rPr>
        <w:t>（12）《中华人民共和国土地管理法》（2004年8月28日修订）；</w:t>
      </w:r>
    </w:p>
    <w:p>
      <w:pPr>
        <w:ind w:firstLine="480"/>
        <w:rPr>
          <w:color w:val="auto"/>
          <w:highlight w:val="none"/>
        </w:rPr>
      </w:pPr>
      <w:r>
        <w:rPr>
          <w:rFonts w:hint="eastAsia"/>
          <w:color w:val="auto"/>
          <w:highlight w:val="none"/>
        </w:rPr>
        <w:t>（13）《中华人民共和国文物保护法》（2002年10月28日施行）；</w:t>
      </w:r>
    </w:p>
    <w:p>
      <w:pPr>
        <w:ind w:firstLine="480"/>
        <w:rPr>
          <w:color w:val="auto"/>
          <w:highlight w:val="none"/>
        </w:rPr>
      </w:pPr>
      <w:r>
        <w:rPr>
          <w:rFonts w:hint="eastAsia"/>
          <w:color w:val="auto"/>
          <w:highlight w:val="none"/>
        </w:rPr>
        <w:t>（14）《中华人民共和国矿产资源法》（1997年1月1日施行）；</w:t>
      </w:r>
    </w:p>
    <w:p>
      <w:pPr>
        <w:ind w:firstLine="480"/>
        <w:rPr>
          <w:color w:val="auto"/>
          <w:highlight w:val="none"/>
        </w:rPr>
      </w:pPr>
      <w:r>
        <w:rPr>
          <w:rFonts w:hint="eastAsia"/>
          <w:color w:val="auto"/>
          <w:highlight w:val="none"/>
        </w:rPr>
        <w:t>（15）其他相关文件、法律、法规及规程。</w:t>
      </w:r>
    </w:p>
    <w:p>
      <w:pPr>
        <w:pStyle w:val="3"/>
        <w:rPr>
          <w:color w:val="auto"/>
          <w:highlight w:val="none"/>
        </w:rPr>
      </w:pPr>
      <w:bookmarkStart w:id="175" w:name="_Toc16014"/>
      <w:r>
        <w:rPr>
          <w:rFonts w:hint="eastAsia"/>
          <w:color w:val="auto"/>
          <w:highlight w:val="none"/>
        </w:rPr>
        <w:t>16.2风险调查</w:t>
      </w:r>
      <w:bookmarkEnd w:id="175"/>
    </w:p>
    <w:p>
      <w:pPr>
        <w:ind w:firstLine="480"/>
        <w:rPr>
          <w:color w:val="auto"/>
          <w:highlight w:val="none"/>
        </w:rPr>
      </w:pPr>
      <w:r>
        <w:rPr>
          <w:rFonts w:hint="eastAsia"/>
          <w:color w:val="auto"/>
          <w:highlight w:val="none"/>
        </w:rPr>
        <w:t>成立了由业主单位主要领导任组长，相关单位，涉及镇、村相关人员组成的风险调查工作组，开展社会稳定风险调查分析。</w:t>
      </w:r>
    </w:p>
    <w:p>
      <w:pPr>
        <w:ind w:firstLine="480"/>
        <w:rPr>
          <w:color w:val="auto"/>
          <w:highlight w:val="none"/>
        </w:rPr>
      </w:pPr>
      <w:r>
        <w:rPr>
          <w:rFonts w:hint="eastAsia"/>
          <w:color w:val="auto"/>
          <w:highlight w:val="none"/>
        </w:rPr>
        <w:t>调查范围：本项目所涉及区域及可能的影响区域，主要包括项目所在地工程涉及乡镇。</w:t>
      </w:r>
    </w:p>
    <w:p>
      <w:pPr>
        <w:ind w:firstLine="480"/>
        <w:rPr>
          <w:color w:val="auto"/>
          <w:highlight w:val="none"/>
        </w:rPr>
      </w:pPr>
      <w:r>
        <w:rPr>
          <w:rFonts w:hint="eastAsia"/>
          <w:color w:val="auto"/>
          <w:highlight w:val="none"/>
        </w:rPr>
        <w:t>风险调查方式：对征地移民实物、环境影响、地质影响等进行实地查勘、走访、收集资料等形式，广泛征求基层和相关方面的意见和建议，掌握影响对象的基本情况，准确把握影响重点，适时进行风险识别。</w:t>
      </w:r>
    </w:p>
    <w:p>
      <w:pPr>
        <w:ind w:firstLine="480"/>
        <w:rPr>
          <w:color w:val="auto"/>
          <w:highlight w:val="none"/>
        </w:rPr>
      </w:pPr>
      <w:r>
        <w:rPr>
          <w:rFonts w:hint="eastAsia"/>
          <w:color w:val="auto"/>
          <w:highlight w:val="none"/>
        </w:rPr>
        <w:t>（1）征地实物调查</w:t>
      </w:r>
    </w:p>
    <w:p>
      <w:pPr>
        <w:ind w:firstLine="480"/>
        <w:rPr>
          <w:color w:val="auto"/>
          <w:highlight w:val="none"/>
        </w:rPr>
      </w:pPr>
      <w:r>
        <w:rPr>
          <w:rFonts w:hint="eastAsia"/>
          <w:color w:val="auto"/>
          <w:highlight w:val="none"/>
        </w:rPr>
        <w:t>调查按照初设阶段实物调查有关规范、规定和调查大纲要求，对工程影响区的各项实物进行了全面调查，实物调查分土地、地面附着物调查。</w:t>
      </w:r>
    </w:p>
    <w:p>
      <w:pPr>
        <w:ind w:firstLine="480"/>
        <w:rPr>
          <w:color w:val="auto"/>
          <w:highlight w:val="none"/>
        </w:rPr>
      </w:pPr>
      <w:r>
        <w:rPr>
          <w:rFonts w:hint="eastAsia"/>
          <w:color w:val="auto"/>
          <w:highlight w:val="none"/>
        </w:rPr>
        <w:t>（2）环境影响调查</w:t>
      </w:r>
    </w:p>
    <w:p>
      <w:pPr>
        <w:ind w:firstLine="480"/>
        <w:rPr>
          <w:color w:val="auto"/>
          <w:highlight w:val="none"/>
        </w:rPr>
      </w:pPr>
      <w:r>
        <w:rPr>
          <w:rFonts w:hint="eastAsia"/>
          <w:color w:val="auto"/>
          <w:highlight w:val="none"/>
        </w:rPr>
        <w:t>本工程的建设，由于水文情势的改变及工程施工，对区域水环境、生态环境等将产生一定的影响。本次主要调查对水环境、生态环境、地下水和土壤的影响以及施工期的环境影响。走访收集公众对工程的态度、关心的环境问题，使各类环境影响预测评价更为详实，从而制定针对性和可操作性强的环境保护措施，最大限度发挥工程效益，同时，获得社会各界对本工程广泛认同，尤其对环境保护方面的共识，促进工程建设顺利进行。</w:t>
      </w:r>
    </w:p>
    <w:p>
      <w:pPr>
        <w:ind w:firstLine="480"/>
        <w:rPr>
          <w:color w:val="auto"/>
          <w:highlight w:val="none"/>
        </w:rPr>
      </w:pPr>
      <w:r>
        <w:rPr>
          <w:rFonts w:hint="eastAsia"/>
          <w:color w:val="auto"/>
          <w:highlight w:val="none"/>
        </w:rPr>
        <w:t>（3）地质影响调查</w:t>
      </w:r>
    </w:p>
    <w:p>
      <w:pPr>
        <w:ind w:firstLine="480"/>
        <w:rPr>
          <w:color w:val="auto"/>
          <w:highlight w:val="none"/>
        </w:rPr>
      </w:pPr>
      <w:r>
        <w:rPr>
          <w:rFonts w:hint="eastAsia"/>
          <w:color w:val="auto"/>
          <w:highlight w:val="none"/>
        </w:rPr>
        <w:t>主要对现状存在的工程地质问题以及工程建成后可能引发、加剧地质灾害的可能性及对周围地质环境的影响，提出防治地质灾害措施与建议。</w:t>
      </w:r>
    </w:p>
    <w:p>
      <w:pPr>
        <w:pStyle w:val="3"/>
        <w:rPr>
          <w:color w:val="auto"/>
          <w:highlight w:val="none"/>
        </w:rPr>
      </w:pPr>
      <w:bookmarkStart w:id="176" w:name="_Toc22982"/>
      <w:r>
        <w:rPr>
          <w:rFonts w:hint="eastAsia"/>
          <w:color w:val="auto"/>
          <w:highlight w:val="none"/>
        </w:rPr>
        <w:t>16.3风险识别</w:t>
      </w:r>
      <w:bookmarkEnd w:id="176"/>
    </w:p>
    <w:p>
      <w:pPr>
        <w:pStyle w:val="4"/>
        <w:rPr>
          <w:color w:val="auto"/>
          <w:highlight w:val="none"/>
        </w:rPr>
      </w:pPr>
      <w:r>
        <w:rPr>
          <w:rFonts w:hint="eastAsia"/>
          <w:color w:val="auto"/>
          <w:highlight w:val="none"/>
        </w:rPr>
        <w:t>16.3.1合法性分析</w:t>
      </w:r>
    </w:p>
    <w:p>
      <w:pPr>
        <w:ind w:firstLine="480"/>
        <w:rPr>
          <w:color w:val="auto"/>
          <w:highlight w:val="none"/>
        </w:rPr>
      </w:pPr>
      <w:r>
        <w:rPr>
          <w:rFonts w:hint="eastAsia"/>
          <w:color w:val="auto"/>
          <w:highlight w:val="none"/>
        </w:rPr>
        <w:t>根据上级各项通知要求，本工程可行性研究报告工作符合国民经济和社会发展总体规划等要求，项目的标准和目标与原规划内容相协调。</w:t>
      </w:r>
    </w:p>
    <w:p>
      <w:pPr>
        <w:ind w:firstLine="480"/>
        <w:rPr>
          <w:color w:val="auto"/>
          <w:highlight w:val="none"/>
        </w:rPr>
      </w:pPr>
      <w:r>
        <w:rPr>
          <w:rFonts w:hint="eastAsia"/>
          <w:color w:val="auto"/>
          <w:highlight w:val="none"/>
        </w:rPr>
        <w:t>根据国家《产业结构调整指导目录》（2016 年本），本工程属于鼓励类发展产业，从国家产业政策开发战略方面分析，该项目符合国家产业政策要求。</w:t>
      </w:r>
    </w:p>
    <w:p>
      <w:pPr>
        <w:ind w:firstLine="480"/>
        <w:rPr>
          <w:color w:val="auto"/>
          <w:highlight w:val="none"/>
        </w:rPr>
      </w:pPr>
      <w:r>
        <w:rPr>
          <w:rFonts w:hint="eastAsia"/>
          <w:color w:val="auto"/>
          <w:highlight w:val="none"/>
        </w:rPr>
        <w:t>本工程实行建设项目法人责任制，本工程实行建设项目法人责任制，工程建设严格按照“项目法人负责制、招标投标制、建设监理制、合同管理制、项目公示制和资金报账制”进行建设。建设单位和建设项目符合相关行业准入标准。</w:t>
      </w:r>
    </w:p>
    <w:p>
      <w:pPr>
        <w:pStyle w:val="4"/>
        <w:rPr>
          <w:color w:val="auto"/>
          <w:highlight w:val="none"/>
        </w:rPr>
      </w:pPr>
      <w:r>
        <w:rPr>
          <w:rFonts w:hint="eastAsia"/>
          <w:color w:val="auto"/>
          <w:highlight w:val="none"/>
        </w:rPr>
        <w:t>16.3.2 合理性分析</w:t>
      </w:r>
    </w:p>
    <w:p>
      <w:pPr>
        <w:ind w:firstLine="480"/>
        <w:rPr>
          <w:color w:val="auto"/>
          <w:highlight w:val="none"/>
        </w:rPr>
      </w:pPr>
      <w:r>
        <w:rPr>
          <w:rFonts w:hint="eastAsia"/>
          <w:color w:val="auto"/>
          <w:highlight w:val="none"/>
        </w:rPr>
        <w:t>（1）本工程内容为引调水、净水厂等工程建设。工程永久占地均布置在建设用地范围内，不属于基本农田。范围内无军事设施、文物，因此对文物、军事设施等不会产生不利影响。</w:t>
      </w:r>
    </w:p>
    <w:p>
      <w:pPr>
        <w:ind w:firstLine="480"/>
        <w:rPr>
          <w:color w:val="auto"/>
          <w:highlight w:val="none"/>
        </w:rPr>
      </w:pPr>
      <w:r>
        <w:rPr>
          <w:rFonts w:hint="eastAsia"/>
          <w:color w:val="auto"/>
          <w:highlight w:val="none"/>
        </w:rPr>
        <w:t>（2）生态环境影响分析</w:t>
      </w:r>
    </w:p>
    <w:p>
      <w:pPr>
        <w:ind w:firstLine="480"/>
        <w:rPr>
          <w:color w:val="auto"/>
          <w:highlight w:val="none"/>
        </w:rPr>
      </w:pPr>
      <w:r>
        <w:rPr>
          <w:rFonts w:hint="eastAsia"/>
          <w:color w:val="auto"/>
          <w:highlight w:val="none"/>
        </w:rPr>
        <w:t>工程实施后，缓解了峄城区水资源匮乏现状，改善了工程区的生态环境，从总体上分析，有利影响是主要的，且具长效显著性。施工期间，施工区会减少生物量，对该区域的生态完整性会产生一定的负面影响，但施工结束后其种类和数量可逐渐恢复；工程结束后，临时用地植被均可恢复，水土保持措施发挥作用后，林草地面积基本恢复至原有水平，生物量也得到补偿，因此工程施工对自然系统稳定性的影响较小。工程建设将大面积扰动地表、破坏植被，致使地表裸露、土壤结构疏松和地形破碎，产生水土流失，通过水土保持设施的实施，可有效控制项目区域土壤侵蚀发生，防止工程弃土（石、渣）直接进入排水河道，维护了工程安全运行。</w:t>
      </w:r>
    </w:p>
    <w:p>
      <w:pPr>
        <w:ind w:firstLine="480"/>
        <w:rPr>
          <w:color w:val="auto"/>
          <w:highlight w:val="none"/>
        </w:rPr>
      </w:pPr>
      <w:r>
        <w:rPr>
          <w:rFonts w:hint="eastAsia"/>
          <w:color w:val="auto"/>
          <w:highlight w:val="none"/>
        </w:rPr>
        <w:t>工程对环境的不利影响较小，且主要发生在施工期。工程施工期产生的废水、废气、废渣、噪声以及水土流失对当地环境的影响较小，且都是暂时的，通过采取一定的环保措施可以减缓或消除。</w:t>
      </w:r>
    </w:p>
    <w:p>
      <w:pPr>
        <w:ind w:firstLine="480"/>
        <w:rPr>
          <w:color w:val="auto"/>
          <w:highlight w:val="none"/>
        </w:rPr>
      </w:pPr>
      <w:r>
        <w:rPr>
          <w:rFonts w:hint="eastAsia"/>
          <w:color w:val="auto"/>
          <w:highlight w:val="none"/>
        </w:rPr>
        <w:t>从水土保持和环境影响的角度分析，本工程建设不存在制约性的水土保持和环境因素，工程对环境的有利影响远大于不利影响，从水土保持和环境角度分析，本工程是可行的。</w:t>
      </w:r>
    </w:p>
    <w:p>
      <w:pPr>
        <w:pStyle w:val="4"/>
        <w:rPr>
          <w:color w:val="auto"/>
          <w:highlight w:val="none"/>
        </w:rPr>
      </w:pPr>
      <w:r>
        <w:rPr>
          <w:rFonts w:hint="eastAsia"/>
          <w:color w:val="auto"/>
          <w:highlight w:val="none"/>
        </w:rPr>
        <w:t>16.3.3 可行性分析</w:t>
      </w:r>
    </w:p>
    <w:p>
      <w:pPr>
        <w:ind w:firstLine="480"/>
        <w:rPr>
          <w:color w:val="auto"/>
          <w:highlight w:val="none"/>
        </w:rPr>
      </w:pPr>
      <w:r>
        <w:rPr>
          <w:rFonts w:hint="eastAsia"/>
          <w:color w:val="auto"/>
          <w:highlight w:val="none"/>
        </w:rPr>
        <w:t>（1）项目建设条件分析</w:t>
      </w:r>
    </w:p>
    <w:p>
      <w:pPr>
        <w:ind w:firstLine="480"/>
        <w:rPr>
          <w:color w:val="auto"/>
          <w:highlight w:val="none"/>
        </w:rPr>
      </w:pPr>
      <w:r>
        <w:rPr>
          <w:rFonts w:hint="eastAsia"/>
          <w:color w:val="auto"/>
          <w:highlight w:val="none"/>
        </w:rPr>
        <w:t>工程完成后，缓解了峄城区水资源匮乏现状，解决了峄城区居民用水难的问题。因此，本工程的实施，为治理区社会经济发展提供有利条件，具有显著的社会经济效益。</w:t>
      </w:r>
    </w:p>
    <w:p>
      <w:pPr>
        <w:ind w:firstLine="480"/>
        <w:rPr>
          <w:color w:val="auto"/>
          <w:highlight w:val="none"/>
        </w:rPr>
      </w:pPr>
      <w:r>
        <w:rPr>
          <w:rFonts w:hint="eastAsia"/>
          <w:color w:val="auto"/>
          <w:highlight w:val="none"/>
        </w:rPr>
        <w:t>工程是缓解峄城区水资源匮乏现状的需要；是建设社会主义新农村的需要。说明该项目在建设条件上是可行的。</w:t>
      </w:r>
    </w:p>
    <w:p>
      <w:pPr>
        <w:ind w:firstLine="480"/>
        <w:rPr>
          <w:color w:val="auto"/>
          <w:highlight w:val="none"/>
        </w:rPr>
      </w:pPr>
      <w:r>
        <w:rPr>
          <w:rFonts w:hint="eastAsia"/>
          <w:color w:val="auto"/>
          <w:highlight w:val="none"/>
        </w:rPr>
        <w:t>工程的总体布置和设计方案经过规划设计、多方案比较分析，做到了科学合理、经济可行、运行安全。工程设计方案和各项措施，从能源生产到消费各个环节均减少损失和浪费，更加有效、合理地利用能源，提高能源利用效率，促进国民经济向节能型发展。</w:t>
      </w:r>
    </w:p>
    <w:p>
      <w:pPr>
        <w:ind w:firstLine="480"/>
        <w:rPr>
          <w:color w:val="auto"/>
          <w:highlight w:val="none"/>
        </w:rPr>
      </w:pPr>
      <w:r>
        <w:rPr>
          <w:rFonts w:hint="eastAsia"/>
          <w:color w:val="auto"/>
          <w:highlight w:val="none"/>
        </w:rPr>
        <w:t>工程管理过程中实行项目法人责任制，由项目法人落实工程建设计划，筹措工程建设资金，对工程质量、安全、进度和资金等进行管理，给工程运行期的管理创造良好条件。</w:t>
      </w:r>
    </w:p>
    <w:p>
      <w:pPr>
        <w:ind w:firstLine="480"/>
        <w:rPr>
          <w:color w:val="auto"/>
          <w:highlight w:val="none"/>
        </w:rPr>
      </w:pPr>
      <w:r>
        <w:rPr>
          <w:rFonts w:hint="eastAsia"/>
          <w:color w:val="auto"/>
          <w:highlight w:val="none"/>
        </w:rPr>
        <w:t>水土保持措施采取了工程绿化保护、土地整治、植物绿化，以及临时排水、防护等措施，有效防止了水土流失。本工程为生态型水利工程，工程运行期无污染物排放，水环境影响主要是施工期生产废水和生活污水的排放，声环境主要是施工机械和施工车辆运行对附近环境敏感点的影响，生态环境的影响主要是植被、农作物损失及水土流失的影响，采取的主要措施为加强环境保护，表层土单独堆放，加强水土流失防治。</w:t>
      </w:r>
    </w:p>
    <w:p>
      <w:pPr>
        <w:ind w:firstLine="480"/>
        <w:rPr>
          <w:color w:val="auto"/>
          <w:highlight w:val="none"/>
        </w:rPr>
      </w:pPr>
      <w:r>
        <w:rPr>
          <w:rFonts w:hint="eastAsia"/>
          <w:color w:val="auto"/>
          <w:highlight w:val="none"/>
        </w:rPr>
        <w:t>（2）经济费用效益或费用效果分析</w:t>
      </w:r>
    </w:p>
    <w:p>
      <w:pPr>
        <w:ind w:firstLine="480"/>
        <w:rPr>
          <w:color w:val="auto"/>
          <w:highlight w:val="none"/>
        </w:rPr>
      </w:pPr>
      <w:r>
        <w:rPr>
          <w:rFonts w:hint="eastAsia"/>
          <w:color w:val="auto"/>
          <w:highlight w:val="none"/>
        </w:rPr>
        <w:t>工程的兴建，主要是为了缓解峄城区水资源匮乏现状，解决了峄城区居民用水难的问题，保证该地区社会经济的可持续发展。</w:t>
      </w:r>
    </w:p>
    <w:p>
      <w:pPr>
        <w:ind w:firstLine="480"/>
        <w:rPr>
          <w:color w:val="auto"/>
          <w:highlight w:val="none"/>
        </w:rPr>
      </w:pPr>
      <w:r>
        <w:rPr>
          <w:rFonts w:hint="eastAsia"/>
          <w:color w:val="auto"/>
          <w:highlight w:val="none"/>
        </w:rPr>
        <w:t>工程效益不仅体现的是经济效益，更重要的是具有难以估算的社会效益。工程建成后，经济内部收益率大于社会折现率，经济效益费用比大于1.0，经济净现值大于零。因此，从国民经济盈利能力分析来看，工程是合理可行的。</w:t>
      </w:r>
    </w:p>
    <w:p>
      <w:pPr>
        <w:ind w:firstLine="480"/>
        <w:rPr>
          <w:color w:val="auto"/>
          <w:highlight w:val="none"/>
        </w:rPr>
      </w:pPr>
      <w:r>
        <w:rPr>
          <w:rFonts w:hint="eastAsia"/>
          <w:color w:val="auto"/>
          <w:highlight w:val="none"/>
        </w:rPr>
        <w:t>（3）宏观经济影响分析</w:t>
      </w:r>
    </w:p>
    <w:p>
      <w:pPr>
        <w:ind w:firstLine="480"/>
        <w:rPr>
          <w:color w:val="auto"/>
          <w:highlight w:val="none"/>
        </w:rPr>
      </w:pPr>
      <w:r>
        <w:rPr>
          <w:rFonts w:hint="eastAsia"/>
          <w:color w:val="auto"/>
          <w:highlight w:val="none"/>
        </w:rPr>
        <w:t>通过经济评价，该项目的经济内部收益率大于社会折现率8%，经济效益费用比大于1；而且各项经济指标在较大的浮动范围内，仍能满足要求，具有较好的抗风险能力。说明该项目经济上合理可行。</w:t>
      </w:r>
    </w:p>
    <w:p>
      <w:pPr>
        <w:ind w:firstLine="480"/>
        <w:rPr>
          <w:color w:val="auto"/>
          <w:highlight w:val="none"/>
        </w:rPr>
      </w:pPr>
      <w:r>
        <w:rPr>
          <w:rFonts w:hint="eastAsia"/>
          <w:color w:val="auto"/>
          <w:highlight w:val="none"/>
        </w:rPr>
        <w:t>经过对该工程的敏感性分析，各评价指标是合理的，工程具有较强的抗风险能力；经过对项目各功能分别分析计算，全部达到规定要求。因此，从国民经济角度来看，工程经济效果较好，社会效益显著。</w:t>
      </w:r>
    </w:p>
    <w:p>
      <w:pPr>
        <w:pStyle w:val="4"/>
        <w:rPr>
          <w:color w:val="auto"/>
          <w:highlight w:val="none"/>
        </w:rPr>
      </w:pPr>
      <w:r>
        <w:rPr>
          <w:rFonts w:hint="eastAsia"/>
          <w:color w:val="auto"/>
          <w:highlight w:val="none"/>
        </w:rPr>
        <w:t>16.3.4 项目的安全性分析</w:t>
      </w:r>
    </w:p>
    <w:p>
      <w:pPr>
        <w:ind w:firstLine="480"/>
        <w:rPr>
          <w:color w:val="auto"/>
          <w:highlight w:val="none"/>
        </w:rPr>
      </w:pPr>
      <w:r>
        <w:rPr>
          <w:rFonts w:hint="eastAsia"/>
          <w:color w:val="auto"/>
          <w:highlight w:val="none"/>
        </w:rPr>
        <w:t>工程实施后，对促进流域社会经济、鲁南经济带快速发展起到十分重要的作用。</w:t>
      </w:r>
    </w:p>
    <w:p>
      <w:pPr>
        <w:ind w:firstLine="480"/>
        <w:rPr>
          <w:color w:val="auto"/>
          <w:highlight w:val="none"/>
        </w:rPr>
      </w:pPr>
      <w:r>
        <w:rPr>
          <w:rFonts w:hint="eastAsia"/>
          <w:color w:val="auto"/>
          <w:highlight w:val="none"/>
        </w:rPr>
        <w:t>工程实施后，将稳定当地群众的生产、生活，改善村容村貌、群众居住环境和交通条件，促进社会主义新农村建设、加快构建和谐社会的进程。</w:t>
      </w:r>
    </w:p>
    <w:p>
      <w:pPr>
        <w:pStyle w:val="3"/>
        <w:rPr>
          <w:color w:val="auto"/>
          <w:highlight w:val="none"/>
        </w:rPr>
      </w:pPr>
      <w:bookmarkStart w:id="177" w:name="_Toc23749"/>
      <w:r>
        <w:rPr>
          <w:rFonts w:hint="eastAsia"/>
          <w:color w:val="auto"/>
          <w:highlight w:val="none"/>
        </w:rPr>
        <w:t>16.4 风险估计</w:t>
      </w:r>
      <w:bookmarkEnd w:id="177"/>
    </w:p>
    <w:p>
      <w:pPr>
        <w:pStyle w:val="4"/>
        <w:rPr>
          <w:color w:val="auto"/>
          <w:highlight w:val="none"/>
        </w:rPr>
      </w:pPr>
      <w:r>
        <w:rPr>
          <w:rFonts w:hint="eastAsia"/>
          <w:color w:val="auto"/>
          <w:highlight w:val="none"/>
        </w:rPr>
        <w:t>16.4.1 风险分析</w:t>
      </w:r>
    </w:p>
    <w:p>
      <w:pPr>
        <w:ind w:firstLine="480"/>
        <w:rPr>
          <w:color w:val="auto"/>
          <w:highlight w:val="none"/>
        </w:rPr>
      </w:pPr>
      <w:r>
        <w:rPr>
          <w:rFonts w:hint="eastAsia"/>
          <w:color w:val="auto"/>
          <w:highlight w:val="none"/>
        </w:rPr>
        <w:t>根据工程特性、建设征地区实物指标、区域社会经济构成和总体发展水平等综合分析，本工程建设的社会稳定影响因素相对较少，且在不同的建设阶段表现为不同的影响因素。经分析，社会稳定风险影响主要因素有群众支持问题、受损补偿问题、工程建设与当地基础设施建设协调问题、利益诉求问题和社会治安问题以及其他不可预见性问题等。</w:t>
      </w:r>
    </w:p>
    <w:p>
      <w:pPr>
        <w:ind w:firstLine="480"/>
        <w:rPr>
          <w:color w:val="auto"/>
          <w:highlight w:val="none"/>
        </w:rPr>
      </w:pPr>
      <w:r>
        <w:rPr>
          <w:rFonts w:hint="eastAsia"/>
          <w:color w:val="auto"/>
          <w:highlight w:val="none"/>
        </w:rPr>
        <w:t>（1）群众支持问题</w:t>
      </w:r>
    </w:p>
    <w:p>
      <w:pPr>
        <w:ind w:firstLine="480"/>
        <w:rPr>
          <w:color w:val="auto"/>
          <w:highlight w:val="none"/>
        </w:rPr>
      </w:pPr>
      <w:r>
        <w:rPr>
          <w:rFonts w:hint="eastAsia"/>
          <w:color w:val="auto"/>
          <w:highlight w:val="none"/>
        </w:rPr>
        <w:t>如果工程在实施过程中与居民没有充分沟通和交流时，容易发生不必要的误会和误解，从而使群众支持工程建设变为阻碍工程建设的情况。</w:t>
      </w:r>
    </w:p>
    <w:p>
      <w:pPr>
        <w:ind w:firstLine="480"/>
        <w:rPr>
          <w:color w:val="auto"/>
          <w:highlight w:val="none"/>
        </w:rPr>
      </w:pPr>
      <w:r>
        <w:rPr>
          <w:rFonts w:hint="eastAsia"/>
          <w:color w:val="auto"/>
          <w:highlight w:val="none"/>
        </w:rPr>
        <w:t>（2）受损补偿问题</w:t>
      </w:r>
    </w:p>
    <w:p>
      <w:pPr>
        <w:ind w:firstLine="480"/>
        <w:rPr>
          <w:color w:val="auto"/>
          <w:highlight w:val="none"/>
        </w:rPr>
      </w:pPr>
      <w:r>
        <w:rPr>
          <w:rFonts w:hint="eastAsia"/>
          <w:color w:val="auto"/>
          <w:highlight w:val="none"/>
        </w:rPr>
        <w:t>根据工程建设征地区实物指标调查结果，受损补偿居民个人部分主要是占地补偿。居民个人受损补偿是移民工作的重点和难点，也是核心问题，将直接影响到移民的满意程度和工作的正常顺利开展，所涉及的风险因素主要有：补偿项目、补偿标准和补偿标准的理解、补偿时间、补偿政策和补偿程序等。</w:t>
      </w:r>
    </w:p>
    <w:p>
      <w:pPr>
        <w:ind w:firstLine="480"/>
        <w:rPr>
          <w:color w:val="auto"/>
          <w:highlight w:val="none"/>
        </w:rPr>
      </w:pPr>
      <w:r>
        <w:rPr>
          <w:rFonts w:hint="eastAsia"/>
          <w:color w:val="auto"/>
          <w:highlight w:val="none"/>
        </w:rPr>
        <w:t>（3）工程建设与当地基础设施建设协调问题</w:t>
      </w:r>
    </w:p>
    <w:p>
      <w:pPr>
        <w:ind w:firstLine="480"/>
        <w:rPr>
          <w:color w:val="auto"/>
          <w:highlight w:val="none"/>
        </w:rPr>
      </w:pPr>
      <w:r>
        <w:rPr>
          <w:rFonts w:hint="eastAsia"/>
          <w:color w:val="auto"/>
          <w:highlight w:val="none"/>
        </w:rPr>
        <w:t>本工程场内施工道路、施工总布局等均有可能与当地已有的基础设施相贯通，在建设过程中，如果沟通不畅或协调不合理，将有可能影响当地居民与工程建设之间的相互关系。</w:t>
      </w:r>
    </w:p>
    <w:p>
      <w:pPr>
        <w:ind w:firstLine="480"/>
        <w:rPr>
          <w:color w:val="auto"/>
          <w:highlight w:val="none"/>
        </w:rPr>
      </w:pPr>
      <w:r>
        <w:rPr>
          <w:rFonts w:hint="eastAsia"/>
          <w:color w:val="auto"/>
          <w:highlight w:val="none"/>
        </w:rPr>
        <w:t>（4）利益诉求问题</w:t>
      </w:r>
    </w:p>
    <w:p>
      <w:pPr>
        <w:ind w:firstLine="480"/>
        <w:rPr>
          <w:color w:val="auto"/>
          <w:highlight w:val="none"/>
        </w:rPr>
      </w:pPr>
      <w:r>
        <w:rPr>
          <w:rFonts w:hint="eastAsia"/>
          <w:color w:val="auto"/>
          <w:highlight w:val="none"/>
        </w:rPr>
        <w:t>工程建设过程中，当建设单位对居民的特殊需求考虑不周、补偿过程出现新的问题，居民关心的环境问题、生态问题和能否安排劳动就业等得不到解决时，而居民有无正常的沟通、反映和诉求河道，有可能发生小矛盾累积从而引发大的矛盾。</w:t>
      </w:r>
    </w:p>
    <w:p>
      <w:pPr>
        <w:ind w:firstLine="480"/>
        <w:rPr>
          <w:color w:val="auto"/>
          <w:highlight w:val="none"/>
        </w:rPr>
      </w:pPr>
      <w:r>
        <w:rPr>
          <w:rFonts w:hint="eastAsia"/>
          <w:color w:val="auto"/>
          <w:highlight w:val="none"/>
        </w:rPr>
        <w:t>（5）社会治安问题</w:t>
      </w:r>
    </w:p>
    <w:p>
      <w:pPr>
        <w:ind w:firstLine="480"/>
        <w:rPr>
          <w:color w:val="auto"/>
          <w:highlight w:val="none"/>
        </w:rPr>
      </w:pPr>
      <w:r>
        <w:rPr>
          <w:rFonts w:hint="eastAsia"/>
          <w:color w:val="auto"/>
          <w:highlight w:val="none"/>
        </w:rPr>
        <w:t>与工程有关的社会治安问题表现在三个方面：当地居民与建设单位或施工单位人员发生矛盾引发的社会治安问题、施工单位内部人员产生矛盾引发的社会治安问题、其他社会治安问题波及工程建设等。无论哪种形式的社会治安问题的出现，都会在一定程度上影响或阻碍工程的建设。</w:t>
      </w:r>
    </w:p>
    <w:p>
      <w:pPr>
        <w:ind w:firstLine="480"/>
        <w:rPr>
          <w:color w:val="auto"/>
          <w:highlight w:val="none"/>
        </w:rPr>
      </w:pPr>
      <w:r>
        <w:rPr>
          <w:rFonts w:hint="eastAsia"/>
          <w:color w:val="auto"/>
          <w:highlight w:val="none"/>
        </w:rPr>
        <w:t>（6）其他不可预见性问题</w:t>
      </w:r>
    </w:p>
    <w:p>
      <w:pPr>
        <w:ind w:firstLine="480"/>
        <w:rPr>
          <w:color w:val="auto"/>
          <w:highlight w:val="none"/>
        </w:rPr>
      </w:pPr>
      <w:r>
        <w:rPr>
          <w:rFonts w:hint="eastAsia"/>
          <w:color w:val="auto"/>
          <w:highlight w:val="none"/>
        </w:rPr>
        <w:t>诸如少数居民受利益所趋，在无法满足其额外要求时，采取纠缠、取闹和纠集其他不明真相或有同样想法的人员阻碍施工和影响社会稳定。</w:t>
      </w:r>
    </w:p>
    <w:p>
      <w:pPr>
        <w:pStyle w:val="4"/>
        <w:rPr>
          <w:color w:val="auto"/>
          <w:highlight w:val="none"/>
        </w:rPr>
      </w:pPr>
      <w:r>
        <w:rPr>
          <w:rFonts w:hint="eastAsia"/>
          <w:color w:val="auto"/>
          <w:highlight w:val="none"/>
        </w:rPr>
        <w:t>16.4.2 风险评估</w:t>
      </w:r>
    </w:p>
    <w:p>
      <w:pPr>
        <w:ind w:firstLine="480"/>
        <w:rPr>
          <w:color w:val="auto"/>
          <w:highlight w:val="none"/>
        </w:rPr>
      </w:pPr>
      <w:r>
        <w:rPr>
          <w:rFonts w:hint="eastAsia"/>
          <w:color w:val="auto"/>
          <w:highlight w:val="none"/>
        </w:rPr>
        <w:t>根据工程特性、建设征地区实物指标、区域社会经济构成和总体发展水平等综合分析，本工程建设的社会稳定风险影响因素相对较少。经分析，社会稳定风险影响主要因素有群众支持问题、受损补偿问题、工程建设对地区生态环境影响问题、工程建设与当地基础设施建设协调问题、利益诉求问题和社会治安问题以及其他不可预见性问题等。综合归为如下5类风险：项目合法性及合理性遭质疑的风险、项目可能造成环境破坏的风险、项目可能引发的社会矛盾的风险、群众抵制征地的风险、群众对生活环境变化的不适风险，详见表18.4-1。</w:t>
      </w:r>
    </w:p>
    <w:p>
      <w:pPr>
        <w:spacing w:line="240" w:lineRule="auto"/>
        <w:ind w:firstLine="0" w:firstLineChars="0"/>
        <w:rPr>
          <w:b/>
          <w:bCs/>
          <w:color w:val="auto"/>
          <w:highlight w:val="none"/>
        </w:rPr>
      </w:pPr>
      <w:r>
        <w:rPr>
          <w:rFonts w:hint="eastAsia"/>
          <w:b/>
          <w:bCs/>
          <w:color w:val="auto"/>
          <w:highlight w:val="none"/>
        </w:rPr>
        <w:t>表16.4-1              工程主要风险因素及其风险程度</w:t>
      </w: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30"/>
        <w:gridCol w:w="1116"/>
        <w:gridCol w:w="3181"/>
        <w:gridCol w:w="967"/>
        <w:gridCol w:w="967"/>
        <w:gridCol w:w="9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787" w:type="pct"/>
            <w:shd w:val="clear" w:color="auto" w:fill="auto"/>
            <w:noWrap/>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风险类型</w:t>
            </w:r>
          </w:p>
        </w:tc>
        <w:tc>
          <w:tcPr>
            <w:tcW w:w="617" w:type="pct"/>
            <w:shd w:val="clear" w:color="auto" w:fill="auto"/>
            <w:noWrap/>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发生阶段</w:t>
            </w:r>
          </w:p>
        </w:tc>
        <w:tc>
          <w:tcPr>
            <w:tcW w:w="1872" w:type="pct"/>
            <w:shd w:val="clear" w:color="auto" w:fill="auto"/>
            <w:noWrap/>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风险因素</w:t>
            </w:r>
          </w:p>
        </w:tc>
        <w:tc>
          <w:tcPr>
            <w:tcW w:w="574" w:type="pct"/>
            <w:shd w:val="clear" w:color="auto" w:fill="auto"/>
            <w:noWrap/>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风险</w:t>
            </w:r>
          </w:p>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概率</w:t>
            </w:r>
          </w:p>
        </w:tc>
        <w:tc>
          <w:tcPr>
            <w:tcW w:w="574" w:type="pct"/>
            <w:shd w:val="clear" w:color="auto" w:fill="auto"/>
            <w:noWrap/>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影响程度</w:t>
            </w:r>
          </w:p>
        </w:tc>
        <w:tc>
          <w:tcPr>
            <w:tcW w:w="574" w:type="pct"/>
            <w:shd w:val="clear" w:color="auto" w:fill="auto"/>
            <w:noWrap/>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风险程度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787" w:type="pct"/>
            <w:vMerge w:val="restart"/>
            <w:shd w:val="clear" w:color="auto" w:fill="auto"/>
            <w:noWrap/>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工程风险</w:t>
            </w:r>
          </w:p>
        </w:tc>
        <w:tc>
          <w:tcPr>
            <w:tcW w:w="617" w:type="pct"/>
            <w:shd w:val="clear" w:color="auto" w:fill="auto"/>
            <w:noWrap/>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决策</w:t>
            </w:r>
          </w:p>
        </w:tc>
        <w:tc>
          <w:tcPr>
            <w:tcW w:w="1872" w:type="pct"/>
            <w:shd w:val="clear" w:color="auto" w:fill="auto"/>
            <w:noWrap/>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项目合法性、合理性遭到质疑的风险</w:t>
            </w:r>
          </w:p>
        </w:tc>
        <w:tc>
          <w:tcPr>
            <w:tcW w:w="574" w:type="pct"/>
            <w:shd w:val="clear" w:color="auto" w:fill="auto"/>
            <w:noWrap/>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很低</w:t>
            </w:r>
          </w:p>
        </w:tc>
        <w:tc>
          <w:tcPr>
            <w:tcW w:w="574" w:type="pct"/>
            <w:shd w:val="clear" w:color="auto" w:fill="auto"/>
            <w:noWrap/>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　</w:t>
            </w:r>
          </w:p>
        </w:tc>
        <w:tc>
          <w:tcPr>
            <w:tcW w:w="574" w:type="pct"/>
            <w:shd w:val="clear" w:color="auto" w:fill="auto"/>
            <w:noWrap/>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很小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787" w:type="pct"/>
            <w:vMerge w:val="continue"/>
            <w:vAlign w:val="center"/>
          </w:tcPr>
          <w:p>
            <w:pPr>
              <w:widowControl/>
              <w:spacing w:line="240" w:lineRule="auto"/>
              <w:ind w:firstLine="0" w:firstLineChars="0"/>
              <w:jc w:val="left"/>
              <w:rPr>
                <w:rFonts w:ascii="宋体" w:hAnsi="宋体"/>
                <w:color w:val="auto"/>
                <w:kern w:val="0"/>
                <w:sz w:val="18"/>
                <w:szCs w:val="18"/>
                <w:highlight w:val="none"/>
              </w:rPr>
            </w:pPr>
          </w:p>
        </w:tc>
        <w:tc>
          <w:tcPr>
            <w:tcW w:w="617" w:type="pct"/>
            <w:shd w:val="clear" w:color="auto" w:fill="auto"/>
            <w:noWrap/>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准备、实施</w:t>
            </w:r>
          </w:p>
        </w:tc>
        <w:tc>
          <w:tcPr>
            <w:tcW w:w="1872" w:type="pct"/>
            <w:shd w:val="clear" w:color="auto" w:fill="auto"/>
            <w:noWrap/>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项目可能造成环境破坏的风险</w:t>
            </w:r>
          </w:p>
        </w:tc>
        <w:tc>
          <w:tcPr>
            <w:tcW w:w="574" w:type="pct"/>
            <w:shd w:val="clear" w:color="auto" w:fill="auto"/>
            <w:noWrap/>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　</w:t>
            </w:r>
          </w:p>
        </w:tc>
        <w:tc>
          <w:tcPr>
            <w:tcW w:w="574" w:type="pct"/>
            <w:shd w:val="clear" w:color="auto" w:fill="auto"/>
            <w:noWrap/>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较低</w:t>
            </w:r>
          </w:p>
        </w:tc>
        <w:tc>
          <w:tcPr>
            <w:tcW w:w="574" w:type="pct"/>
            <w:shd w:val="clear" w:color="auto" w:fill="auto"/>
            <w:noWrap/>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很小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787" w:type="pct"/>
            <w:vMerge w:val="continue"/>
            <w:vAlign w:val="center"/>
          </w:tcPr>
          <w:p>
            <w:pPr>
              <w:widowControl/>
              <w:spacing w:line="240" w:lineRule="auto"/>
              <w:ind w:firstLine="0" w:firstLineChars="0"/>
              <w:jc w:val="left"/>
              <w:rPr>
                <w:rFonts w:ascii="宋体" w:hAnsi="宋体"/>
                <w:color w:val="auto"/>
                <w:kern w:val="0"/>
                <w:sz w:val="18"/>
                <w:szCs w:val="18"/>
                <w:highlight w:val="none"/>
              </w:rPr>
            </w:pPr>
          </w:p>
        </w:tc>
        <w:tc>
          <w:tcPr>
            <w:tcW w:w="617" w:type="pct"/>
            <w:shd w:val="clear" w:color="auto" w:fill="auto"/>
            <w:noWrap/>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准备、实施</w:t>
            </w:r>
          </w:p>
        </w:tc>
        <w:tc>
          <w:tcPr>
            <w:tcW w:w="1872" w:type="pct"/>
            <w:shd w:val="clear" w:color="auto" w:fill="auto"/>
            <w:noWrap/>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群众抵制占地的风险</w:t>
            </w:r>
          </w:p>
        </w:tc>
        <w:tc>
          <w:tcPr>
            <w:tcW w:w="574" w:type="pct"/>
            <w:shd w:val="clear" w:color="auto" w:fill="auto"/>
            <w:noWrap/>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　</w:t>
            </w:r>
          </w:p>
        </w:tc>
        <w:tc>
          <w:tcPr>
            <w:tcW w:w="574" w:type="pct"/>
            <w:shd w:val="clear" w:color="auto" w:fill="auto"/>
            <w:noWrap/>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较低</w:t>
            </w:r>
          </w:p>
        </w:tc>
        <w:tc>
          <w:tcPr>
            <w:tcW w:w="574" w:type="pct"/>
            <w:shd w:val="clear" w:color="auto" w:fill="auto"/>
            <w:noWrap/>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较小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787" w:type="pct"/>
            <w:vMerge w:val="restart"/>
            <w:shd w:val="clear" w:color="auto" w:fill="auto"/>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项目与社会</w:t>
            </w:r>
          </w:p>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互适性风险</w:t>
            </w:r>
          </w:p>
        </w:tc>
        <w:tc>
          <w:tcPr>
            <w:tcW w:w="617" w:type="pct"/>
            <w:shd w:val="clear" w:color="auto" w:fill="auto"/>
            <w:noWrap/>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准备、实施</w:t>
            </w:r>
          </w:p>
        </w:tc>
        <w:tc>
          <w:tcPr>
            <w:tcW w:w="1872" w:type="pct"/>
            <w:shd w:val="clear" w:color="auto" w:fill="auto"/>
            <w:noWrap/>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项目可能引发的社会矛盾的风险</w:t>
            </w:r>
          </w:p>
        </w:tc>
        <w:tc>
          <w:tcPr>
            <w:tcW w:w="574" w:type="pct"/>
            <w:shd w:val="clear" w:color="auto" w:fill="auto"/>
            <w:noWrap/>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　</w:t>
            </w:r>
          </w:p>
        </w:tc>
        <w:tc>
          <w:tcPr>
            <w:tcW w:w="574" w:type="pct"/>
            <w:shd w:val="clear" w:color="auto" w:fill="auto"/>
            <w:noWrap/>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较低</w:t>
            </w:r>
          </w:p>
        </w:tc>
        <w:tc>
          <w:tcPr>
            <w:tcW w:w="574" w:type="pct"/>
            <w:shd w:val="clear" w:color="auto" w:fill="auto"/>
            <w:noWrap/>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很小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787" w:type="pct"/>
            <w:vMerge w:val="continue"/>
            <w:vAlign w:val="center"/>
          </w:tcPr>
          <w:p>
            <w:pPr>
              <w:widowControl/>
              <w:spacing w:line="240" w:lineRule="auto"/>
              <w:ind w:firstLine="0" w:firstLineChars="0"/>
              <w:jc w:val="left"/>
              <w:rPr>
                <w:rFonts w:ascii="宋体" w:hAnsi="宋体"/>
                <w:color w:val="auto"/>
                <w:kern w:val="0"/>
                <w:sz w:val="18"/>
                <w:szCs w:val="18"/>
                <w:highlight w:val="none"/>
              </w:rPr>
            </w:pPr>
          </w:p>
        </w:tc>
        <w:tc>
          <w:tcPr>
            <w:tcW w:w="617" w:type="pct"/>
            <w:shd w:val="clear" w:color="auto" w:fill="auto"/>
            <w:noWrap/>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准备、实施</w:t>
            </w:r>
          </w:p>
        </w:tc>
        <w:tc>
          <w:tcPr>
            <w:tcW w:w="1872" w:type="pct"/>
            <w:shd w:val="clear" w:color="auto" w:fill="auto"/>
            <w:noWrap/>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群众对生活环境变化的不适风险</w:t>
            </w:r>
          </w:p>
        </w:tc>
        <w:tc>
          <w:tcPr>
            <w:tcW w:w="574" w:type="pct"/>
            <w:shd w:val="clear" w:color="auto" w:fill="auto"/>
            <w:noWrap/>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很低</w:t>
            </w:r>
          </w:p>
        </w:tc>
        <w:tc>
          <w:tcPr>
            <w:tcW w:w="574" w:type="pct"/>
            <w:shd w:val="clear" w:color="auto" w:fill="auto"/>
            <w:noWrap/>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　</w:t>
            </w:r>
          </w:p>
        </w:tc>
        <w:tc>
          <w:tcPr>
            <w:tcW w:w="574" w:type="pct"/>
            <w:shd w:val="clear" w:color="auto" w:fill="auto"/>
            <w:noWrap/>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很小</w:t>
            </w:r>
          </w:p>
        </w:tc>
      </w:tr>
    </w:tbl>
    <w:p>
      <w:pPr>
        <w:pStyle w:val="3"/>
        <w:rPr>
          <w:color w:val="auto"/>
          <w:highlight w:val="none"/>
        </w:rPr>
      </w:pPr>
      <w:bookmarkStart w:id="178" w:name="_Toc4739"/>
      <w:r>
        <w:rPr>
          <w:rFonts w:hint="eastAsia"/>
          <w:color w:val="auto"/>
          <w:highlight w:val="none"/>
        </w:rPr>
        <w:t>16.5风险防范与化解措施</w:t>
      </w:r>
      <w:bookmarkEnd w:id="178"/>
    </w:p>
    <w:p>
      <w:pPr>
        <w:pStyle w:val="4"/>
        <w:rPr>
          <w:color w:val="auto"/>
          <w:highlight w:val="none"/>
        </w:rPr>
      </w:pPr>
      <w:r>
        <w:rPr>
          <w:rFonts w:hint="eastAsia"/>
          <w:color w:val="auto"/>
          <w:highlight w:val="none"/>
        </w:rPr>
        <w:t>16.5.1 主要风险防范和化解措施</w:t>
      </w:r>
    </w:p>
    <w:p>
      <w:pPr>
        <w:ind w:firstLine="480"/>
        <w:rPr>
          <w:color w:val="auto"/>
          <w:highlight w:val="none"/>
        </w:rPr>
      </w:pPr>
      <w:r>
        <w:rPr>
          <w:rFonts w:hint="eastAsia"/>
          <w:color w:val="auto"/>
          <w:highlight w:val="none"/>
        </w:rPr>
        <w:t>根据本工程的特点，针对主要风险因素，进一步落实风险防范措施，提出实施时段，以及责任主体及协助单位。</w:t>
      </w:r>
    </w:p>
    <w:p>
      <w:pPr>
        <w:ind w:firstLine="480"/>
        <w:rPr>
          <w:color w:val="auto"/>
          <w:highlight w:val="none"/>
        </w:rPr>
      </w:pPr>
      <w:r>
        <w:rPr>
          <w:rFonts w:hint="eastAsia"/>
          <w:color w:val="auto"/>
          <w:highlight w:val="none"/>
        </w:rPr>
        <w:t>在决策规划阶段，充分考虑各因素，由水行政主管部门协同设计单位、地方政府等部门制定完善的规划方案，力争将风险降到最低；在准备、实施及运行阶段由项目法人协同地方水行政主管部门、地方政府（区、乡镇）部门、施工及监理单位、设计单位等部门，认真执行规划方案，在满足相关法律、法规及规程的前提下，防范和及时化解风险，保证工程顺利实施并发挥应有的效益。</w:t>
      </w:r>
    </w:p>
    <w:p>
      <w:pPr>
        <w:pStyle w:val="4"/>
        <w:rPr>
          <w:color w:val="auto"/>
          <w:highlight w:val="none"/>
        </w:rPr>
      </w:pPr>
      <w:r>
        <w:rPr>
          <w:rFonts w:hint="eastAsia"/>
          <w:color w:val="auto"/>
          <w:highlight w:val="none"/>
        </w:rPr>
        <w:t>16.5.2 应急预案</w:t>
      </w:r>
    </w:p>
    <w:p>
      <w:pPr>
        <w:ind w:firstLine="480"/>
        <w:rPr>
          <w:color w:val="auto"/>
          <w:highlight w:val="none"/>
        </w:rPr>
      </w:pPr>
      <w:r>
        <w:rPr>
          <w:rFonts w:hint="eastAsia"/>
          <w:color w:val="auto"/>
          <w:highlight w:val="none"/>
        </w:rPr>
        <w:t>为了预防和有效处置本工程建设中的群体事件，维护社会稳定，促进经济社会和谐发展，结合本工程建设的实际情况，特制定相关应急预案。</w:t>
      </w:r>
    </w:p>
    <w:p>
      <w:pPr>
        <w:spacing w:line="240" w:lineRule="auto"/>
        <w:ind w:firstLine="0" w:firstLineChars="0"/>
        <w:rPr>
          <w:b/>
          <w:bCs/>
          <w:color w:val="auto"/>
          <w:highlight w:val="none"/>
        </w:rPr>
      </w:pPr>
      <w:r>
        <w:rPr>
          <w:rFonts w:hint="eastAsia"/>
          <w:b/>
          <w:bCs/>
          <w:color w:val="auto"/>
          <w:highlight w:val="none"/>
        </w:rPr>
        <w:t>表16.5-1              主要风险防范和化解措施汇总表</w:t>
      </w:r>
    </w:p>
    <w:tbl>
      <w:tblPr>
        <w:tblStyle w:val="33"/>
        <w:tblW w:w="983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97"/>
        <w:gridCol w:w="851"/>
        <w:gridCol w:w="1408"/>
        <w:gridCol w:w="2020"/>
        <w:gridCol w:w="2020"/>
        <w:gridCol w:w="1080"/>
        <w:gridCol w:w="13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2" w:hRule="atLeast"/>
          <w:jc w:val="center"/>
        </w:trPr>
        <w:tc>
          <w:tcPr>
            <w:tcW w:w="1097" w:type="dxa"/>
            <w:shd w:val="clear" w:color="auto" w:fill="auto"/>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风险</w:t>
            </w:r>
            <w:r>
              <w:rPr>
                <w:rFonts w:hint="eastAsia" w:ascii="宋体" w:hAnsi="宋体"/>
                <w:color w:val="auto"/>
                <w:kern w:val="0"/>
                <w:sz w:val="18"/>
                <w:szCs w:val="18"/>
                <w:highlight w:val="none"/>
              </w:rPr>
              <w:br w:type="textWrapping"/>
            </w:r>
            <w:r>
              <w:rPr>
                <w:rFonts w:hint="eastAsia" w:ascii="宋体" w:hAnsi="宋体"/>
                <w:color w:val="auto"/>
                <w:kern w:val="0"/>
                <w:sz w:val="18"/>
                <w:szCs w:val="18"/>
                <w:highlight w:val="none"/>
              </w:rPr>
              <w:t>类别</w:t>
            </w:r>
          </w:p>
        </w:tc>
        <w:tc>
          <w:tcPr>
            <w:tcW w:w="851" w:type="dxa"/>
            <w:shd w:val="clear" w:color="auto" w:fill="auto"/>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发生</w:t>
            </w:r>
            <w:r>
              <w:rPr>
                <w:rFonts w:hint="eastAsia" w:ascii="宋体" w:hAnsi="宋体"/>
                <w:color w:val="auto"/>
                <w:kern w:val="0"/>
                <w:sz w:val="18"/>
                <w:szCs w:val="18"/>
                <w:highlight w:val="none"/>
              </w:rPr>
              <w:br w:type="textWrapping"/>
            </w:r>
            <w:r>
              <w:rPr>
                <w:rFonts w:hint="eastAsia" w:ascii="宋体" w:hAnsi="宋体"/>
                <w:color w:val="auto"/>
                <w:kern w:val="0"/>
                <w:sz w:val="18"/>
                <w:szCs w:val="18"/>
                <w:highlight w:val="none"/>
              </w:rPr>
              <w:t>阶段</w:t>
            </w:r>
          </w:p>
        </w:tc>
        <w:tc>
          <w:tcPr>
            <w:tcW w:w="1408" w:type="dxa"/>
            <w:shd w:val="clear" w:color="auto" w:fill="auto"/>
            <w:noWrap/>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风险因素</w:t>
            </w:r>
          </w:p>
        </w:tc>
        <w:tc>
          <w:tcPr>
            <w:tcW w:w="2020" w:type="dxa"/>
            <w:shd w:val="clear" w:color="auto" w:fill="auto"/>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主要防范</w:t>
            </w:r>
            <w:r>
              <w:rPr>
                <w:rFonts w:hint="eastAsia" w:ascii="宋体" w:hAnsi="宋体"/>
                <w:color w:val="auto"/>
                <w:kern w:val="0"/>
                <w:sz w:val="18"/>
                <w:szCs w:val="18"/>
                <w:highlight w:val="none"/>
              </w:rPr>
              <w:br w:type="textWrapping"/>
            </w:r>
            <w:r>
              <w:rPr>
                <w:rFonts w:hint="eastAsia" w:ascii="宋体" w:hAnsi="宋体"/>
                <w:color w:val="auto"/>
                <w:kern w:val="0"/>
                <w:sz w:val="18"/>
                <w:szCs w:val="18"/>
                <w:highlight w:val="none"/>
              </w:rPr>
              <w:t>及化解措施</w:t>
            </w:r>
          </w:p>
        </w:tc>
        <w:tc>
          <w:tcPr>
            <w:tcW w:w="2020" w:type="dxa"/>
            <w:shd w:val="clear" w:color="auto" w:fill="auto"/>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实施时间</w:t>
            </w:r>
            <w:r>
              <w:rPr>
                <w:rFonts w:hint="eastAsia" w:ascii="宋体" w:hAnsi="宋体"/>
                <w:color w:val="auto"/>
                <w:kern w:val="0"/>
                <w:sz w:val="18"/>
                <w:szCs w:val="18"/>
                <w:highlight w:val="none"/>
              </w:rPr>
              <w:br w:type="textWrapping"/>
            </w:r>
            <w:r>
              <w:rPr>
                <w:rFonts w:hint="eastAsia" w:ascii="宋体" w:hAnsi="宋体"/>
                <w:color w:val="auto"/>
                <w:kern w:val="0"/>
                <w:sz w:val="18"/>
                <w:szCs w:val="18"/>
                <w:highlight w:val="none"/>
              </w:rPr>
              <w:t>及要求</w:t>
            </w:r>
          </w:p>
        </w:tc>
        <w:tc>
          <w:tcPr>
            <w:tcW w:w="1080" w:type="dxa"/>
            <w:shd w:val="clear" w:color="auto" w:fill="auto"/>
            <w:noWrap/>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责任主体</w:t>
            </w:r>
          </w:p>
        </w:tc>
        <w:tc>
          <w:tcPr>
            <w:tcW w:w="1360" w:type="dxa"/>
            <w:shd w:val="clear" w:color="auto" w:fill="auto"/>
            <w:noWrap/>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协助单位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2" w:hRule="atLeast"/>
          <w:jc w:val="center"/>
        </w:trPr>
        <w:tc>
          <w:tcPr>
            <w:tcW w:w="1097" w:type="dxa"/>
            <w:vMerge w:val="restart"/>
            <w:shd w:val="clear" w:color="auto" w:fill="auto"/>
            <w:noWrap/>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工程风险</w:t>
            </w:r>
          </w:p>
        </w:tc>
        <w:tc>
          <w:tcPr>
            <w:tcW w:w="851" w:type="dxa"/>
            <w:shd w:val="clear" w:color="auto" w:fill="auto"/>
            <w:noWrap/>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决策</w:t>
            </w:r>
          </w:p>
        </w:tc>
        <w:tc>
          <w:tcPr>
            <w:tcW w:w="1408" w:type="dxa"/>
            <w:shd w:val="clear" w:color="auto" w:fill="auto"/>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项目合法性、合理性遭到质疑</w:t>
            </w:r>
          </w:p>
        </w:tc>
        <w:tc>
          <w:tcPr>
            <w:tcW w:w="2020" w:type="dxa"/>
            <w:shd w:val="clear" w:color="auto" w:fill="auto"/>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决策阶段依法、依据</w:t>
            </w:r>
            <w:r>
              <w:rPr>
                <w:rFonts w:hint="eastAsia" w:ascii="宋体" w:hAnsi="宋体"/>
                <w:color w:val="auto"/>
                <w:kern w:val="0"/>
                <w:sz w:val="18"/>
                <w:szCs w:val="18"/>
                <w:highlight w:val="none"/>
              </w:rPr>
              <w:br w:type="textWrapping"/>
            </w:r>
            <w:r>
              <w:rPr>
                <w:rFonts w:hint="eastAsia" w:ascii="宋体" w:hAnsi="宋体"/>
                <w:color w:val="auto"/>
                <w:kern w:val="0"/>
                <w:sz w:val="18"/>
                <w:szCs w:val="18"/>
                <w:highlight w:val="none"/>
              </w:rPr>
              <w:t>进行科学、全面规划</w:t>
            </w:r>
          </w:p>
        </w:tc>
        <w:tc>
          <w:tcPr>
            <w:tcW w:w="2020" w:type="dxa"/>
            <w:shd w:val="clear" w:color="auto" w:fill="auto"/>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决策规划阶</w:t>
            </w:r>
            <w:r>
              <w:rPr>
                <w:rFonts w:hint="eastAsia" w:ascii="宋体" w:hAnsi="宋体"/>
                <w:color w:val="auto"/>
                <w:kern w:val="0"/>
                <w:sz w:val="18"/>
                <w:szCs w:val="18"/>
                <w:highlight w:val="none"/>
              </w:rPr>
              <w:br w:type="textWrapping"/>
            </w:r>
            <w:r>
              <w:rPr>
                <w:rFonts w:hint="eastAsia" w:ascii="宋体" w:hAnsi="宋体"/>
                <w:color w:val="auto"/>
                <w:kern w:val="0"/>
                <w:sz w:val="18"/>
                <w:szCs w:val="18"/>
                <w:highlight w:val="none"/>
              </w:rPr>
              <w:t>段内解决</w:t>
            </w:r>
          </w:p>
        </w:tc>
        <w:tc>
          <w:tcPr>
            <w:tcW w:w="1080" w:type="dxa"/>
            <w:shd w:val="clear" w:color="auto" w:fill="auto"/>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水行政主</w:t>
            </w:r>
            <w:r>
              <w:rPr>
                <w:rFonts w:hint="eastAsia" w:ascii="宋体" w:hAnsi="宋体"/>
                <w:color w:val="auto"/>
                <w:kern w:val="0"/>
                <w:sz w:val="18"/>
                <w:szCs w:val="18"/>
                <w:highlight w:val="none"/>
              </w:rPr>
              <w:br w:type="textWrapping"/>
            </w:r>
            <w:r>
              <w:rPr>
                <w:rFonts w:hint="eastAsia" w:ascii="宋体" w:hAnsi="宋体"/>
                <w:color w:val="auto"/>
                <w:kern w:val="0"/>
                <w:sz w:val="18"/>
                <w:szCs w:val="18"/>
                <w:highlight w:val="none"/>
              </w:rPr>
              <w:t>管部门</w:t>
            </w:r>
          </w:p>
        </w:tc>
        <w:tc>
          <w:tcPr>
            <w:tcW w:w="1360" w:type="dxa"/>
            <w:shd w:val="clear" w:color="auto" w:fill="auto"/>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设计单位、地方政府等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9" w:hRule="atLeast"/>
          <w:jc w:val="center"/>
        </w:trPr>
        <w:tc>
          <w:tcPr>
            <w:tcW w:w="1097" w:type="dxa"/>
            <w:vMerge w:val="continue"/>
            <w:vAlign w:val="center"/>
          </w:tcPr>
          <w:p>
            <w:pPr>
              <w:widowControl/>
              <w:spacing w:line="240" w:lineRule="auto"/>
              <w:ind w:firstLine="0" w:firstLineChars="0"/>
              <w:jc w:val="left"/>
              <w:rPr>
                <w:rFonts w:ascii="宋体" w:hAnsi="宋体"/>
                <w:color w:val="auto"/>
                <w:kern w:val="0"/>
                <w:sz w:val="18"/>
                <w:szCs w:val="18"/>
                <w:highlight w:val="none"/>
              </w:rPr>
            </w:pPr>
          </w:p>
        </w:tc>
        <w:tc>
          <w:tcPr>
            <w:tcW w:w="851" w:type="dxa"/>
            <w:shd w:val="clear" w:color="auto" w:fill="auto"/>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决策、准</w:t>
            </w:r>
            <w:r>
              <w:rPr>
                <w:rFonts w:hint="eastAsia" w:ascii="宋体" w:hAnsi="宋体"/>
                <w:color w:val="auto"/>
                <w:kern w:val="0"/>
                <w:sz w:val="18"/>
                <w:szCs w:val="18"/>
                <w:highlight w:val="none"/>
              </w:rPr>
              <w:br w:type="textWrapping"/>
            </w:r>
            <w:r>
              <w:rPr>
                <w:rFonts w:hint="eastAsia" w:ascii="宋体" w:hAnsi="宋体"/>
                <w:color w:val="auto"/>
                <w:kern w:val="0"/>
                <w:sz w:val="18"/>
                <w:szCs w:val="18"/>
                <w:highlight w:val="none"/>
              </w:rPr>
              <w:t>备实施</w:t>
            </w:r>
          </w:p>
        </w:tc>
        <w:tc>
          <w:tcPr>
            <w:tcW w:w="1408" w:type="dxa"/>
            <w:shd w:val="clear" w:color="auto" w:fill="auto"/>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项目可能造</w:t>
            </w:r>
            <w:r>
              <w:rPr>
                <w:rFonts w:hint="eastAsia" w:ascii="宋体" w:hAnsi="宋体"/>
                <w:color w:val="auto"/>
                <w:kern w:val="0"/>
                <w:sz w:val="18"/>
                <w:szCs w:val="18"/>
                <w:highlight w:val="none"/>
              </w:rPr>
              <w:br w:type="textWrapping"/>
            </w:r>
            <w:r>
              <w:rPr>
                <w:rFonts w:hint="eastAsia" w:ascii="宋体" w:hAnsi="宋体"/>
                <w:color w:val="auto"/>
                <w:kern w:val="0"/>
                <w:sz w:val="18"/>
                <w:szCs w:val="18"/>
                <w:highlight w:val="none"/>
              </w:rPr>
              <w:t>成环境破坏</w:t>
            </w:r>
          </w:p>
        </w:tc>
        <w:tc>
          <w:tcPr>
            <w:tcW w:w="2020" w:type="dxa"/>
            <w:shd w:val="clear" w:color="auto" w:fill="auto"/>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决策阶段做好规划、</w:t>
            </w:r>
            <w:r>
              <w:rPr>
                <w:rFonts w:hint="eastAsia" w:ascii="宋体" w:hAnsi="宋体"/>
                <w:color w:val="auto"/>
                <w:kern w:val="0"/>
                <w:sz w:val="18"/>
                <w:szCs w:val="18"/>
                <w:highlight w:val="none"/>
              </w:rPr>
              <w:br w:type="textWrapping"/>
            </w:r>
            <w:r>
              <w:rPr>
                <w:rFonts w:hint="eastAsia" w:ascii="宋体" w:hAnsi="宋体"/>
                <w:color w:val="auto"/>
                <w:kern w:val="0"/>
                <w:sz w:val="18"/>
                <w:szCs w:val="18"/>
                <w:highlight w:val="none"/>
              </w:rPr>
              <w:t>准备，施工阶段做好生态保护及监测监管</w:t>
            </w:r>
          </w:p>
        </w:tc>
        <w:tc>
          <w:tcPr>
            <w:tcW w:w="2020" w:type="dxa"/>
            <w:shd w:val="clear" w:color="auto" w:fill="auto"/>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决策阶段内减小风</w:t>
            </w:r>
            <w:r>
              <w:rPr>
                <w:rFonts w:hint="eastAsia" w:ascii="宋体" w:hAnsi="宋体"/>
                <w:color w:val="auto"/>
                <w:kern w:val="0"/>
                <w:sz w:val="18"/>
                <w:szCs w:val="18"/>
                <w:highlight w:val="none"/>
              </w:rPr>
              <w:br w:type="textWrapping"/>
            </w:r>
            <w:r>
              <w:rPr>
                <w:rFonts w:hint="eastAsia" w:ascii="宋体" w:hAnsi="宋体"/>
                <w:color w:val="auto"/>
                <w:kern w:val="0"/>
                <w:sz w:val="18"/>
                <w:szCs w:val="18"/>
                <w:highlight w:val="none"/>
              </w:rPr>
              <w:t>险，准备、实施阶</w:t>
            </w:r>
            <w:r>
              <w:rPr>
                <w:rFonts w:hint="eastAsia" w:ascii="宋体" w:hAnsi="宋体"/>
                <w:color w:val="auto"/>
                <w:kern w:val="0"/>
                <w:sz w:val="18"/>
                <w:szCs w:val="18"/>
                <w:highlight w:val="none"/>
              </w:rPr>
              <w:br w:type="textWrapping"/>
            </w:r>
            <w:r>
              <w:rPr>
                <w:rFonts w:hint="eastAsia" w:ascii="宋体" w:hAnsi="宋体"/>
                <w:color w:val="auto"/>
                <w:kern w:val="0"/>
                <w:sz w:val="18"/>
                <w:szCs w:val="18"/>
                <w:highlight w:val="none"/>
              </w:rPr>
              <w:t>段内控制并减小风险</w:t>
            </w:r>
          </w:p>
        </w:tc>
        <w:tc>
          <w:tcPr>
            <w:tcW w:w="1080" w:type="dxa"/>
            <w:shd w:val="clear" w:color="auto" w:fill="auto"/>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项目</w:t>
            </w:r>
            <w:r>
              <w:rPr>
                <w:rFonts w:hint="eastAsia" w:ascii="宋体" w:hAnsi="宋体"/>
                <w:color w:val="auto"/>
                <w:kern w:val="0"/>
                <w:sz w:val="18"/>
                <w:szCs w:val="18"/>
                <w:highlight w:val="none"/>
              </w:rPr>
              <w:br w:type="textWrapping"/>
            </w:r>
            <w:r>
              <w:rPr>
                <w:rFonts w:hint="eastAsia" w:ascii="宋体" w:hAnsi="宋体"/>
                <w:color w:val="auto"/>
                <w:kern w:val="0"/>
                <w:sz w:val="18"/>
                <w:szCs w:val="18"/>
                <w:highlight w:val="none"/>
              </w:rPr>
              <w:t>法人</w:t>
            </w:r>
          </w:p>
        </w:tc>
        <w:tc>
          <w:tcPr>
            <w:tcW w:w="1360" w:type="dxa"/>
            <w:shd w:val="clear" w:color="auto" w:fill="auto"/>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建设施工、监理单位等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0" w:hRule="atLeast"/>
          <w:jc w:val="center"/>
        </w:trPr>
        <w:tc>
          <w:tcPr>
            <w:tcW w:w="1097" w:type="dxa"/>
            <w:vMerge w:val="continue"/>
            <w:vAlign w:val="center"/>
          </w:tcPr>
          <w:p>
            <w:pPr>
              <w:widowControl/>
              <w:spacing w:line="240" w:lineRule="auto"/>
              <w:ind w:firstLine="0" w:firstLineChars="0"/>
              <w:jc w:val="left"/>
              <w:rPr>
                <w:rFonts w:ascii="宋体" w:hAnsi="宋体"/>
                <w:color w:val="auto"/>
                <w:kern w:val="0"/>
                <w:sz w:val="18"/>
                <w:szCs w:val="18"/>
                <w:highlight w:val="none"/>
              </w:rPr>
            </w:pPr>
          </w:p>
        </w:tc>
        <w:tc>
          <w:tcPr>
            <w:tcW w:w="851" w:type="dxa"/>
            <w:shd w:val="clear" w:color="auto" w:fill="auto"/>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决策、准</w:t>
            </w:r>
            <w:r>
              <w:rPr>
                <w:rFonts w:hint="eastAsia" w:ascii="宋体" w:hAnsi="宋体"/>
                <w:color w:val="auto"/>
                <w:kern w:val="0"/>
                <w:sz w:val="18"/>
                <w:szCs w:val="18"/>
                <w:highlight w:val="none"/>
              </w:rPr>
              <w:br w:type="textWrapping"/>
            </w:r>
            <w:r>
              <w:rPr>
                <w:rFonts w:hint="eastAsia" w:ascii="宋体" w:hAnsi="宋体"/>
                <w:color w:val="auto"/>
                <w:kern w:val="0"/>
                <w:sz w:val="18"/>
                <w:szCs w:val="18"/>
                <w:highlight w:val="none"/>
              </w:rPr>
              <w:t>备实施</w:t>
            </w:r>
          </w:p>
        </w:tc>
        <w:tc>
          <w:tcPr>
            <w:tcW w:w="1408" w:type="dxa"/>
            <w:shd w:val="clear" w:color="auto" w:fill="auto"/>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群众抵制</w:t>
            </w:r>
            <w:r>
              <w:rPr>
                <w:rFonts w:hint="eastAsia" w:ascii="宋体" w:hAnsi="宋体"/>
                <w:color w:val="auto"/>
                <w:kern w:val="0"/>
                <w:sz w:val="18"/>
                <w:szCs w:val="18"/>
                <w:highlight w:val="none"/>
              </w:rPr>
              <w:br w:type="textWrapping"/>
            </w:r>
            <w:r>
              <w:rPr>
                <w:rFonts w:hint="eastAsia" w:ascii="宋体" w:hAnsi="宋体"/>
                <w:color w:val="auto"/>
                <w:kern w:val="0"/>
                <w:sz w:val="18"/>
                <w:szCs w:val="18"/>
                <w:highlight w:val="none"/>
              </w:rPr>
              <w:t>征地的风险</w:t>
            </w:r>
          </w:p>
        </w:tc>
        <w:tc>
          <w:tcPr>
            <w:tcW w:w="2020" w:type="dxa"/>
            <w:shd w:val="clear" w:color="auto" w:fill="auto"/>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按设定补偿标准进行</w:t>
            </w:r>
            <w:r>
              <w:rPr>
                <w:rFonts w:hint="eastAsia" w:ascii="宋体" w:hAnsi="宋体"/>
                <w:color w:val="auto"/>
                <w:kern w:val="0"/>
                <w:sz w:val="18"/>
                <w:szCs w:val="18"/>
                <w:highlight w:val="none"/>
              </w:rPr>
              <w:br w:type="textWrapping"/>
            </w:r>
            <w:r>
              <w:rPr>
                <w:rFonts w:hint="eastAsia" w:ascii="宋体" w:hAnsi="宋体"/>
                <w:color w:val="auto"/>
                <w:kern w:val="0"/>
                <w:sz w:val="18"/>
                <w:szCs w:val="18"/>
                <w:highlight w:val="none"/>
              </w:rPr>
              <w:t>实额补偿，协同各部</w:t>
            </w:r>
            <w:r>
              <w:rPr>
                <w:rFonts w:hint="eastAsia" w:ascii="宋体" w:hAnsi="宋体"/>
                <w:color w:val="auto"/>
                <w:kern w:val="0"/>
                <w:sz w:val="18"/>
                <w:szCs w:val="18"/>
                <w:highlight w:val="none"/>
              </w:rPr>
              <w:br w:type="textWrapping"/>
            </w:r>
            <w:r>
              <w:rPr>
                <w:rFonts w:hint="eastAsia" w:ascii="宋体" w:hAnsi="宋体"/>
                <w:color w:val="auto"/>
                <w:kern w:val="0"/>
                <w:sz w:val="18"/>
                <w:szCs w:val="18"/>
                <w:highlight w:val="none"/>
              </w:rPr>
              <w:t>门做好防范并及时处</w:t>
            </w:r>
            <w:r>
              <w:rPr>
                <w:rFonts w:hint="eastAsia" w:ascii="宋体" w:hAnsi="宋体"/>
                <w:color w:val="auto"/>
                <w:kern w:val="0"/>
                <w:sz w:val="18"/>
                <w:szCs w:val="18"/>
                <w:highlight w:val="none"/>
              </w:rPr>
              <w:br w:type="textWrapping"/>
            </w:r>
            <w:r>
              <w:rPr>
                <w:rFonts w:hint="eastAsia" w:ascii="宋体" w:hAnsi="宋体"/>
                <w:color w:val="auto"/>
                <w:kern w:val="0"/>
                <w:sz w:val="18"/>
                <w:szCs w:val="18"/>
                <w:highlight w:val="none"/>
              </w:rPr>
              <w:t>理风险</w:t>
            </w:r>
          </w:p>
        </w:tc>
        <w:tc>
          <w:tcPr>
            <w:tcW w:w="2020" w:type="dxa"/>
            <w:shd w:val="clear" w:color="auto" w:fill="auto"/>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决策阶段内减小风</w:t>
            </w:r>
            <w:r>
              <w:rPr>
                <w:rFonts w:hint="eastAsia" w:ascii="宋体" w:hAnsi="宋体"/>
                <w:color w:val="auto"/>
                <w:kern w:val="0"/>
                <w:sz w:val="18"/>
                <w:szCs w:val="18"/>
                <w:highlight w:val="none"/>
              </w:rPr>
              <w:br w:type="textWrapping"/>
            </w:r>
            <w:r>
              <w:rPr>
                <w:rFonts w:hint="eastAsia" w:ascii="宋体" w:hAnsi="宋体"/>
                <w:color w:val="auto"/>
                <w:kern w:val="0"/>
                <w:sz w:val="18"/>
                <w:szCs w:val="18"/>
                <w:highlight w:val="none"/>
              </w:rPr>
              <w:t>险，准备、实施阶</w:t>
            </w:r>
            <w:r>
              <w:rPr>
                <w:rFonts w:hint="eastAsia" w:ascii="宋体" w:hAnsi="宋体"/>
                <w:color w:val="auto"/>
                <w:kern w:val="0"/>
                <w:sz w:val="18"/>
                <w:szCs w:val="18"/>
                <w:highlight w:val="none"/>
              </w:rPr>
              <w:br w:type="textWrapping"/>
            </w:r>
            <w:r>
              <w:rPr>
                <w:rFonts w:hint="eastAsia" w:ascii="宋体" w:hAnsi="宋体"/>
                <w:color w:val="auto"/>
                <w:kern w:val="0"/>
                <w:sz w:val="18"/>
                <w:szCs w:val="18"/>
                <w:highlight w:val="none"/>
              </w:rPr>
              <w:t>段内控制并减小风险</w:t>
            </w:r>
          </w:p>
        </w:tc>
        <w:tc>
          <w:tcPr>
            <w:tcW w:w="1080" w:type="dxa"/>
            <w:shd w:val="clear" w:color="auto" w:fill="auto"/>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项目</w:t>
            </w:r>
            <w:r>
              <w:rPr>
                <w:rFonts w:hint="eastAsia" w:ascii="宋体" w:hAnsi="宋体"/>
                <w:color w:val="auto"/>
                <w:kern w:val="0"/>
                <w:sz w:val="18"/>
                <w:szCs w:val="18"/>
                <w:highlight w:val="none"/>
              </w:rPr>
              <w:br w:type="textWrapping"/>
            </w:r>
            <w:r>
              <w:rPr>
                <w:rFonts w:hint="eastAsia" w:ascii="宋体" w:hAnsi="宋体"/>
                <w:color w:val="auto"/>
                <w:kern w:val="0"/>
                <w:sz w:val="18"/>
                <w:szCs w:val="18"/>
                <w:highlight w:val="none"/>
              </w:rPr>
              <w:t>法人</w:t>
            </w:r>
          </w:p>
        </w:tc>
        <w:tc>
          <w:tcPr>
            <w:tcW w:w="1360" w:type="dxa"/>
            <w:shd w:val="clear" w:color="auto" w:fill="auto"/>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地方政府、建设监理单位等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9" w:hRule="atLeast"/>
          <w:jc w:val="center"/>
        </w:trPr>
        <w:tc>
          <w:tcPr>
            <w:tcW w:w="1097" w:type="dxa"/>
            <w:shd w:val="clear" w:color="auto" w:fill="auto"/>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项目与社</w:t>
            </w:r>
          </w:p>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会互适性</w:t>
            </w:r>
          </w:p>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风险</w:t>
            </w:r>
          </w:p>
        </w:tc>
        <w:tc>
          <w:tcPr>
            <w:tcW w:w="851" w:type="dxa"/>
            <w:shd w:val="clear" w:color="auto" w:fill="auto"/>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决策、准</w:t>
            </w:r>
            <w:r>
              <w:rPr>
                <w:rFonts w:hint="eastAsia" w:ascii="宋体" w:hAnsi="宋体"/>
                <w:color w:val="auto"/>
                <w:kern w:val="0"/>
                <w:sz w:val="18"/>
                <w:szCs w:val="18"/>
                <w:highlight w:val="none"/>
              </w:rPr>
              <w:br w:type="textWrapping"/>
            </w:r>
            <w:r>
              <w:rPr>
                <w:rFonts w:hint="eastAsia" w:ascii="宋体" w:hAnsi="宋体"/>
                <w:color w:val="auto"/>
                <w:kern w:val="0"/>
                <w:sz w:val="18"/>
                <w:szCs w:val="18"/>
                <w:highlight w:val="none"/>
              </w:rPr>
              <w:t>备实施</w:t>
            </w:r>
          </w:p>
        </w:tc>
        <w:tc>
          <w:tcPr>
            <w:tcW w:w="1408" w:type="dxa"/>
            <w:shd w:val="clear" w:color="auto" w:fill="auto"/>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项目可能引发的社会矛盾的风险</w:t>
            </w:r>
          </w:p>
        </w:tc>
        <w:tc>
          <w:tcPr>
            <w:tcW w:w="2020" w:type="dxa"/>
            <w:shd w:val="clear" w:color="auto" w:fill="auto"/>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协同各部门做好防范</w:t>
            </w:r>
            <w:r>
              <w:rPr>
                <w:rFonts w:hint="eastAsia" w:ascii="宋体" w:hAnsi="宋体"/>
                <w:color w:val="auto"/>
                <w:kern w:val="0"/>
                <w:sz w:val="18"/>
                <w:szCs w:val="18"/>
                <w:highlight w:val="none"/>
              </w:rPr>
              <w:br w:type="textWrapping"/>
            </w:r>
            <w:r>
              <w:rPr>
                <w:rFonts w:hint="eastAsia" w:ascii="宋体" w:hAnsi="宋体"/>
                <w:color w:val="auto"/>
                <w:kern w:val="0"/>
                <w:sz w:val="18"/>
                <w:szCs w:val="18"/>
                <w:highlight w:val="none"/>
              </w:rPr>
              <w:t>并及时处理风险</w:t>
            </w:r>
          </w:p>
        </w:tc>
        <w:tc>
          <w:tcPr>
            <w:tcW w:w="2020" w:type="dxa"/>
            <w:shd w:val="clear" w:color="auto" w:fill="auto"/>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决策阶段内减小风</w:t>
            </w:r>
            <w:r>
              <w:rPr>
                <w:rFonts w:hint="eastAsia" w:ascii="宋体" w:hAnsi="宋体"/>
                <w:color w:val="auto"/>
                <w:kern w:val="0"/>
                <w:sz w:val="18"/>
                <w:szCs w:val="18"/>
                <w:highlight w:val="none"/>
              </w:rPr>
              <w:br w:type="textWrapping"/>
            </w:r>
            <w:r>
              <w:rPr>
                <w:rFonts w:hint="eastAsia" w:ascii="宋体" w:hAnsi="宋体"/>
                <w:color w:val="auto"/>
                <w:kern w:val="0"/>
                <w:sz w:val="18"/>
                <w:szCs w:val="18"/>
                <w:highlight w:val="none"/>
              </w:rPr>
              <w:t>险，准备、实施阶</w:t>
            </w:r>
            <w:r>
              <w:rPr>
                <w:rFonts w:hint="eastAsia" w:ascii="宋体" w:hAnsi="宋体"/>
                <w:color w:val="auto"/>
                <w:kern w:val="0"/>
                <w:sz w:val="18"/>
                <w:szCs w:val="18"/>
                <w:highlight w:val="none"/>
              </w:rPr>
              <w:br w:type="textWrapping"/>
            </w:r>
            <w:r>
              <w:rPr>
                <w:rFonts w:hint="eastAsia" w:ascii="宋体" w:hAnsi="宋体"/>
                <w:color w:val="auto"/>
                <w:kern w:val="0"/>
                <w:sz w:val="18"/>
                <w:szCs w:val="18"/>
                <w:highlight w:val="none"/>
              </w:rPr>
              <w:t>段内控制并减小风险</w:t>
            </w:r>
          </w:p>
        </w:tc>
        <w:tc>
          <w:tcPr>
            <w:tcW w:w="1080" w:type="dxa"/>
            <w:shd w:val="clear" w:color="auto" w:fill="auto"/>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项目</w:t>
            </w:r>
            <w:r>
              <w:rPr>
                <w:rFonts w:hint="eastAsia" w:ascii="宋体" w:hAnsi="宋体"/>
                <w:color w:val="auto"/>
                <w:kern w:val="0"/>
                <w:sz w:val="18"/>
                <w:szCs w:val="18"/>
                <w:highlight w:val="none"/>
              </w:rPr>
              <w:br w:type="textWrapping"/>
            </w:r>
            <w:r>
              <w:rPr>
                <w:rFonts w:hint="eastAsia" w:ascii="宋体" w:hAnsi="宋体"/>
                <w:color w:val="auto"/>
                <w:kern w:val="0"/>
                <w:sz w:val="18"/>
                <w:szCs w:val="18"/>
                <w:highlight w:val="none"/>
              </w:rPr>
              <w:t>法人</w:t>
            </w:r>
          </w:p>
        </w:tc>
        <w:tc>
          <w:tcPr>
            <w:tcW w:w="1360" w:type="dxa"/>
            <w:shd w:val="clear" w:color="auto" w:fill="auto"/>
            <w:noWrap/>
            <w:vAlign w:val="center"/>
          </w:tcPr>
          <w:p>
            <w:pPr>
              <w:widowControl/>
              <w:spacing w:line="240" w:lineRule="auto"/>
              <w:ind w:firstLine="0" w:firstLineChars="0"/>
              <w:jc w:val="center"/>
              <w:rPr>
                <w:rFonts w:ascii="宋体" w:hAnsi="宋体"/>
                <w:color w:val="auto"/>
                <w:kern w:val="0"/>
                <w:sz w:val="18"/>
                <w:szCs w:val="18"/>
                <w:highlight w:val="none"/>
              </w:rPr>
            </w:pPr>
            <w:r>
              <w:rPr>
                <w:rFonts w:hint="eastAsia" w:ascii="宋体" w:hAnsi="宋体"/>
                <w:color w:val="auto"/>
                <w:kern w:val="0"/>
                <w:sz w:val="18"/>
                <w:szCs w:val="18"/>
                <w:highlight w:val="none"/>
              </w:rPr>
              <w:t>地方政府等</w:t>
            </w:r>
          </w:p>
        </w:tc>
      </w:tr>
    </w:tbl>
    <w:p>
      <w:pPr>
        <w:ind w:firstLine="480"/>
        <w:rPr>
          <w:color w:val="auto"/>
          <w:highlight w:val="none"/>
        </w:rPr>
      </w:pPr>
      <w:r>
        <w:rPr>
          <w:rFonts w:hint="eastAsia"/>
          <w:color w:val="auto"/>
          <w:highlight w:val="none"/>
        </w:rPr>
        <w:t>（1）工作原则</w:t>
      </w:r>
    </w:p>
    <w:p>
      <w:pPr>
        <w:ind w:firstLine="480"/>
        <w:rPr>
          <w:color w:val="auto"/>
          <w:highlight w:val="none"/>
        </w:rPr>
      </w:pPr>
      <w:r>
        <w:rPr>
          <w:rFonts w:hint="eastAsia"/>
          <w:color w:val="auto"/>
          <w:highlight w:val="none"/>
        </w:rPr>
        <w:t>区公安机关要在区委、区政府的统一领导下，对发生的群体事件应严格依据《关于积极预防和妥善处置群体性事件的工作意见》（中办发〔2004〕33号）和《公安机关处置群体性治安事件规定》（公发〔2000〕5号）予以处置。处置突发事件过程中要遵循以下原则：</w:t>
      </w:r>
    </w:p>
    <w:p>
      <w:pPr>
        <w:ind w:firstLine="480"/>
        <w:rPr>
          <w:color w:val="auto"/>
          <w:highlight w:val="none"/>
        </w:rPr>
      </w:pPr>
      <w:r>
        <w:rPr>
          <w:rFonts w:hint="eastAsia"/>
          <w:color w:val="auto"/>
          <w:highlight w:val="none"/>
        </w:rPr>
        <w:t>1）在党委政府的领导下，会同有关主管部门处置的原则。群体事件发生后，党政领导要在第一时间亲临现场，指挥处置工作。</w:t>
      </w:r>
    </w:p>
    <w:p>
      <w:pPr>
        <w:ind w:firstLine="480"/>
        <w:rPr>
          <w:color w:val="auto"/>
          <w:highlight w:val="none"/>
        </w:rPr>
      </w:pPr>
      <w:r>
        <w:rPr>
          <w:rFonts w:hint="eastAsia"/>
          <w:color w:val="auto"/>
          <w:highlight w:val="none"/>
        </w:rPr>
        <w:t>2）公安机关要及时赶赴现场，平息事态，做好维护现场秩序、保护党政机关、企事业单位办公地点、重点部位及现场工作人员的安全工作。做好安全保卫等处置工作。</w:t>
      </w:r>
    </w:p>
    <w:p>
      <w:pPr>
        <w:ind w:firstLine="480"/>
        <w:rPr>
          <w:color w:val="auto"/>
          <w:highlight w:val="none"/>
        </w:rPr>
      </w:pPr>
      <w:r>
        <w:rPr>
          <w:rFonts w:hint="eastAsia"/>
          <w:color w:val="auto"/>
          <w:highlight w:val="none"/>
        </w:rPr>
        <w:t>3）防止现场矛盾激化原则。对参与群体事件的群众，以教育、疏导为主，力争把问题解决在萌芽或初始状态。</w:t>
      </w:r>
    </w:p>
    <w:p>
      <w:pPr>
        <w:ind w:firstLine="480"/>
        <w:rPr>
          <w:color w:val="auto"/>
          <w:highlight w:val="none"/>
        </w:rPr>
      </w:pPr>
      <w:r>
        <w:rPr>
          <w:rFonts w:hint="eastAsia"/>
          <w:color w:val="auto"/>
          <w:highlight w:val="none"/>
        </w:rPr>
        <w:t>4）慎用警力和强制措施原则。应根据突发事件的治安性质、起因和规模来决定是否使用、使用多少和如何使用警力，根据事态发展情况确定是否采取强制措施。要防止使用警力和强制措施不慎而激化矛盾、扩大事态。</w:t>
      </w:r>
    </w:p>
    <w:p>
      <w:pPr>
        <w:ind w:firstLine="480"/>
        <w:rPr>
          <w:color w:val="auto"/>
          <w:highlight w:val="none"/>
        </w:rPr>
      </w:pPr>
      <w:r>
        <w:rPr>
          <w:rFonts w:hint="eastAsia"/>
          <w:color w:val="auto"/>
          <w:highlight w:val="none"/>
        </w:rPr>
        <w:t>5）依法果断处置原则。对围堵、冲击党政机关、企事业单位、重点部位、阻断交通、骚乱以及打、砸、抢、烧等违法犯罪活动，要坚持依法果断处置，控制局势，防止事态扩大蔓延。</w:t>
      </w:r>
    </w:p>
    <w:p>
      <w:pPr>
        <w:ind w:firstLine="480"/>
        <w:rPr>
          <w:color w:val="auto"/>
          <w:highlight w:val="none"/>
        </w:rPr>
      </w:pPr>
      <w:r>
        <w:rPr>
          <w:rFonts w:hint="eastAsia"/>
          <w:color w:val="auto"/>
          <w:highlight w:val="none"/>
        </w:rPr>
        <w:t>（2）组织领导</w:t>
      </w:r>
    </w:p>
    <w:p>
      <w:pPr>
        <w:ind w:firstLine="480"/>
        <w:rPr>
          <w:color w:val="auto"/>
          <w:highlight w:val="none"/>
        </w:rPr>
      </w:pPr>
      <w:r>
        <w:rPr>
          <w:rFonts w:hint="eastAsia"/>
          <w:color w:val="auto"/>
          <w:highlight w:val="none"/>
        </w:rPr>
        <w:t>成立“工程处置突发群体事件指挥部”，主要职责是全面负责处理群体性突发事件的指挥工作。</w:t>
      </w:r>
    </w:p>
    <w:p>
      <w:pPr>
        <w:ind w:firstLine="480"/>
        <w:rPr>
          <w:color w:val="auto"/>
          <w:highlight w:val="none"/>
        </w:rPr>
      </w:pPr>
      <w:r>
        <w:rPr>
          <w:rFonts w:hint="eastAsia"/>
          <w:color w:val="auto"/>
          <w:highlight w:val="none"/>
        </w:rPr>
        <w:t>（3）工作要求</w:t>
      </w:r>
    </w:p>
    <w:p>
      <w:pPr>
        <w:ind w:firstLine="480"/>
        <w:rPr>
          <w:color w:val="auto"/>
          <w:highlight w:val="none"/>
        </w:rPr>
      </w:pPr>
      <w:r>
        <w:rPr>
          <w:rFonts w:hint="eastAsia"/>
          <w:color w:val="auto"/>
          <w:highlight w:val="none"/>
        </w:rPr>
        <w:t>1）辖区内发生一般群体性突发事件，由当地派出所负责处置；较大警情以上的群体性突发事件由县公安局统一处置。</w:t>
      </w:r>
    </w:p>
    <w:p>
      <w:pPr>
        <w:ind w:firstLine="480"/>
        <w:rPr>
          <w:color w:val="auto"/>
          <w:highlight w:val="none"/>
        </w:rPr>
      </w:pPr>
      <w:r>
        <w:rPr>
          <w:rFonts w:hint="eastAsia"/>
          <w:color w:val="auto"/>
          <w:highlight w:val="none"/>
        </w:rPr>
        <w:t>2）民警统一着装，按规定携带警械。</w:t>
      </w:r>
    </w:p>
    <w:p>
      <w:pPr>
        <w:ind w:firstLine="480"/>
        <w:rPr>
          <w:color w:val="auto"/>
          <w:highlight w:val="none"/>
        </w:rPr>
      </w:pPr>
      <w:r>
        <w:rPr>
          <w:rFonts w:hint="eastAsia"/>
          <w:color w:val="auto"/>
          <w:highlight w:val="none"/>
        </w:rPr>
        <w:t>3）公安机关处置群体性突发事件使用武力，按规定及时向上级公安机关报告；紧急情况下，可边出警处置边请示报告。</w:t>
      </w:r>
    </w:p>
    <w:p>
      <w:pPr>
        <w:ind w:firstLine="480"/>
        <w:rPr>
          <w:color w:val="auto"/>
          <w:highlight w:val="none"/>
        </w:rPr>
      </w:pPr>
      <w:r>
        <w:rPr>
          <w:rFonts w:hint="eastAsia"/>
          <w:color w:val="auto"/>
          <w:highlight w:val="none"/>
        </w:rPr>
        <w:t>4）民警在处置突发事件中，要服从命令和听从指挥。</w:t>
      </w:r>
    </w:p>
    <w:p>
      <w:pPr>
        <w:ind w:firstLine="480"/>
        <w:rPr>
          <w:color w:val="auto"/>
          <w:highlight w:val="none"/>
        </w:rPr>
      </w:pPr>
      <w:r>
        <w:rPr>
          <w:rFonts w:hint="eastAsia"/>
          <w:color w:val="auto"/>
          <w:highlight w:val="none"/>
        </w:rPr>
        <w:t>5）民警在处置突发事件中要密切配合、相互协作，确保处置任务完成。</w:t>
      </w:r>
    </w:p>
    <w:p>
      <w:pPr>
        <w:pStyle w:val="3"/>
        <w:rPr>
          <w:color w:val="auto"/>
          <w:highlight w:val="none"/>
        </w:rPr>
      </w:pPr>
      <w:bookmarkStart w:id="179" w:name="_Toc16139"/>
      <w:r>
        <w:rPr>
          <w:rFonts w:hint="eastAsia"/>
          <w:color w:val="auto"/>
          <w:highlight w:val="none"/>
        </w:rPr>
        <w:t>16.6风险等级</w:t>
      </w:r>
      <w:bookmarkEnd w:id="179"/>
    </w:p>
    <w:p>
      <w:pPr>
        <w:ind w:firstLine="480"/>
        <w:rPr>
          <w:color w:val="auto"/>
          <w:highlight w:val="none"/>
        </w:rPr>
      </w:pPr>
      <w:r>
        <w:rPr>
          <w:rFonts w:hint="eastAsia"/>
          <w:color w:val="auto"/>
          <w:highlight w:val="none"/>
        </w:rPr>
        <w:t>根据当地以往征地经验和民意调研结果确定每类风险因素的权重W，取值范围为〔0，1〕，W取值越大表示某类风险在所有风险中的重要性越大。其次确定风险可能性大小的等级值C，将风险划分为3个等级（高风险、中风险、低风险），等级值C按风险可能性由小至大分别取值为0.2、0.4、0.6、0.8、1.0。然后将每类风险因素的权重与等级值相乘，求出该类风险因素的得分（即W×C），把各类风险的得分加总求和即得到综合风险的分值，即∑W×C。综合风险的分值越高，说明项目的风险越大。一般而言，综合风险分值为0.2～0.4时，表示该项目风险低，有引发个体矛盾冲突的可能；分值为0.41～0.70时，表示该项目风险中等，有引发一般性群体事件的可能；分值为0.71～1.0时，表示该项目风险高，有引发大规模群体事件的可能。</w:t>
      </w:r>
    </w:p>
    <w:p>
      <w:pPr>
        <w:ind w:firstLine="480"/>
        <w:rPr>
          <w:color w:val="auto"/>
          <w:highlight w:val="none"/>
        </w:rPr>
      </w:pPr>
      <w:r>
        <w:rPr>
          <w:rFonts w:hint="eastAsia"/>
          <w:color w:val="auto"/>
          <w:highlight w:val="none"/>
        </w:rPr>
        <w:t>本项目综合风险值求取见表18.6-1。</w:t>
      </w:r>
    </w:p>
    <w:p>
      <w:pPr>
        <w:spacing w:line="240" w:lineRule="auto"/>
        <w:ind w:firstLine="0" w:firstLineChars="0"/>
        <w:rPr>
          <w:b/>
          <w:bCs/>
          <w:color w:val="auto"/>
          <w:highlight w:val="none"/>
        </w:rPr>
      </w:pPr>
      <w:r>
        <w:rPr>
          <w:rFonts w:hint="eastAsia"/>
          <w:b/>
          <w:bCs/>
          <w:color w:val="auto"/>
          <w:highlight w:val="none"/>
        </w:rPr>
        <w:t>表16.6-1                 工程项目风险综合评价表</w:t>
      </w:r>
    </w:p>
    <w:tbl>
      <w:tblPr>
        <w:tblStyle w:val="33"/>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10"/>
        <w:gridCol w:w="1057"/>
        <w:gridCol w:w="943"/>
        <w:gridCol w:w="943"/>
        <w:gridCol w:w="943"/>
        <w:gridCol w:w="943"/>
        <w:gridCol w:w="947"/>
        <w:gridCol w:w="9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9" w:hRule="atLeast"/>
        </w:trPr>
        <w:tc>
          <w:tcPr>
            <w:tcW w:w="1061" w:type="pct"/>
            <w:vMerge w:val="restart"/>
            <w:shd w:val="clear" w:color="auto" w:fill="auto"/>
            <w:noWrap/>
            <w:vAlign w:val="center"/>
          </w:tcPr>
          <w:p>
            <w:pPr>
              <w:widowControl/>
              <w:spacing w:line="240" w:lineRule="auto"/>
              <w:ind w:firstLine="0" w:firstLineChars="0"/>
              <w:jc w:val="center"/>
              <w:rPr>
                <w:rFonts w:cs="Times New Roman"/>
                <w:color w:val="auto"/>
                <w:kern w:val="0"/>
                <w:sz w:val="20"/>
                <w:szCs w:val="20"/>
                <w:highlight w:val="none"/>
              </w:rPr>
            </w:pPr>
            <w:r>
              <w:rPr>
                <w:rFonts w:hint="eastAsia" w:ascii="宋体" w:hAnsi="宋体" w:cs="Times New Roman"/>
                <w:color w:val="auto"/>
                <w:kern w:val="0"/>
                <w:sz w:val="20"/>
                <w:szCs w:val="20"/>
                <w:highlight w:val="none"/>
              </w:rPr>
              <w:t>风险因素</w:t>
            </w:r>
          </w:p>
        </w:tc>
        <w:tc>
          <w:tcPr>
            <w:tcW w:w="620" w:type="pct"/>
            <w:vMerge w:val="restart"/>
            <w:shd w:val="clear" w:color="auto" w:fill="auto"/>
            <w:noWrap/>
            <w:vAlign w:val="center"/>
          </w:tcPr>
          <w:p>
            <w:pPr>
              <w:widowControl/>
              <w:spacing w:line="240" w:lineRule="auto"/>
              <w:ind w:firstLine="0" w:firstLineChars="0"/>
              <w:jc w:val="center"/>
              <w:rPr>
                <w:rFonts w:ascii="宋体" w:hAnsi="宋体" w:cs="Times New Roman"/>
                <w:color w:val="auto"/>
                <w:kern w:val="0"/>
                <w:sz w:val="20"/>
                <w:szCs w:val="20"/>
                <w:highlight w:val="none"/>
              </w:rPr>
            </w:pPr>
            <w:r>
              <w:rPr>
                <w:rFonts w:hint="eastAsia" w:ascii="宋体" w:hAnsi="宋体" w:cs="Times New Roman"/>
                <w:color w:val="auto"/>
                <w:kern w:val="0"/>
                <w:sz w:val="20"/>
                <w:szCs w:val="20"/>
                <w:highlight w:val="none"/>
              </w:rPr>
              <w:t>风险权重</w:t>
            </w:r>
          </w:p>
          <w:p>
            <w:pPr>
              <w:widowControl/>
              <w:spacing w:line="240" w:lineRule="auto"/>
              <w:ind w:firstLine="0" w:firstLineChars="0"/>
              <w:jc w:val="center"/>
              <w:rPr>
                <w:rFonts w:cs="Times New Roman"/>
                <w:color w:val="auto"/>
                <w:kern w:val="0"/>
                <w:sz w:val="20"/>
                <w:szCs w:val="20"/>
                <w:highlight w:val="none"/>
              </w:rPr>
            </w:pPr>
            <w:r>
              <w:rPr>
                <w:rFonts w:hint="eastAsia" w:ascii="宋体" w:hAnsi="宋体" w:cs="Times New Roman"/>
                <w:color w:val="auto"/>
                <w:kern w:val="0"/>
                <w:sz w:val="20"/>
                <w:szCs w:val="20"/>
                <w:highlight w:val="none"/>
              </w:rPr>
              <w:t>（</w:t>
            </w:r>
            <w:r>
              <w:rPr>
                <w:rFonts w:cs="Times New Roman"/>
                <w:color w:val="auto"/>
                <w:kern w:val="0"/>
                <w:sz w:val="20"/>
                <w:szCs w:val="20"/>
                <w:highlight w:val="none"/>
              </w:rPr>
              <w:t>W</w:t>
            </w:r>
            <w:r>
              <w:rPr>
                <w:rFonts w:hint="eastAsia" w:ascii="宋体" w:hAnsi="宋体" w:cs="Times New Roman"/>
                <w:color w:val="auto"/>
                <w:kern w:val="0"/>
                <w:sz w:val="20"/>
                <w:szCs w:val="20"/>
                <w:highlight w:val="none"/>
              </w:rPr>
              <w:t>）</w:t>
            </w:r>
          </w:p>
        </w:tc>
        <w:tc>
          <w:tcPr>
            <w:tcW w:w="2767" w:type="pct"/>
            <w:gridSpan w:val="5"/>
            <w:shd w:val="clear" w:color="auto" w:fill="auto"/>
            <w:noWrap/>
            <w:vAlign w:val="center"/>
          </w:tcPr>
          <w:p>
            <w:pPr>
              <w:widowControl/>
              <w:spacing w:line="240" w:lineRule="auto"/>
              <w:ind w:firstLine="0" w:firstLineChars="0"/>
              <w:jc w:val="center"/>
              <w:rPr>
                <w:rFonts w:cs="Times New Roman"/>
                <w:color w:val="auto"/>
                <w:kern w:val="0"/>
                <w:sz w:val="20"/>
                <w:szCs w:val="20"/>
                <w:highlight w:val="none"/>
              </w:rPr>
            </w:pPr>
            <w:r>
              <w:rPr>
                <w:rFonts w:hint="eastAsia" w:ascii="宋体" w:hAnsi="宋体" w:cs="Times New Roman"/>
                <w:color w:val="auto"/>
                <w:kern w:val="0"/>
                <w:sz w:val="20"/>
                <w:szCs w:val="20"/>
                <w:highlight w:val="none"/>
              </w:rPr>
              <w:t>风险发生的可能性（</w:t>
            </w:r>
            <w:r>
              <w:rPr>
                <w:rFonts w:cs="Times New Roman"/>
                <w:color w:val="auto"/>
                <w:kern w:val="0"/>
                <w:sz w:val="20"/>
                <w:szCs w:val="20"/>
                <w:highlight w:val="none"/>
              </w:rPr>
              <w:t>C</w:t>
            </w:r>
            <w:r>
              <w:rPr>
                <w:rFonts w:hint="eastAsia" w:ascii="宋体" w:hAnsi="宋体" w:cs="Times New Roman"/>
                <w:color w:val="auto"/>
                <w:kern w:val="0"/>
                <w:sz w:val="20"/>
                <w:szCs w:val="20"/>
                <w:highlight w:val="none"/>
              </w:rPr>
              <w:t>）</w:t>
            </w:r>
          </w:p>
        </w:tc>
        <w:tc>
          <w:tcPr>
            <w:tcW w:w="553" w:type="pct"/>
            <w:vMerge w:val="restart"/>
            <w:shd w:val="clear" w:color="auto" w:fill="auto"/>
            <w:noWrap/>
            <w:vAlign w:val="center"/>
          </w:tcPr>
          <w:p>
            <w:pPr>
              <w:widowControl/>
              <w:spacing w:line="240" w:lineRule="auto"/>
              <w:ind w:firstLine="0" w:firstLineChars="0"/>
              <w:jc w:val="center"/>
              <w:rPr>
                <w:rFonts w:cs="Times New Roman"/>
                <w:color w:val="auto"/>
                <w:kern w:val="0"/>
                <w:sz w:val="20"/>
                <w:szCs w:val="20"/>
                <w:highlight w:val="none"/>
              </w:rPr>
            </w:pPr>
            <w:r>
              <w:rPr>
                <w:rFonts w:cs="Times New Roman"/>
                <w:color w:val="auto"/>
                <w:kern w:val="0"/>
                <w:sz w:val="20"/>
                <w:szCs w:val="20"/>
                <w:highlight w:val="none"/>
              </w:rPr>
              <w:t>W×C</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9" w:hRule="atLeast"/>
        </w:trPr>
        <w:tc>
          <w:tcPr>
            <w:tcW w:w="1061" w:type="pct"/>
            <w:vMerge w:val="continue"/>
            <w:vAlign w:val="center"/>
          </w:tcPr>
          <w:p>
            <w:pPr>
              <w:widowControl/>
              <w:spacing w:line="240" w:lineRule="auto"/>
              <w:ind w:firstLine="0" w:firstLineChars="0"/>
              <w:jc w:val="left"/>
              <w:rPr>
                <w:rFonts w:cs="Times New Roman"/>
                <w:color w:val="auto"/>
                <w:kern w:val="0"/>
                <w:sz w:val="20"/>
                <w:szCs w:val="20"/>
                <w:highlight w:val="none"/>
              </w:rPr>
            </w:pPr>
          </w:p>
        </w:tc>
        <w:tc>
          <w:tcPr>
            <w:tcW w:w="620" w:type="pct"/>
            <w:vMerge w:val="continue"/>
            <w:vAlign w:val="center"/>
          </w:tcPr>
          <w:p>
            <w:pPr>
              <w:widowControl/>
              <w:spacing w:line="240" w:lineRule="auto"/>
              <w:ind w:firstLine="0" w:firstLineChars="0"/>
              <w:jc w:val="left"/>
              <w:rPr>
                <w:rFonts w:cs="Times New Roman"/>
                <w:color w:val="auto"/>
                <w:kern w:val="0"/>
                <w:sz w:val="20"/>
                <w:szCs w:val="20"/>
                <w:highlight w:val="none"/>
              </w:rPr>
            </w:pPr>
          </w:p>
        </w:tc>
        <w:tc>
          <w:tcPr>
            <w:tcW w:w="553" w:type="pct"/>
            <w:shd w:val="clear" w:color="auto" w:fill="auto"/>
            <w:noWrap/>
            <w:vAlign w:val="center"/>
          </w:tcPr>
          <w:p>
            <w:pPr>
              <w:widowControl/>
              <w:spacing w:line="240" w:lineRule="auto"/>
              <w:ind w:firstLine="0" w:firstLineChars="0"/>
              <w:jc w:val="center"/>
              <w:rPr>
                <w:rFonts w:cs="Times New Roman"/>
                <w:color w:val="auto"/>
                <w:kern w:val="0"/>
                <w:sz w:val="20"/>
                <w:szCs w:val="20"/>
                <w:highlight w:val="none"/>
              </w:rPr>
            </w:pPr>
            <w:r>
              <w:rPr>
                <w:rFonts w:hint="eastAsia" w:ascii="宋体" w:hAnsi="宋体" w:cs="Times New Roman"/>
                <w:color w:val="auto"/>
                <w:kern w:val="0"/>
                <w:sz w:val="20"/>
                <w:szCs w:val="20"/>
                <w:highlight w:val="none"/>
              </w:rPr>
              <w:t>很小</w:t>
            </w:r>
            <w:r>
              <w:rPr>
                <w:rFonts w:cs="Times New Roman"/>
                <w:color w:val="auto"/>
                <w:kern w:val="0"/>
                <w:sz w:val="20"/>
                <w:szCs w:val="20"/>
                <w:highlight w:val="none"/>
              </w:rPr>
              <w:t>0.2</w:t>
            </w:r>
          </w:p>
        </w:tc>
        <w:tc>
          <w:tcPr>
            <w:tcW w:w="553" w:type="pct"/>
            <w:shd w:val="clear" w:color="auto" w:fill="auto"/>
            <w:noWrap/>
            <w:vAlign w:val="center"/>
          </w:tcPr>
          <w:p>
            <w:pPr>
              <w:widowControl/>
              <w:spacing w:line="240" w:lineRule="auto"/>
              <w:ind w:firstLine="0" w:firstLineChars="0"/>
              <w:jc w:val="center"/>
              <w:rPr>
                <w:rFonts w:cs="Times New Roman"/>
                <w:color w:val="auto"/>
                <w:kern w:val="0"/>
                <w:sz w:val="20"/>
                <w:szCs w:val="20"/>
                <w:highlight w:val="none"/>
              </w:rPr>
            </w:pPr>
            <w:r>
              <w:rPr>
                <w:rFonts w:hint="eastAsia" w:ascii="宋体" w:hAnsi="宋体" w:cs="Times New Roman"/>
                <w:color w:val="auto"/>
                <w:kern w:val="0"/>
                <w:sz w:val="20"/>
                <w:szCs w:val="20"/>
                <w:highlight w:val="none"/>
              </w:rPr>
              <w:t>较小</w:t>
            </w:r>
            <w:r>
              <w:rPr>
                <w:rFonts w:cs="Times New Roman"/>
                <w:color w:val="auto"/>
                <w:kern w:val="0"/>
                <w:sz w:val="20"/>
                <w:szCs w:val="20"/>
                <w:highlight w:val="none"/>
              </w:rPr>
              <w:t>0.4</w:t>
            </w:r>
          </w:p>
        </w:tc>
        <w:tc>
          <w:tcPr>
            <w:tcW w:w="553" w:type="pct"/>
            <w:shd w:val="clear" w:color="auto" w:fill="auto"/>
            <w:noWrap/>
            <w:vAlign w:val="center"/>
          </w:tcPr>
          <w:p>
            <w:pPr>
              <w:widowControl/>
              <w:spacing w:line="240" w:lineRule="auto"/>
              <w:ind w:firstLine="0" w:firstLineChars="0"/>
              <w:jc w:val="center"/>
              <w:rPr>
                <w:rFonts w:cs="Times New Roman"/>
                <w:color w:val="auto"/>
                <w:kern w:val="0"/>
                <w:sz w:val="20"/>
                <w:szCs w:val="20"/>
                <w:highlight w:val="none"/>
              </w:rPr>
            </w:pPr>
            <w:r>
              <w:rPr>
                <w:rFonts w:hint="eastAsia" w:ascii="宋体" w:hAnsi="宋体" w:cs="Times New Roman"/>
                <w:color w:val="auto"/>
                <w:kern w:val="0"/>
                <w:sz w:val="20"/>
                <w:szCs w:val="20"/>
                <w:highlight w:val="none"/>
              </w:rPr>
              <w:t>中等</w:t>
            </w:r>
            <w:r>
              <w:rPr>
                <w:rFonts w:cs="Times New Roman"/>
                <w:color w:val="auto"/>
                <w:kern w:val="0"/>
                <w:sz w:val="20"/>
                <w:szCs w:val="20"/>
                <w:highlight w:val="none"/>
              </w:rPr>
              <w:t>0.6</w:t>
            </w:r>
          </w:p>
        </w:tc>
        <w:tc>
          <w:tcPr>
            <w:tcW w:w="553" w:type="pct"/>
            <w:shd w:val="clear" w:color="auto" w:fill="auto"/>
            <w:noWrap/>
            <w:vAlign w:val="center"/>
          </w:tcPr>
          <w:p>
            <w:pPr>
              <w:widowControl/>
              <w:spacing w:line="240" w:lineRule="auto"/>
              <w:ind w:firstLine="0" w:firstLineChars="0"/>
              <w:jc w:val="center"/>
              <w:rPr>
                <w:rFonts w:cs="Times New Roman"/>
                <w:color w:val="auto"/>
                <w:kern w:val="0"/>
                <w:sz w:val="20"/>
                <w:szCs w:val="20"/>
                <w:highlight w:val="none"/>
              </w:rPr>
            </w:pPr>
            <w:r>
              <w:rPr>
                <w:rFonts w:hint="eastAsia" w:ascii="宋体" w:hAnsi="宋体" w:cs="Times New Roman"/>
                <w:color w:val="auto"/>
                <w:kern w:val="0"/>
                <w:sz w:val="20"/>
                <w:szCs w:val="20"/>
                <w:highlight w:val="none"/>
              </w:rPr>
              <w:t>较大</w:t>
            </w:r>
            <w:r>
              <w:rPr>
                <w:rFonts w:cs="Times New Roman"/>
                <w:color w:val="auto"/>
                <w:kern w:val="0"/>
                <w:sz w:val="20"/>
                <w:szCs w:val="20"/>
                <w:highlight w:val="none"/>
              </w:rPr>
              <w:t>0.8</w:t>
            </w:r>
          </w:p>
        </w:tc>
        <w:tc>
          <w:tcPr>
            <w:tcW w:w="555" w:type="pct"/>
            <w:shd w:val="clear" w:color="auto" w:fill="auto"/>
            <w:noWrap/>
            <w:vAlign w:val="center"/>
          </w:tcPr>
          <w:p>
            <w:pPr>
              <w:widowControl/>
              <w:spacing w:line="240" w:lineRule="auto"/>
              <w:ind w:firstLine="0" w:firstLineChars="0"/>
              <w:jc w:val="center"/>
              <w:rPr>
                <w:rFonts w:cs="Times New Roman"/>
                <w:color w:val="auto"/>
                <w:kern w:val="0"/>
                <w:sz w:val="20"/>
                <w:szCs w:val="20"/>
                <w:highlight w:val="none"/>
              </w:rPr>
            </w:pPr>
            <w:r>
              <w:rPr>
                <w:rFonts w:hint="eastAsia" w:ascii="宋体" w:hAnsi="宋体" w:cs="Times New Roman"/>
                <w:color w:val="auto"/>
                <w:kern w:val="0"/>
                <w:sz w:val="20"/>
                <w:szCs w:val="20"/>
                <w:highlight w:val="none"/>
              </w:rPr>
              <w:t>很大</w:t>
            </w:r>
            <w:r>
              <w:rPr>
                <w:rFonts w:cs="Times New Roman"/>
                <w:color w:val="auto"/>
                <w:kern w:val="0"/>
                <w:sz w:val="20"/>
                <w:szCs w:val="20"/>
                <w:highlight w:val="none"/>
              </w:rPr>
              <w:t>1.0</w:t>
            </w:r>
          </w:p>
        </w:tc>
        <w:tc>
          <w:tcPr>
            <w:tcW w:w="553" w:type="pct"/>
            <w:vMerge w:val="continue"/>
            <w:vAlign w:val="center"/>
          </w:tcPr>
          <w:p>
            <w:pPr>
              <w:widowControl/>
              <w:spacing w:line="240" w:lineRule="auto"/>
              <w:ind w:firstLine="0" w:firstLineChars="0"/>
              <w:jc w:val="left"/>
              <w:rPr>
                <w:rFonts w:cs="Times New Roman"/>
                <w:color w:val="auto"/>
                <w:kern w:val="0"/>
                <w:sz w:val="20"/>
                <w:szCs w:val="2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061"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项目合法性、</w:t>
            </w:r>
          </w:p>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合理性遭到质疑</w:t>
            </w:r>
          </w:p>
        </w:tc>
        <w:tc>
          <w:tcPr>
            <w:tcW w:w="620" w:type="pct"/>
            <w:shd w:val="clear" w:color="auto" w:fill="auto"/>
            <w:noWrap/>
            <w:vAlign w:val="center"/>
          </w:tcPr>
          <w:p>
            <w:pPr>
              <w:widowControl/>
              <w:spacing w:line="240" w:lineRule="auto"/>
              <w:ind w:firstLine="0" w:firstLineChars="0"/>
              <w:jc w:val="center"/>
              <w:rPr>
                <w:rFonts w:cs="Times New Roman"/>
                <w:color w:val="auto"/>
                <w:kern w:val="0"/>
                <w:sz w:val="20"/>
                <w:szCs w:val="20"/>
                <w:highlight w:val="none"/>
              </w:rPr>
            </w:pPr>
            <w:r>
              <w:rPr>
                <w:rFonts w:cs="Times New Roman"/>
                <w:color w:val="auto"/>
                <w:kern w:val="0"/>
                <w:sz w:val="20"/>
                <w:szCs w:val="20"/>
                <w:highlight w:val="none"/>
              </w:rPr>
              <w:t xml:space="preserve">0.20 </w:t>
            </w:r>
          </w:p>
        </w:tc>
        <w:tc>
          <w:tcPr>
            <w:tcW w:w="553" w:type="pct"/>
            <w:shd w:val="clear" w:color="auto" w:fill="auto"/>
            <w:noWrap/>
            <w:vAlign w:val="center"/>
          </w:tcPr>
          <w:p>
            <w:pPr>
              <w:widowControl/>
              <w:spacing w:line="240" w:lineRule="auto"/>
              <w:ind w:firstLine="0" w:firstLineChars="0"/>
              <w:jc w:val="center"/>
              <w:rPr>
                <w:rFonts w:cs="Times New Roman"/>
                <w:color w:val="auto"/>
                <w:kern w:val="0"/>
                <w:sz w:val="20"/>
                <w:szCs w:val="20"/>
                <w:highlight w:val="none"/>
              </w:rPr>
            </w:pPr>
            <w:r>
              <w:rPr>
                <w:rFonts w:cs="Times New Roman"/>
                <w:color w:val="auto"/>
                <w:kern w:val="0"/>
                <w:sz w:val="20"/>
                <w:szCs w:val="20"/>
                <w:highlight w:val="none"/>
              </w:rPr>
              <w:t>　</w:t>
            </w:r>
          </w:p>
        </w:tc>
        <w:tc>
          <w:tcPr>
            <w:tcW w:w="553" w:type="pct"/>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w:t>
            </w:r>
          </w:p>
        </w:tc>
        <w:tc>
          <w:tcPr>
            <w:tcW w:w="553" w:type="pct"/>
            <w:shd w:val="clear" w:color="auto" w:fill="auto"/>
            <w:noWrap/>
            <w:vAlign w:val="center"/>
          </w:tcPr>
          <w:p>
            <w:pPr>
              <w:widowControl/>
              <w:spacing w:line="240" w:lineRule="auto"/>
              <w:ind w:firstLine="0" w:firstLineChars="0"/>
              <w:jc w:val="center"/>
              <w:rPr>
                <w:rFonts w:cs="Times New Roman"/>
                <w:color w:val="auto"/>
                <w:kern w:val="0"/>
                <w:sz w:val="20"/>
                <w:szCs w:val="20"/>
                <w:highlight w:val="none"/>
              </w:rPr>
            </w:pPr>
            <w:r>
              <w:rPr>
                <w:rFonts w:cs="Times New Roman"/>
                <w:color w:val="auto"/>
                <w:kern w:val="0"/>
                <w:sz w:val="20"/>
                <w:szCs w:val="20"/>
                <w:highlight w:val="none"/>
              </w:rPr>
              <w:t>　</w:t>
            </w:r>
          </w:p>
        </w:tc>
        <w:tc>
          <w:tcPr>
            <w:tcW w:w="553" w:type="pct"/>
            <w:shd w:val="clear" w:color="auto" w:fill="auto"/>
            <w:noWrap/>
            <w:vAlign w:val="center"/>
          </w:tcPr>
          <w:p>
            <w:pPr>
              <w:widowControl/>
              <w:spacing w:line="240" w:lineRule="auto"/>
              <w:ind w:firstLine="0" w:firstLineChars="0"/>
              <w:jc w:val="center"/>
              <w:rPr>
                <w:rFonts w:cs="Times New Roman"/>
                <w:color w:val="auto"/>
                <w:kern w:val="0"/>
                <w:sz w:val="20"/>
                <w:szCs w:val="20"/>
                <w:highlight w:val="none"/>
              </w:rPr>
            </w:pPr>
            <w:r>
              <w:rPr>
                <w:rFonts w:cs="Times New Roman"/>
                <w:color w:val="auto"/>
                <w:kern w:val="0"/>
                <w:sz w:val="20"/>
                <w:szCs w:val="20"/>
                <w:highlight w:val="none"/>
              </w:rPr>
              <w:t>　</w:t>
            </w:r>
          </w:p>
        </w:tc>
        <w:tc>
          <w:tcPr>
            <w:tcW w:w="555" w:type="pct"/>
            <w:shd w:val="clear" w:color="auto" w:fill="auto"/>
            <w:noWrap/>
            <w:vAlign w:val="center"/>
          </w:tcPr>
          <w:p>
            <w:pPr>
              <w:widowControl/>
              <w:spacing w:line="240" w:lineRule="auto"/>
              <w:ind w:firstLine="0" w:firstLineChars="0"/>
              <w:jc w:val="center"/>
              <w:rPr>
                <w:rFonts w:cs="Times New Roman"/>
                <w:color w:val="auto"/>
                <w:kern w:val="0"/>
                <w:sz w:val="20"/>
                <w:szCs w:val="20"/>
                <w:highlight w:val="none"/>
              </w:rPr>
            </w:pPr>
            <w:r>
              <w:rPr>
                <w:rFonts w:cs="Times New Roman"/>
                <w:color w:val="auto"/>
                <w:kern w:val="0"/>
                <w:sz w:val="20"/>
                <w:szCs w:val="20"/>
                <w:highlight w:val="none"/>
              </w:rPr>
              <w:t>　</w:t>
            </w:r>
          </w:p>
        </w:tc>
        <w:tc>
          <w:tcPr>
            <w:tcW w:w="553" w:type="pct"/>
            <w:shd w:val="clear" w:color="auto" w:fill="auto"/>
            <w:noWrap/>
            <w:vAlign w:val="center"/>
          </w:tcPr>
          <w:p>
            <w:pPr>
              <w:widowControl/>
              <w:spacing w:line="240" w:lineRule="auto"/>
              <w:ind w:firstLine="0" w:firstLineChars="0"/>
              <w:jc w:val="center"/>
              <w:rPr>
                <w:rFonts w:cs="Times New Roman"/>
                <w:color w:val="auto"/>
                <w:kern w:val="0"/>
                <w:sz w:val="20"/>
                <w:szCs w:val="20"/>
                <w:highlight w:val="none"/>
              </w:rPr>
            </w:pPr>
            <w:r>
              <w:rPr>
                <w:rFonts w:cs="Times New Roman"/>
                <w:color w:val="auto"/>
                <w:kern w:val="0"/>
                <w:sz w:val="20"/>
                <w:szCs w:val="20"/>
                <w:highlight w:val="none"/>
              </w:rPr>
              <w:t xml:space="preserve">0.08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061"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项目可能造</w:t>
            </w:r>
            <w:r>
              <w:rPr>
                <w:rFonts w:hint="eastAsia" w:ascii="宋体" w:hAnsi="宋体"/>
                <w:color w:val="auto"/>
                <w:kern w:val="0"/>
                <w:sz w:val="20"/>
                <w:szCs w:val="20"/>
                <w:highlight w:val="none"/>
              </w:rPr>
              <w:br w:type="textWrapping"/>
            </w:r>
            <w:r>
              <w:rPr>
                <w:rFonts w:hint="eastAsia" w:ascii="宋体" w:hAnsi="宋体"/>
                <w:color w:val="auto"/>
                <w:kern w:val="0"/>
                <w:sz w:val="20"/>
                <w:szCs w:val="20"/>
                <w:highlight w:val="none"/>
              </w:rPr>
              <w:t>成环境破坏</w:t>
            </w:r>
          </w:p>
        </w:tc>
        <w:tc>
          <w:tcPr>
            <w:tcW w:w="620" w:type="pct"/>
            <w:shd w:val="clear" w:color="auto" w:fill="auto"/>
            <w:noWrap/>
            <w:vAlign w:val="center"/>
          </w:tcPr>
          <w:p>
            <w:pPr>
              <w:widowControl/>
              <w:spacing w:line="240" w:lineRule="auto"/>
              <w:ind w:firstLine="0" w:firstLineChars="0"/>
              <w:jc w:val="center"/>
              <w:rPr>
                <w:rFonts w:cs="Times New Roman"/>
                <w:color w:val="auto"/>
                <w:kern w:val="0"/>
                <w:sz w:val="20"/>
                <w:szCs w:val="20"/>
                <w:highlight w:val="none"/>
              </w:rPr>
            </w:pPr>
            <w:r>
              <w:rPr>
                <w:rFonts w:cs="Times New Roman"/>
                <w:color w:val="auto"/>
                <w:kern w:val="0"/>
                <w:sz w:val="20"/>
                <w:szCs w:val="20"/>
                <w:highlight w:val="none"/>
              </w:rPr>
              <w:t xml:space="preserve">0.30 </w:t>
            </w:r>
          </w:p>
        </w:tc>
        <w:tc>
          <w:tcPr>
            <w:tcW w:w="553" w:type="pct"/>
            <w:shd w:val="clear" w:color="auto" w:fill="auto"/>
            <w:noWrap/>
            <w:vAlign w:val="center"/>
          </w:tcPr>
          <w:p>
            <w:pPr>
              <w:widowControl/>
              <w:spacing w:line="240" w:lineRule="auto"/>
              <w:ind w:firstLine="0" w:firstLineChars="0"/>
              <w:jc w:val="center"/>
              <w:rPr>
                <w:rFonts w:cs="Times New Roman"/>
                <w:color w:val="auto"/>
                <w:kern w:val="0"/>
                <w:sz w:val="20"/>
                <w:szCs w:val="20"/>
                <w:highlight w:val="none"/>
              </w:rPr>
            </w:pPr>
            <w:r>
              <w:rPr>
                <w:rFonts w:cs="Times New Roman"/>
                <w:color w:val="auto"/>
                <w:kern w:val="0"/>
                <w:sz w:val="20"/>
                <w:szCs w:val="20"/>
                <w:highlight w:val="none"/>
              </w:rPr>
              <w:t>　</w:t>
            </w:r>
          </w:p>
        </w:tc>
        <w:tc>
          <w:tcPr>
            <w:tcW w:w="553" w:type="pct"/>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w:t>
            </w:r>
          </w:p>
        </w:tc>
        <w:tc>
          <w:tcPr>
            <w:tcW w:w="553" w:type="pct"/>
            <w:shd w:val="clear" w:color="auto" w:fill="auto"/>
            <w:noWrap/>
            <w:vAlign w:val="center"/>
          </w:tcPr>
          <w:p>
            <w:pPr>
              <w:widowControl/>
              <w:spacing w:line="240" w:lineRule="auto"/>
              <w:ind w:firstLine="0" w:firstLineChars="0"/>
              <w:jc w:val="center"/>
              <w:rPr>
                <w:rFonts w:cs="Times New Roman"/>
                <w:color w:val="auto"/>
                <w:kern w:val="0"/>
                <w:sz w:val="20"/>
                <w:szCs w:val="20"/>
                <w:highlight w:val="none"/>
              </w:rPr>
            </w:pPr>
            <w:r>
              <w:rPr>
                <w:rFonts w:cs="Times New Roman"/>
                <w:color w:val="auto"/>
                <w:kern w:val="0"/>
                <w:sz w:val="20"/>
                <w:szCs w:val="20"/>
                <w:highlight w:val="none"/>
              </w:rPr>
              <w:t>　</w:t>
            </w:r>
          </w:p>
        </w:tc>
        <w:tc>
          <w:tcPr>
            <w:tcW w:w="553" w:type="pct"/>
            <w:shd w:val="clear" w:color="auto" w:fill="auto"/>
            <w:noWrap/>
            <w:vAlign w:val="center"/>
          </w:tcPr>
          <w:p>
            <w:pPr>
              <w:widowControl/>
              <w:spacing w:line="240" w:lineRule="auto"/>
              <w:ind w:firstLine="0" w:firstLineChars="0"/>
              <w:jc w:val="center"/>
              <w:rPr>
                <w:rFonts w:cs="Times New Roman"/>
                <w:color w:val="auto"/>
                <w:kern w:val="0"/>
                <w:sz w:val="20"/>
                <w:szCs w:val="20"/>
                <w:highlight w:val="none"/>
              </w:rPr>
            </w:pPr>
            <w:r>
              <w:rPr>
                <w:rFonts w:cs="Times New Roman"/>
                <w:color w:val="auto"/>
                <w:kern w:val="0"/>
                <w:sz w:val="20"/>
                <w:szCs w:val="20"/>
                <w:highlight w:val="none"/>
              </w:rPr>
              <w:t>　</w:t>
            </w:r>
          </w:p>
        </w:tc>
        <w:tc>
          <w:tcPr>
            <w:tcW w:w="555" w:type="pct"/>
            <w:shd w:val="clear" w:color="auto" w:fill="auto"/>
            <w:noWrap/>
            <w:vAlign w:val="center"/>
          </w:tcPr>
          <w:p>
            <w:pPr>
              <w:widowControl/>
              <w:spacing w:line="240" w:lineRule="auto"/>
              <w:ind w:firstLine="0" w:firstLineChars="0"/>
              <w:jc w:val="center"/>
              <w:rPr>
                <w:rFonts w:cs="Times New Roman"/>
                <w:color w:val="auto"/>
                <w:kern w:val="0"/>
                <w:sz w:val="20"/>
                <w:szCs w:val="20"/>
                <w:highlight w:val="none"/>
              </w:rPr>
            </w:pPr>
            <w:r>
              <w:rPr>
                <w:rFonts w:cs="Times New Roman"/>
                <w:color w:val="auto"/>
                <w:kern w:val="0"/>
                <w:sz w:val="20"/>
                <w:szCs w:val="20"/>
                <w:highlight w:val="none"/>
              </w:rPr>
              <w:t>　</w:t>
            </w:r>
          </w:p>
        </w:tc>
        <w:tc>
          <w:tcPr>
            <w:tcW w:w="553" w:type="pct"/>
            <w:shd w:val="clear" w:color="auto" w:fill="auto"/>
            <w:noWrap/>
            <w:vAlign w:val="center"/>
          </w:tcPr>
          <w:p>
            <w:pPr>
              <w:widowControl/>
              <w:spacing w:line="240" w:lineRule="auto"/>
              <w:ind w:firstLine="0" w:firstLineChars="0"/>
              <w:jc w:val="center"/>
              <w:rPr>
                <w:rFonts w:cs="Times New Roman"/>
                <w:color w:val="auto"/>
                <w:kern w:val="0"/>
                <w:sz w:val="20"/>
                <w:szCs w:val="20"/>
                <w:highlight w:val="none"/>
              </w:rPr>
            </w:pPr>
            <w:r>
              <w:rPr>
                <w:rFonts w:cs="Times New Roman"/>
                <w:color w:val="auto"/>
                <w:kern w:val="0"/>
                <w:sz w:val="20"/>
                <w:szCs w:val="20"/>
                <w:highlight w:val="none"/>
              </w:rPr>
              <w:t xml:space="preserve">0.12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061"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群众抵制</w:t>
            </w:r>
            <w:r>
              <w:rPr>
                <w:rFonts w:hint="eastAsia" w:ascii="宋体" w:hAnsi="宋体"/>
                <w:color w:val="auto"/>
                <w:kern w:val="0"/>
                <w:sz w:val="20"/>
                <w:szCs w:val="20"/>
                <w:highlight w:val="none"/>
              </w:rPr>
              <w:br w:type="textWrapping"/>
            </w:r>
            <w:r>
              <w:rPr>
                <w:rFonts w:hint="eastAsia" w:ascii="宋体" w:hAnsi="宋体"/>
                <w:color w:val="auto"/>
                <w:kern w:val="0"/>
                <w:sz w:val="20"/>
                <w:szCs w:val="20"/>
                <w:highlight w:val="none"/>
              </w:rPr>
              <w:t>征地的风险</w:t>
            </w:r>
          </w:p>
        </w:tc>
        <w:tc>
          <w:tcPr>
            <w:tcW w:w="620" w:type="pct"/>
            <w:shd w:val="clear" w:color="auto" w:fill="auto"/>
            <w:noWrap/>
            <w:vAlign w:val="center"/>
          </w:tcPr>
          <w:p>
            <w:pPr>
              <w:widowControl/>
              <w:spacing w:line="240" w:lineRule="auto"/>
              <w:ind w:firstLine="0" w:firstLineChars="0"/>
              <w:jc w:val="center"/>
              <w:rPr>
                <w:rFonts w:cs="Times New Roman"/>
                <w:color w:val="auto"/>
                <w:kern w:val="0"/>
                <w:sz w:val="20"/>
                <w:szCs w:val="20"/>
                <w:highlight w:val="none"/>
              </w:rPr>
            </w:pPr>
            <w:r>
              <w:rPr>
                <w:rFonts w:cs="Times New Roman"/>
                <w:color w:val="auto"/>
                <w:kern w:val="0"/>
                <w:sz w:val="20"/>
                <w:szCs w:val="20"/>
                <w:highlight w:val="none"/>
              </w:rPr>
              <w:t xml:space="preserve">0.25 </w:t>
            </w:r>
          </w:p>
        </w:tc>
        <w:tc>
          <w:tcPr>
            <w:tcW w:w="553" w:type="pct"/>
            <w:shd w:val="clear" w:color="auto" w:fill="auto"/>
            <w:noWrap/>
            <w:vAlign w:val="center"/>
          </w:tcPr>
          <w:p>
            <w:pPr>
              <w:widowControl/>
              <w:spacing w:line="240" w:lineRule="auto"/>
              <w:ind w:firstLine="0" w:firstLineChars="0"/>
              <w:jc w:val="center"/>
              <w:rPr>
                <w:rFonts w:cs="Times New Roman"/>
                <w:color w:val="auto"/>
                <w:kern w:val="0"/>
                <w:sz w:val="20"/>
                <w:szCs w:val="20"/>
                <w:highlight w:val="none"/>
              </w:rPr>
            </w:pPr>
            <w:r>
              <w:rPr>
                <w:rFonts w:cs="Times New Roman"/>
                <w:color w:val="auto"/>
                <w:kern w:val="0"/>
                <w:sz w:val="20"/>
                <w:szCs w:val="20"/>
                <w:highlight w:val="none"/>
              </w:rPr>
              <w:t>　</w:t>
            </w:r>
          </w:p>
        </w:tc>
        <w:tc>
          <w:tcPr>
            <w:tcW w:w="553" w:type="pct"/>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w:t>
            </w:r>
          </w:p>
        </w:tc>
        <w:tc>
          <w:tcPr>
            <w:tcW w:w="553" w:type="pct"/>
            <w:shd w:val="clear" w:color="auto" w:fill="auto"/>
            <w:noWrap/>
            <w:vAlign w:val="center"/>
          </w:tcPr>
          <w:p>
            <w:pPr>
              <w:widowControl/>
              <w:spacing w:line="240" w:lineRule="auto"/>
              <w:ind w:firstLine="0" w:firstLineChars="0"/>
              <w:jc w:val="center"/>
              <w:rPr>
                <w:rFonts w:cs="Times New Roman"/>
                <w:color w:val="auto"/>
                <w:kern w:val="0"/>
                <w:sz w:val="20"/>
                <w:szCs w:val="20"/>
                <w:highlight w:val="none"/>
              </w:rPr>
            </w:pPr>
            <w:r>
              <w:rPr>
                <w:rFonts w:cs="Times New Roman"/>
                <w:color w:val="auto"/>
                <w:kern w:val="0"/>
                <w:sz w:val="20"/>
                <w:szCs w:val="20"/>
                <w:highlight w:val="none"/>
              </w:rPr>
              <w:t>　</w:t>
            </w:r>
          </w:p>
        </w:tc>
        <w:tc>
          <w:tcPr>
            <w:tcW w:w="553" w:type="pct"/>
            <w:shd w:val="clear" w:color="auto" w:fill="auto"/>
            <w:noWrap/>
            <w:vAlign w:val="center"/>
          </w:tcPr>
          <w:p>
            <w:pPr>
              <w:widowControl/>
              <w:spacing w:line="240" w:lineRule="auto"/>
              <w:ind w:firstLine="0" w:firstLineChars="0"/>
              <w:jc w:val="center"/>
              <w:rPr>
                <w:rFonts w:cs="Times New Roman"/>
                <w:color w:val="auto"/>
                <w:kern w:val="0"/>
                <w:sz w:val="20"/>
                <w:szCs w:val="20"/>
                <w:highlight w:val="none"/>
              </w:rPr>
            </w:pPr>
            <w:r>
              <w:rPr>
                <w:rFonts w:cs="Times New Roman"/>
                <w:color w:val="auto"/>
                <w:kern w:val="0"/>
                <w:sz w:val="20"/>
                <w:szCs w:val="20"/>
                <w:highlight w:val="none"/>
              </w:rPr>
              <w:t>　</w:t>
            </w:r>
          </w:p>
        </w:tc>
        <w:tc>
          <w:tcPr>
            <w:tcW w:w="555" w:type="pct"/>
            <w:shd w:val="clear" w:color="auto" w:fill="auto"/>
            <w:noWrap/>
            <w:vAlign w:val="center"/>
          </w:tcPr>
          <w:p>
            <w:pPr>
              <w:widowControl/>
              <w:spacing w:line="240" w:lineRule="auto"/>
              <w:ind w:firstLine="0" w:firstLineChars="0"/>
              <w:jc w:val="center"/>
              <w:rPr>
                <w:rFonts w:cs="Times New Roman"/>
                <w:color w:val="auto"/>
                <w:kern w:val="0"/>
                <w:sz w:val="20"/>
                <w:szCs w:val="20"/>
                <w:highlight w:val="none"/>
              </w:rPr>
            </w:pPr>
            <w:r>
              <w:rPr>
                <w:rFonts w:cs="Times New Roman"/>
                <w:color w:val="auto"/>
                <w:kern w:val="0"/>
                <w:sz w:val="20"/>
                <w:szCs w:val="20"/>
                <w:highlight w:val="none"/>
              </w:rPr>
              <w:t>　</w:t>
            </w:r>
          </w:p>
        </w:tc>
        <w:tc>
          <w:tcPr>
            <w:tcW w:w="553" w:type="pct"/>
            <w:shd w:val="clear" w:color="auto" w:fill="auto"/>
            <w:noWrap/>
            <w:vAlign w:val="center"/>
          </w:tcPr>
          <w:p>
            <w:pPr>
              <w:widowControl/>
              <w:spacing w:line="240" w:lineRule="auto"/>
              <w:ind w:firstLine="0" w:firstLineChars="0"/>
              <w:jc w:val="center"/>
              <w:rPr>
                <w:rFonts w:cs="Times New Roman"/>
                <w:color w:val="auto"/>
                <w:kern w:val="0"/>
                <w:sz w:val="20"/>
                <w:szCs w:val="20"/>
                <w:highlight w:val="none"/>
              </w:rPr>
            </w:pPr>
            <w:r>
              <w:rPr>
                <w:rFonts w:cs="Times New Roman"/>
                <w:color w:val="auto"/>
                <w:kern w:val="0"/>
                <w:sz w:val="20"/>
                <w:szCs w:val="20"/>
                <w:highlight w:val="none"/>
              </w:rPr>
              <w:t xml:space="preserve">0.10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00" w:hRule="atLeast"/>
        </w:trPr>
        <w:tc>
          <w:tcPr>
            <w:tcW w:w="1061" w:type="pct"/>
            <w:shd w:val="clear" w:color="auto" w:fill="auto"/>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项目可能引发的社会矛盾的风险</w:t>
            </w:r>
          </w:p>
        </w:tc>
        <w:tc>
          <w:tcPr>
            <w:tcW w:w="620" w:type="pct"/>
            <w:shd w:val="clear" w:color="auto" w:fill="auto"/>
            <w:noWrap/>
            <w:vAlign w:val="center"/>
          </w:tcPr>
          <w:p>
            <w:pPr>
              <w:widowControl/>
              <w:spacing w:line="240" w:lineRule="auto"/>
              <w:ind w:firstLine="0" w:firstLineChars="0"/>
              <w:jc w:val="center"/>
              <w:rPr>
                <w:rFonts w:cs="Times New Roman"/>
                <w:color w:val="auto"/>
                <w:kern w:val="0"/>
                <w:sz w:val="20"/>
                <w:szCs w:val="20"/>
                <w:highlight w:val="none"/>
              </w:rPr>
            </w:pPr>
            <w:r>
              <w:rPr>
                <w:rFonts w:cs="Times New Roman"/>
                <w:color w:val="auto"/>
                <w:kern w:val="0"/>
                <w:sz w:val="20"/>
                <w:szCs w:val="20"/>
                <w:highlight w:val="none"/>
              </w:rPr>
              <w:t xml:space="preserve">0.15 </w:t>
            </w:r>
          </w:p>
        </w:tc>
        <w:tc>
          <w:tcPr>
            <w:tcW w:w="553" w:type="pct"/>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w:t>
            </w:r>
          </w:p>
        </w:tc>
        <w:tc>
          <w:tcPr>
            <w:tcW w:w="553" w:type="pct"/>
            <w:shd w:val="clear" w:color="auto" w:fill="auto"/>
            <w:noWrap/>
            <w:vAlign w:val="center"/>
          </w:tcPr>
          <w:p>
            <w:pPr>
              <w:widowControl/>
              <w:spacing w:line="240" w:lineRule="auto"/>
              <w:ind w:firstLine="0" w:firstLineChars="0"/>
              <w:jc w:val="center"/>
              <w:rPr>
                <w:rFonts w:cs="Times New Roman"/>
                <w:color w:val="auto"/>
                <w:kern w:val="0"/>
                <w:sz w:val="20"/>
                <w:szCs w:val="20"/>
                <w:highlight w:val="none"/>
              </w:rPr>
            </w:pPr>
            <w:r>
              <w:rPr>
                <w:rFonts w:cs="Times New Roman"/>
                <w:color w:val="auto"/>
                <w:kern w:val="0"/>
                <w:sz w:val="20"/>
                <w:szCs w:val="20"/>
                <w:highlight w:val="none"/>
              </w:rPr>
              <w:t>　</w:t>
            </w:r>
          </w:p>
        </w:tc>
        <w:tc>
          <w:tcPr>
            <w:tcW w:w="553" w:type="pct"/>
            <w:shd w:val="clear" w:color="auto" w:fill="auto"/>
            <w:noWrap/>
            <w:vAlign w:val="center"/>
          </w:tcPr>
          <w:p>
            <w:pPr>
              <w:widowControl/>
              <w:spacing w:line="240" w:lineRule="auto"/>
              <w:ind w:firstLine="0" w:firstLineChars="0"/>
              <w:jc w:val="center"/>
              <w:rPr>
                <w:rFonts w:cs="Times New Roman"/>
                <w:color w:val="auto"/>
                <w:kern w:val="0"/>
                <w:sz w:val="20"/>
                <w:szCs w:val="20"/>
                <w:highlight w:val="none"/>
              </w:rPr>
            </w:pPr>
            <w:r>
              <w:rPr>
                <w:rFonts w:cs="Times New Roman"/>
                <w:color w:val="auto"/>
                <w:kern w:val="0"/>
                <w:sz w:val="20"/>
                <w:szCs w:val="20"/>
                <w:highlight w:val="none"/>
              </w:rPr>
              <w:t>　</w:t>
            </w:r>
          </w:p>
        </w:tc>
        <w:tc>
          <w:tcPr>
            <w:tcW w:w="553" w:type="pct"/>
            <w:shd w:val="clear" w:color="auto" w:fill="auto"/>
            <w:noWrap/>
            <w:vAlign w:val="center"/>
          </w:tcPr>
          <w:p>
            <w:pPr>
              <w:widowControl/>
              <w:spacing w:line="240" w:lineRule="auto"/>
              <w:ind w:firstLine="0" w:firstLineChars="0"/>
              <w:jc w:val="center"/>
              <w:rPr>
                <w:rFonts w:cs="Times New Roman"/>
                <w:color w:val="auto"/>
                <w:kern w:val="0"/>
                <w:sz w:val="20"/>
                <w:szCs w:val="20"/>
                <w:highlight w:val="none"/>
              </w:rPr>
            </w:pPr>
            <w:r>
              <w:rPr>
                <w:rFonts w:cs="Times New Roman"/>
                <w:color w:val="auto"/>
                <w:kern w:val="0"/>
                <w:sz w:val="20"/>
                <w:szCs w:val="20"/>
                <w:highlight w:val="none"/>
              </w:rPr>
              <w:t>　</w:t>
            </w:r>
          </w:p>
        </w:tc>
        <w:tc>
          <w:tcPr>
            <w:tcW w:w="555" w:type="pct"/>
            <w:shd w:val="clear" w:color="auto" w:fill="auto"/>
            <w:noWrap/>
            <w:vAlign w:val="center"/>
          </w:tcPr>
          <w:p>
            <w:pPr>
              <w:widowControl/>
              <w:spacing w:line="240" w:lineRule="auto"/>
              <w:ind w:firstLine="0" w:firstLineChars="0"/>
              <w:jc w:val="center"/>
              <w:rPr>
                <w:rFonts w:cs="Times New Roman"/>
                <w:color w:val="auto"/>
                <w:kern w:val="0"/>
                <w:sz w:val="20"/>
                <w:szCs w:val="20"/>
                <w:highlight w:val="none"/>
              </w:rPr>
            </w:pPr>
            <w:r>
              <w:rPr>
                <w:rFonts w:cs="Times New Roman"/>
                <w:color w:val="auto"/>
                <w:kern w:val="0"/>
                <w:sz w:val="20"/>
                <w:szCs w:val="20"/>
                <w:highlight w:val="none"/>
              </w:rPr>
              <w:t>　</w:t>
            </w:r>
          </w:p>
        </w:tc>
        <w:tc>
          <w:tcPr>
            <w:tcW w:w="553" w:type="pct"/>
            <w:shd w:val="clear" w:color="auto" w:fill="auto"/>
            <w:noWrap/>
            <w:vAlign w:val="center"/>
          </w:tcPr>
          <w:p>
            <w:pPr>
              <w:widowControl/>
              <w:spacing w:line="240" w:lineRule="auto"/>
              <w:ind w:firstLine="0" w:firstLineChars="0"/>
              <w:jc w:val="center"/>
              <w:rPr>
                <w:rFonts w:cs="Times New Roman"/>
                <w:color w:val="auto"/>
                <w:kern w:val="0"/>
                <w:sz w:val="20"/>
                <w:szCs w:val="20"/>
                <w:highlight w:val="none"/>
              </w:rPr>
            </w:pPr>
            <w:r>
              <w:rPr>
                <w:rFonts w:cs="Times New Roman"/>
                <w:color w:val="auto"/>
                <w:kern w:val="0"/>
                <w:sz w:val="20"/>
                <w:szCs w:val="20"/>
                <w:highlight w:val="none"/>
              </w:rPr>
              <w:t xml:space="preserve">0.03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9" w:hRule="atLeast"/>
        </w:trPr>
        <w:tc>
          <w:tcPr>
            <w:tcW w:w="4447" w:type="pct"/>
            <w:gridSpan w:val="7"/>
            <w:shd w:val="clear" w:color="auto" w:fill="auto"/>
            <w:noWrap/>
            <w:vAlign w:val="center"/>
          </w:tcPr>
          <w:p>
            <w:pPr>
              <w:widowControl/>
              <w:spacing w:line="240" w:lineRule="auto"/>
              <w:ind w:firstLine="0" w:firstLineChars="0"/>
              <w:jc w:val="center"/>
              <w:rPr>
                <w:rFonts w:ascii="宋体" w:hAnsi="宋体"/>
                <w:color w:val="auto"/>
                <w:kern w:val="0"/>
                <w:sz w:val="20"/>
                <w:szCs w:val="20"/>
                <w:highlight w:val="none"/>
              </w:rPr>
            </w:pPr>
            <w:r>
              <w:rPr>
                <w:rFonts w:hint="eastAsia" w:ascii="宋体" w:hAnsi="宋体"/>
                <w:color w:val="auto"/>
                <w:kern w:val="0"/>
                <w:sz w:val="20"/>
                <w:szCs w:val="20"/>
                <w:highlight w:val="none"/>
              </w:rPr>
              <w:t>综合风险</w:t>
            </w:r>
          </w:p>
        </w:tc>
        <w:tc>
          <w:tcPr>
            <w:tcW w:w="553" w:type="pct"/>
            <w:shd w:val="clear" w:color="auto" w:fill="auto"/>
            <w:noWrap/>
            <w:vAlign w:val="center"/>
          </w:tcPr>
          <w:p>
            <w:pPr>
              <w:widowControl/>
              <w:spacing w:line="240" w:lineRule="auto"/>
              <w:ind w:firstLine="0" w:firstLineChars="0"/>
              <w:jc w:val="center"/>
              <w:rPr>
                <w:rFonts w:cs="Times New Roman"/>
                <w:color w:val="auto"/>
                <w:kern w:val="0"/>
                <w:sz w:val="20"/>
                <w:szCs w:val="20"/>
                <w:highlight w:val="none"/>
              </w:rPr>
            </w:pPr>
            <w:r>
              <w:rPr>
                <w:rFonts w:cs="Times New Roman"/>
                <w:color w:val="auto"/>
                <w:kern w:val="0"/>
                <w:sz w:val="20"/>
                <w:szCs w:val="20"/>
                <w:highlight w:val="none"/>
              </w:rPr>
              <w:t xml:space="preserve">0.33 </w:t>
            </w:r>
          </w:p>
        </w:tc>
      </w:tr>
    </w:tbl>
    <w:p>
      <w:pPr>
        <w:ind w:firstLine="480"/>
        <w:rPr>
          <w:color w:val="auto"/>
          <w:highlight w:val="none"/>
        </w:rPr>
      </w:pPr>
      <w:r>
        <w:rPr>
          <w:rFonts w:hint="eastAsia"/>
          <w:color w:val="auto"/>
          <w:highlight w:val="none"/>
        </w:rPr>
        <w:t>从上表可看出，本项目可能引发的不利于社会稳定的综合风险值为0.33，风险程度低，风险等级为低风险。意味着项目实施过程中出现群体性事件的可能性不大，但不排除会发生个体矛盾冲突的可能。</w:t>
      </w:r>
    </w:p>
    <w:p>
      <w:pPr>
        <w:ind w:firstLine="480"/>
        <w:rPr>
          <w:color w:val="auto"/>
          <w:highlight w:val="none"/>
        </w:rPr>
      </w:pPr>
      <w:r>
        <w:rPr>
          <w:rFonts w:hint="eastAsia"/>
          <w:color w:val="auto"/>
          <w:highlight w:val="none"/>
        </w:rPr>
        <w:t>综合评价，该工程项目社会稳定风险等级为低风险，拟采取的系列风险防范措施，在一定程度上会起到降低以致消除社会风险的效果。</w:t>
      </w:r>
    </w:p>
    <w:p>
      <w:pPr>
        <w:pStyle w:val="3"/>
        <w:rPr>
          <w:color w:val="auto"/>
          <w:highlight w:val="none"/>
        </w:rPr>
      </w:pPr>
      <w:bookmarkStart w:id="180" w:name="_Toc29273"/>
      <w:r>
        <w:rPr>
          <w:rFonts w:hint="eastAsia"/>
          <w:color w:val="auto"/>
          <w:highlight w:val="none"/>
        </w:rPr>
        <w:t>16.7风险分析结论</w:t>
      </w:r>
      <w:bookmarkEnd w:id="180"/>
    </w:p>
    <w:p>
      <w:pPr>
        <w:pStyle w:val="4"/>
        <w:rPr>
          <w:color w:val="auto"/>
          <w:highlight w:val="none"/>
        </w:rPr>
      </w:pPr>
      <w:r>
        <w:rPr>
          <w:rFonts w:hint="eastAsia"/>
          <w:color w:val="auto"/>
          <w:highlight w:val="none"/>
        </w:rPr>
        <w:t>16.7.1 主要风险因素</w:t>
      </w:r>
    </w:p>
    <w:p>
      <w:pPr>
        <w:ind w:firstLine="480"/>
        <w:rPr>
          <w:color w:val="auto"/>
          <w:highlight w:val="none"/>
        </w:rPr>
      </w:pPr>
      <w:r>
        <w:rPr>
          <w:rFonts w:hint="eastAsia"/>
          <w:color w:val="auto"/>
          <w:highlight w:val="none"/>
        </w:rPr>
        <w:t>经分析，社会稳定风险影响主要因素有群众支持问题、受损补偿问题、工程建设对地区生态环境影响问题、工程建设与当地基础设施建设协调问题、利益诉求问题和社会治安问题以及其他不可预见性问题等。</w:t>
      </w:r>
    </w:p>
    <w:p>
      <w:pPr>
        <w:ind w:firstLine="480"/>
        <w:rPr>
          <w:color w:val="auto"/>
          <w:highlight w:val="none"/>
        </w:rPr>
      </w:pPr>
      <w:r>
        <w:rPr>
          <w:rFonts w:hint="eastAsia"/>
          <w:color w:val="auto"/>
          <w:highlight w:val="none"/>
        </w:rPr>
        <w:t>综合归为如下4类风险：项目合法性及合理性遭质疑的风险、项目可能造成环境破坏的风险、项目可能引发的社会矛盾的风险、群众抵制征地的风险。</w:t>
      </w:r>
    </w:p>
    <w:p>
      <w:pPr>
        <w:pStyle w:val="4"/>
        <w:rPr>
          <w:color w:val="auto"/>
          <w:highlight w:val="none"/>
        </w:rPr>
      </w:pPr>
      <w:r>
        <w:rPr>
          <w:rFonts w:hint="eastAsia"/>
          <w:color w:val="auto"/>
          <w:highlight w:val="none"/>
        </w:rPr>
        <w:t>16.7.2 主要风险防范、化解措施</w:t>
      </w:r>
    </w:p>
    <w:p>
      <w:pPr>
        <w:ind w:firstLine="480"/>
        <w:rPr>
          <w:color w:val="auto"/>
          <w:highlight w:val="none"/>
        </w:rPr>
      </w:pPr>
      <w:r>
        <w:rPr>
          <w:rFonts w:hint="eastAsia"/>
          <w:color w:val="auto"/>
          <w:highlight w:val="none"/>
        </w:rPr>
        <w:t>根据本工程的特点，针对主要风险因素，进一步落实风险防范措施，以及责任主体及协助单位。</w:t>
      </w:r>
    </w:p>
    <w:p>
      <w:pPr>
        <w:ind w:firstLine="480"/>
        <w:rPr>
          <w:color w:val="auto"/>
          <w:highlight w:val="none"/>
        </w:rPr>
      </w:pPr>
      <w:r>
        <w:rPr>
          <w:rFonts w:hint="eastAsia"/>
          <w:color w:val="auto"/>
          <w:highlight w:val="none"/>
        </w:rPr>
        <w:t>在决策规划阶段，充分考虑各因素，由水行政主管部门协同设计单位、地方政府等部门制定完善的规划方案，力争将风险降到最低；在准备、实施及运行阶段由项目法人协同地方水行政主管部门、地府政府（区、乡镇）部门、施工及监理单位、设计单位等部门，认真执行规划方案，在满足相关法律、法规及规程的前提下，防范和及时化解风险，保证工程顺利实施并发挥应有的效益。</w:t>
      </w:r>
    </w:p>
    <w:p>
      <w:pPr>
        <w:ind w:firstLine="480"/>
        <w:rPr>
          <w:color w:val="auto"/>
          <w:highlight w:val="none"/>
        </w:rPr>
      </w:pPr>
      <w:r>
        <w:rPr>
          <w:rFonts w:hint="eastAsia"/>
          <w:color w:val="auto"/>
          <w:highlight w:val="none"/>
        </w:rPr>
        <w:t>为了预防和有效处置本工程建设中的群体事件，在相关县公安机关要在县委、县政府的统一领导下，特制定相关应急预案，维护社会稳定，促进经济社会和谐发展。</w:t>
      </w:r>
    </w:p>
    <w:p>
      <w:pPr>
        <w:pStyle w:val="4"/>
        <w:rPr>
          <w:color w:val="auto"/>
          <w:highlight w:val="none"/>
        </w:rPr>
      </w:pPr>
      <w:r>
        <w:rPr>
          <w:rFonts w:hint="eastAsia"/>
          <w:color w:val="auto"/>
          <w:highlight w:val="none"/>
        </w:rPr>
        <w:t>16.7.3 风险等级</w:t>
      </w:r>
    </w:p>
    <w:p>
      <w:pPr>
        <w:ind w:firstLine="480"/>
        <w:rPr>
          <w:color w:val="auto"/>
          <w:highlight w:val="none"/>
        </w:rPr>
      </w:pPr>
      <w:r>
        <w:rPr>
          <w:rFonts w:hint="eastAsia"/>
          <w:color w:val="auto"/>
          <w:highlight w:val="none"/>
        </w:rPr>
        <w:t>本项目可能引发的不利于社会稳定的综合风险值为0.33，风险等级为低风险，意味着项目实施过程中出现群体性事件的可能性不大，但不排除会发生个体矛盾冲突的可能。拟采取的系列风险防范措施，在一定程度上会起到降低以致消除社会风险的效果。</w:t>
      </w:r>
    </w:p>
    <w:p>
      <w:pPr>
        <w:pStyle w:val="4"/>
        <w:rPr>
          <w:color w:val="auto"/>
          <w:highlight w:val="none"/>
        </w:rPr>
      </w:pPr>
      <w:r>
        <w:rPr>
          <w:rFonts w:hint="eastAsia"/>
          <w:color w:val="auto"/>
          <w:highlight w:val="none"/>
        </w:rPr>
        <w:t>16.7.4 结论与建议</w:t>
      </w:r>
    </w:p>
    <w:p>
      <w:pPr>
        <w:ind w:firstLine="480"/>
        <w:rPr>
          <w:color w:val="auto"/>
          <w:highlight w:val="none"/>
        </w:rPr>
      </w:pPr>
      <w:r>
        <w:rPr>
          <w:rFonts w:hint="eastAsia"/>
          <w:color w:val="auto"/>
          <w:highlight w:val="none"/>
        </w:rPr>
        <w:t>实施本工程，能够缓解峄城区水资源匮乏的现状，解决峄城区人民群众用水难的问题，有利于地区经济、社会和环境的协调发展，对促进当地生态文明建设具有重要的意义。</w:t>
      </w:r>
    </w:p>
    <w:p>
      <w:pPr>
        <w:ind w:firstLine="480"/>
        <w:rPr>
          <w:color w:val="auto"/>
          <w:highlight w:val="none"/>
        </w:rPr>
      </w:pPr>
      <w:r>
        <w:rPr>
          <w:rFonts w:hint="eastAsia"/>
          <w:color w:val="auto"/>
          <w:highlight w:val="none"/>
        </w:rPr>
        <w:t>本工程符合地区社会发展规划、国家产业政策等，符合相关行业准入标准；本工程符合土地利用规划要求，具有显著的环境效益；本工程设计、实施技术成熟，不存在工程建设的重大技术难题，经济上合理可行，且工程效益显著。</w:t>
      </w:r>
    </w:p>
    <w:p>
      <w:pPr>
        <w:ind w:firstLine="480"/>
        <w:rPr>
          <w:color w:val="auto"/>
          <w:highlight w:val="none"/>
        </w:rPr>
      </w:pPr>
      <w:r>
        <w:rPr>
          <w:rFonts w:hint="eastAsia"/>
          <w:color w:val="auto"/>
          <w:highlight w:val="none"/>
        </w:rPr>
        <w:t>该建设项目社会稳定风险程度低，拟采取的系列风险防范措施，在一定程度上会起到降低以致消除社会风险的效果，因此建设项目安全性是可以保障的。</w:t>
      </w:r>
    </w:p>
    <w:p>
      <w:pPr>
        <w:ind w:firstLine="480"/>
        <w:rPr>
          <w:color w:val="auto"/>
          <w:highlight w:val="none"/>
        </w:rPr>
      </w:pPr>
    </w:p>
    <w:p>
      <w:pPr>
        <w:ind w:firstLine="480"/>
        <w:rPr>
          <w:color w:val="auto"/>
          <w:highlight w:val="none"/>
        </w:rPr>
      </w:pPr>
    </w:p>
    <w:p>
      <w:pPr>
        <w:widowControl/>
        <w:spacing w:line="240" w:lineRule="auto"/>
        <w:ind w:firstLine="0" w:firstLineChars="0"/>
        <w:jc w:val="left"/>
        <w:rPr>
          <w:color w:val="auto"/>
          <w:highlight w:val="none"/>
        </w:rPr>
      </w:pPr>
      <w:r>
        <w:rPr>
          <w:color w:val="auto"/>
          <w:highlight w:val="none"/>
        </w:rPr>
        <w:br w:type="page"/>
      </w:r>
    </w:p>
    <w:p>
      <w:pPr>
        <w:pStyle w:val="2"/>
        <w:rPr>
          <w:color w:val="auto"/>
          <w:highlight w:val="none"/>
        </w:rPr>
      </w:pPr>
      <w:bookmarkStart w:id="181" w:name="_Toc1832"/>
      <w:r>
        <w:rPr>
          <w:rFonts w:hint="eastAsia"/>
          <w:color w:val="auto"/>
          <w:highlight w:val="none"/>
        </w:rPr>
        <w:t>17结论与建议</w:t>
      </w:r>
      <w:bookmarkEnd w:id="181"/>
    </w:p>
    <w:p>
      <w:pPr>
        <w:ind w:firstLine="480"/>
        <w:jc w:val="left"/>
        <w:rPr>
          <w:rStyle w:val="141"/>
          <w:rFonts w:hint="default"/>
          <w:color w:val="auto"/>
          <w:highlight w:val="none"/>
        </w:rPr>
      </w:pPr>
      <w:r>
        <w:rPr>
          <w:rStyle w:val="141"/>
          <w:rFonts w:hint="default"/>
          <w:color w:val="auto"/>
          <w:highlight w:val="none"/>
        </w:rPr>
        <w:t>枣庄市峄城区现状水资源匮乏，通过本工程的实施，可以全面缓解峄城区水资源匮乏的现状，实现流域内社会、经济和环境的可持续发展，为工农业可持续发展打下良好基础。</w:t>
      </w:r>
    </w:p>
    <w:p>
      <w:pPr>
        <w:ind w:firstLine="480"/>
        <w:jc w:val="left"/>
        <w:rPr>
          <w:color w:val="auto"/>
          <w:highlight w:val="none"/>
        </w:rPr>
      </w:pPr>
      <w:r>
        <w:rPr>
          <w:rStyle w:val="141"/>
          <w:rFonts w:hint="default"/>
          <w:color w:val="auto"/>
          <w:highlight w:val="none"/>
        </w:rPr>
        <w:t>综上所述，该工程社会效益显著，经济可行，工程建设是十分必要的，更是枣庄市、峄城区两级党委、政府和广大人民群众的迫切愿望，建议尽早批复实施</w:t>
      </w:r>
    </w:p>
    <w:p>
      <w:pPr>
        <w:ind w:firstLine="480"/>
        <w:rPr>
          <w:color w:val="auto"/>
          <w:highlight w:val="none"/>
        </w:rPr>
      </w:pPr>
    </w:p>
    <w:sectPr>
      <w:pgSz w:w="11906" w:h="16838"/>
      <w:pgMar w:top="1440" w:right="1797" w:bottom="1440" w:left="1797" w:header="851" w:footer="992" w:gutter="0"/>
      <w:cols w:space="720"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TimesNewRoman">
    <w:altName w:val="Times New Roman"/>
    <w:panose1 w:val="00000000000000000000"/>
    <w:charset w:val="00"/>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Georgia">
    <w:panose1 w:val="02040502050405020303"/>
    <w:charset w:val="00"/>
    <w:family w:val="roman"/>
    <w:pitch w:val="default"/>
    <w:sig w:usb0="00000287" w:usb1="00000000" w:usb2="00000000" w:usb3="00000000" w:csb0="200000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74201638"/>
      <w:docPartObj>
        <w:docPartGallery w:val="autotext"/>
      </w:docPartObj>
    </w:sdtPr>
    <w:sdtContent>
      <w:p>
        <w:pPr>
          <w:pStyle w:val="22"/>
          <w:ind w:firstLine="360"/>
          <w:jc w:val="center"/>
        </w:pPr>
        <w:r>
          <w:fldChar w:fldCharType="begin"/>
        </w:r>
        <w:r>
          <w:instrText xml:space="preserve">PAGE   \* MERGEFORMAT</w:instrText>
        </w:r>
        <w:r>
          <w:fldChar w:fldCharType="separate"/>
        </w:r>
        <w:r>
          <w:rPr>
            <w:lang w:val="zh-CN"/>
          </w:rPr>
          <w:t>4</w:t>
        </w:r>
        <w:r>
          <w:fldChar w:fldCharType="end"/>
        </w:r>
      </w:p>
    </w:sdtContent>
  </w:sdt>
  <w:p>
    <w:pPr>
      <w:pStyle w:val="2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left" w:pos="2820"/>
        <w:tab w:val="clear" w:pos="4153"/>
        <w:tab w:val="clear" w:pos="8306"/>
      </w:tabs>
      <w:spacing w:before="24" w:after="24"/>
      <w:ind w:firstLine="0" w:firstLineChars="0"/>
      <w:jc w:val="center"/>
    </w:pPr>
    <w:r>
      <w:rPr>
        <w:kern w:val="0"/>
        <w:szCs w:val="21"/>
      </w:rPr>
      <w:fldChar w:fldCharType="begin"/>
    </w:r>
    <w:r>
      <w:rPr>
        <w:kern w:val="0"/>
        <w:szCs w:val="21"/>
      </w:rPr>
      <w:instrText xml:space="preserve"> PAGE </w:instrText>
    </w:r>
    <w:r>
      <w:rPr>
        <w:kern w:val="0"/>
        <w:szCs w:val="21"/>
      </w:rPr>
      <w:fldChar w:fldCharType="separate"/>
    </w:r>
    <w:r>
      <w:rPr>
        <w:kern w:val="0"/>
        <w:szCs w:val="21"/>
      </w:rPr>
      <w:t>17</w:t>
    </w:r>
    <w:r>
      <w:rPr>
        <w:kern w:val="0"/>
        <w:szCs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6321341"/>
      <w:docPartObj>
        <w:docPartGallery w:val="autotext"/>
      </w:docPartObj>
    </w:sdtPr>
    <w:sdtContent>
      <w:p>
        <w:pPr>
          <w:pStyle w:val="22"/>
          <w:ind w:firstLine="360"/>
          <w:jc w:val="center"/>
        </w:pPr>
        <w:r>
          <w:fldChar w:fldCharType="begin"/>
        </w:r>
        <w:r>
          <w:instrText xml:space="preserve"> PAGE   \* MERGEFORMAT </w:instrText>
        </w:r>
        <w:r>
          <w:fldChar w:fldCharType="separate"/>
        </w:r>
        <w:r>
          <w:rPr>
            <w:lang w:val="zh-CN"/>
          </w:rPr>
          <w:t>205</w:t>
        </w:r>
        <w:r>
          <w:fldChar w:fldCharType="end"/>
        </w:r>
      </w:p>
    </w:sdtContent>
  </w:sdt>
  <w:p>
    <w:pPr>
      <w:pStyle w:val="2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spacing w:before="24" w:after="24"/>
      <w:ind w:firstLine="360"/>
      <w:jc w:val="right"/>
      <w:rPr>
        <w:szCs w:val="21"/>
      </w:rPr>
    </w:pPr>
    <w:r>
      <w:rPr>
        <w:rFonts w:hint="eastAsia"/>
      </w:rPr>
      <w:t>峄城大沙河防洪排涝工程可行性研究报告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spacing w:before="24" w:after="24"/>
      <w:ind w:firstLine="360"/>
      <w:jc w:val="right"/>
    </w:pPr>
    <w:r>
      <w:rPr>
        <w:rFonts w:hint="eastAsia"/>
      </w:rPr>
      <w:t>峄城区城乡供水一体化工程可行性研究报告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spacing w:before="24" w:after="24"/>
      <w:ind w:firstLine="360"/>
      <w:jc w:val="right"/>
      <w:rPr>
        <w:szCs w:val="21"/>
      </w:rPr>
    </w:pPr>
    <w:r>
      <w:rPr>
        <w:rFonts w:hint="eastAsia"/>
      </w:rPr>
      <w:t>峄城区城乡供水一体化工程可行性研究报告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spacing w:before="24" w:after="24"/>
      <w:ind w:firstLine="360"/>
      <w:jc w:val="right"/>
      <w:rPr>
        <w:szCs w:val="21"/>
      </w:rPr>
    </w:pPr>
    <w:r>
      <w:rPr>
        <w:rFonts w:hint="eastAsia"/>
      </w:rPr>
      <w:t>峄城区城乡供水一体化工程可行性研究报告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F113CF2"/>
    <w:multiLevelType w:val="multilevel"/>
    <w:tmpl w:val="3F113CF2"/>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60D"/>
    <w:rsid w:val="00000A6B"/>
    <w:rsid w:val="00000DF4"/>
    <w:rsid w:val="0000124F"/>
    <w:rsid w:val="00001A66"/>
    <w:rsid w:val="00001B3C"/>
    <w:rsid w:val="00001DE7"/>
    <w:rsid w:val="00002224"/>
    <w:rsid w:val="00002933"/>
    <w:rsid w:val="00002D8E"/>
    <w:rsid w:val="00003139"/>
    <w:rsid w:val="000033F1"/>
    <w:rsid w:val="000034D8"/>
    <w:rsid w:val="00003F1E"/>
    <w:rsid w:val="0000423A"/>
    <w:rsid w:val="00004BF9"/>
    <w:rsid w:val="00004CE5"/>
    <w:rsid w:val="00005455"/>
    <w:rsid w:val="000056A6"/>
    <w:rsid w:val="00005794"/>
    <w:rsid w:val="0000583D"/>
    <w:rsid w:val="00005867"/>
    <w:rsid w:val="00005963"/>
    <w:rsid w:val="0000599E"/>
    <w:rsid w:val="00005CA5"/>
    <w:rsid w:val="00005CC4"/>
    <w:rsid w:val="00005E04"/>
    <w:rsid w:val="00006500"/>
    <w:rsid w:val="00006C3D"/>
    <w:rsid w:val="00006D11"/>
    <w:rsid w:val="00007238"/>
    <w:rsid w:val="00010086"/>
    <w:rsid w:val="00010491"/>
    <w:rsid w:val="0001049F"/>
    <w:rsid w:val="0001067E"/>
    <w:rsid w:val="000111A9"/>
    <w:rsid w:val="000115AE"/>
    <w:rsid w:val="00011AEE"/>
    <w:rsid w:val="00011C4B"/>
    <w:rsid w:val="00011DC5"/>
    <w:rsid w:val="00011E47"/>
    <w:rsid w:val="00012022"/>
    <w:rsid w:val="000122EA"/>
    <w:rsid w:val="000125AD"/>
    <w:rsid w:val="000128C6"/>
    <w:rsid w:val="0001296B"/>
    <w:rsid w:val="00012FC0"/>
    <w:rsid w:val="00013363"/>
    <w:rsid w:val="00013A3A"/>
    <w:rsid w:val="000142CE"/>
    <w:rsid w:val="00014E7C"/>
    <w:rsid w:val="00015B39"/>
    <w:rsid w:val="00016D34"/>
    <w:rsid w:val="0001714E"/>
    <w:rsid w:val="00020874"/>
    <w:rsid w:val="000211C4"/>
    <w:rsid w:val="00021599"/>
    <w:rsid w:val="00021604"/>
    <w:rsid w:val="00021DF4"/>
    <w:rsid w:val="00022265"/>
    <w:rsid w:val="00022402"/>
    <w:rsid w:val="00022A16"/>
    <w:rsid w:val="00022E76"/>
    <w:rsid w:val="000231F4"/>
    <w:rsid w:val="0002372B"/>
    <w:rsid w:val="00023BFE"/>
    <w:rsid w:val="00023DC1"/>
    <w:rsid w:val="00023FBE"/>
    <w:rsid w:val="000247C2"/>
    <w:rsid w:val="00026EA5"/>
    <w:rsid w:val="00027497"/>
    <w:rsid w:val="00027812"/>
    <w:rsid w:val="00027AE4"/>
    <w:rsid w:val="00027CA5"/>
    <w:rsid w:val="00030810"/>
    <w:rsid w:val="000309EF"/>
    <w:rsid w:val="00030E73"/>
    <w:rsid w:val="0003113B"/>
    <w:rsid w:val="0003174E"/>
    <w:rsid w:val="00031FFF"/>
    <w:rsid w:val="000325D5"/>
    <w:rsid w:val="00033BA1"/>
    <w:rsid w:val="00033CE2"/>
    <w:rsid w:val="00034398"/>
    <w:rsid w:val="00034CCC"/>
    <w:rsid w:val="0003522A"/>
    <w:rsid w:val="0003560D"/>
    <w:rsid w:val="00035995"/>
    <w:rsid w:val="00035A28"/>
    <w:rsid w:val="00035F94"/>
    <w:rsid w:val="00036158"/>
    <w:rsid w:val="0003765F"/>
    <w:rsid w:val="000377E0"/>
    <w:rsid w:val="0004012F"/>
    <w:rsid w:val="0004023E"/>
    <w:rsid w:val="00040C7A"/>
    <w:rsid w:val="000414B9"/>
    <w:rsid w:val="0004168D"/>
    <w:rsid w:val="00041A5C"/>
    <w:rsid w:val="0004271B"/>
    <w:rsid w:val="00042A91"/>
    <w:rsid w:val="00042D57"/>
    <w:rsid w:val="00043429"/>
    <w:rsid w:val="0004355D"/>
    <w:rsid w:val="00043AE9"/>
    <w:rsid w:val="00043B5D"/>
    <w:rsid w:val="00043B89"/>
    <w:rsid w:val="00043C8C"/>
    <w:rsid w:val="00043F0A"/>
    <w:rsid w:val="000449DE"/>
    <w:rsid w:val="00044DA8"/>
    <w:rsid w:val="00045120"/>
    <w:rsid w:val="00045309"/>
    <w:rsid w:val="0004653D"/>
    <w:rsid w:val="000466CA"/>
    <w:rsid w:val="00046E00"/>
    <w:rsid w:val="00046F9B"/>
    <w:rsid w:val="000477F3"/>
    <w:rsid w:val="00047886"/>
    <w:rsid w:val="00050292"/>
    <w:rsid w:val="000506AE"/>
    <w:rsid w:val="000508D3"/>
    <w:rsid w:val="00050B73"/>
    <w:rsid w:val="00050F08"/>
    <w:rsid w:val="00051387"/>
    <w:rsid w:val="00051510"/>
    <w:rsid w:val="000517E8"/>
    <w:rsid w:val="000517F2"/>
    <w:rsid w:val="00051B8F"/>
    <w:rsid w:val="00051DBD"/>
    <w:rsid w:val="000520E5"/>
    <w:rsid w:val="00052F19"/>
    <w:rsid w:val="00053885"/>
    <w:rsid w:val="00053998"/>
    <w:rsid w:val="00053CF0"/>
    <w:rsid w:val="00053FCB"/>
    <w:rsid w:val="00055403"/>
    <w:rsid w:val="000554D7"/>
    <w:rsid w:val="000557AA"/>
    <w:rsid w:val="0005605C"/>
    <w:rsid w:val="0005632D"/>
    <w:rsid w:val="0005645E"/>
    <w:rsid w:val="0005695B"/>
    <w:rsid w:val="00056C83"/>
    <w:rsid w:val="00056FE2"/>
    <w:rsid w:val="000574F2"/>
    <w:rsid w:val="00057BBB"/>
    <w:rsid w:val="00057F31"/>
    <w:rsid w:val="00060296"/>
    <w:rsid w:val="000603FB"/>
    <w:rsid w:val="000606A7"/>
    <w:rsid w:val="00061472"/>
    <w:rsid w:val="0006172C"/>
    <w:rsid w:val="00061AC8"/>
    <w:rsid w:val="00061B62"/>
    <w:rsid w:val="00061C87"/>
    <w:rsid w:val="000622CA"/>
    <w:rsid w:val="000629C7"/>
    <w:rsid w:val="0006316C"/>
    <w:rsid w:val="00063631"/>
    <w:rsid w:val="0006405B"/>
    <w:rsid w:val="000641C5"/>
    <w:rsid w:val="00064CFC"/>
    <w:rsid w:val="00065333"/>
    <w:rsid w:val="00065624"/>
    <w:rsid w:val="00065A14"/>
    <w:rsid w:val="00066434"/>
    <w:rsid w:val="000664F2"/>
    <w:rsid w:val="000669B6"/>
    <w:rsid w:val="00067F43"/>
    <w:rsid w:val="0007018D"/>
    <w:rsid w:val="00070B1E"/>
    <w:rsid w:val="00070CED"/>
    <w:rsid w:val="00071111"/>
    <w:rsid w:val="00071660"/>
    <w:rsid w:val="00072234"/>
    <w:rsid w:val="00072CD9"/>
    <w:rsid w:val="00072E46"/>
    <w:rsid w:val="00073F2F"/>
    <w:rsid w:val="000740BC"/>
    <w:rsid w:val="000756CF"/>
    <w:rsid w:val="00075B00"/>
    <w:rsid w:val="0007623D"/>
    <w:rsid w:val="000762A5"/>
    <w:rsid w:val="00076C13"/>
    <w:rsid w:val="00077305"/>
    <w:rsid w:val="00077769"/>
    <w:rsid w:val="000777F6"/>
    <w:rsid w:val="00077B1C"/>
    <w:rsid w:val="0008065E"/>
    <w:rsid w:val="00080829"/>
    <w:rsid w:val="000809FE"/>
    <w:rsid w:val="0008133C"/>
    <w:rsid w:val="0008167E"/>
    <w:rsid w:val="00081D5E"/>
    <w:rsid w:val="00082867"/>
    <w:rsid w:val="0008288C"/>
    <w:rsid w:val="00082CE1"/>
    <w:rsid w:val="00082E5D"/>
    <w:rsid w:val="00083E6B"/>
    <w:rsid w:val="00084054"/>
    <w:rsid w:val="0008411A"/>
    <w:rsid w:val="00084211"/>
    <w:rsid w:val="000846AA"/>
    <w:rsid w:val="000848D1"/>
    <w:rsid w:val="00084A1F"/>
    <w:rsid w:val="00084E00"/>
    <w:rsid w:val="00085063"/>
    <w:rsid w:val="0008687B"/>
    <w:rsid w:val="00086B1A"/>
    <w:rsid w:val="00086FE1"/>
    <w:rsid w:val="000876D4"/>
    <w:rsid w:val="0009016F"/>
    <w:rsid w:val="00090757"/>
    <w:rsid w:val="000908D1"/>
    <w:rsid w:val="000908FA"/>
    <w:rsid w:val="000914A3"/>
    <w:rsid w:val="000917E8"/>
    <w:rsid w:val="00091AC6"/>
    <w:rsid w:val="00091ACB"/>
    <w:rsid w:val="00091F9F"/>
    <w:rsid w:val="0009213C"/>
    <w:rsid w:val="00092DB5"/>
    <w:rsid w:val="00093D35"/>
    <w:rsid w:val="00093E82"/>
    <w:rsid w:val="00094932"/>
    <w:rsid w:val="00094E0D"/>
    <w:rsid w:val="00094E31"/>
    <w:rsid w:val="00094FE5"/>
    <w:rsid w:val="0009503B"/>
    <w:rsid w:val="000950EE"/>
    <w:rsid w:val="00095669"/>
    <w:rsid w:val="00096B35"/>
    <w:rsid w:val="00096CF0"/>
    <w:rsid w:val="00096F78"/>
    <w:rsid w:val="000A00A9"/>
    <w:rsid w:val="000A037A"/>
    <w:rsid w:val="000A14E3"/>
    <w:rsid w:val="000A175E"/>
    <w:rsid w:val="000A1AAE"/>
    <w:rsid w:val="000A2CE3"/>
    <w:rsid w:val="000A2DA4"/>
    <w:rsid w:val="000A3B21"/>
    <w:rsid w:val="000A3BAD"/>
    <w:rsid w:val="000A3C91"/>
    <w:rsid w:val="000A3CA4"/>
    <w:rsid w:val="000A3D8C"/>
    <w:rsid w:val="000A5464"/>
    <w:rsid w:val="000A57B1"/>
    <w:rsid w:val="000A619E"/>
    <w:rsid w:val="000A621B"/>
    <w:rsid w:val="000A6948"/>
    <w:rsid w:val="000A6995"/>
    <w:rsid w:val="000A6A84"/>
    <w:rsid w:val="000A6ABF"/>
    <w:rsid w:val="000A713F"/>
    <w:rsid w:val="000A7398"/>
    <w:rsid w:val="000A7857"/>
    <w:rsid w:val="000A79D3"/>
    <w:rsid w:val="000B0E19"/>
    <w:rsid w:val="000B0E99"/>
    <w:rsid w:val="000B116C"/>
    <w:rsid w:val="000B167F"/>
    <w:rsid w:val="000B2354"/>
    <w:rsid w:val="000B2BE6"/>
    <w:rsid w:val="000B3158"/>
    <w:rsid w:val="000B44B4"/>
    <w:rsid w:val="000B46B0"/>
    <w:rsid w:val="000B4701"/>
    <w:rsid w:val="000B4B3B"/>
    <w:rsid w:val="000B4B81"/>
    <w:rsid w:val="000B4CE3"/>
    <w:rsid w:val="000B4F69"/>
    <w:rsid w:val="000B5037"/>
    <w:rsid w:val="000B50D9"/>
    <w:rsid w:val="000B510B"/>
    <w:rsid w:val="000B5BFD"/>
    <w:rsid w:val="000B612C"/>
    <w:rsid w:val="000B7238"/>
    <w:rsid w:val="000B72AB"/>
    <w:rsid w:val="000B769C"/>
    <w:rsid w:val="000B76ED"/>
    <w:rsid w:val="000B79C2"/>
    <w:rsid w:val="000B7B22"/>
    <w:rsid w:val="000B7DFF"/>
    <w:rsid w:val="000C033A"/>
    <w:rsid w:val="000C089E"/>
    <w:rsid w:val="000C1407"/>
    <w:rsid w:val="000C16FC"/>
    <w:rsid w:val="000C18C2"/>
    <w:rsid w:val="000C25C8"/>
    <w:rsid w:val="000C2D72"/>
    <w:rsid w:val="000C33EF"/>
    <w:rsid w:val="000C35C7"/>
    <w:rsid w:val="000C3C78"/>
    <w:rsid w:val="000C4B79"/>
    <w:rsid w:val="000C500B"/>
    <w:rsid w:val="000C524D"/>
    <w:rsid w:val="000C54CC"/>
    <w:rsid w:val="000C5EE4"/>
    <w:rsid w:val="000C625F"/>
    <w:rsid w:val="000C6F87"/>
    <w:rsid w:val="000C70CA"/>
    <w:rsid w:val="000D0099"/>
    <w:rsid w:val="000D0223"/>
    <w:rsid w:val="000D0501"/>
    <w:rsid w:val="000D05B5"/>
    <w:rsid w:val="000D077C"/>
    <w:rsid w:val="000D09DF"/>
    <w:rsid w:val="000D0BEA"/>
    <w:rsid w:val="000D0CAD"/>
    <w:rsid w:val="000D0FD7"/>
    <w:rsid w:val="000D1C27"/>
    <w:rsid w:val="000D1EAA"/>
    <w:rsid w:val="000D1FCA"/>
    <w:rsid w:val="000D2057"/>
    <w:rsid w:val="000D2938"/>
    <w:rsid w:val="000D2AB7"/>
    <w:rsid w:val="000D2D15"/>
    <w:rsid w:val="000D2D31"/>
    <w:rsid w:val="000D34EB"/>
    <w:rsid w:val="000D3578"/>
    <w:rsid w:val="000D3BFF"/>
    <w:rsid w:val="000D3D5B"/>
    <w:rsid w:val="000D42B1"/>
    <w:rsid w:val="000D46B3"/>
    <w:rsid w:val="000D49DA"/>
    <w:rsid w:val="000D5934"/>
    <w:rsid w:val="000D5FEC"/>
    <w:rsid w:val="000D61EB"/>
    <w:rsid w:val="000D671D"/>
    <w:rsid w:val="000D69B0"/>
    <w:rsid w:val="000D6F7E"/>
    <w:rsid w:val="000D7112"/>
    <w:rsid w:val="000D7DA5"/>
    <w:rsid w:val="000D7E28"/>
    <w:rsid w:val="000D7EDC"/>
    <w:rsid w:val="000D7F40"/>
    <w:rsid w:val="000E05C7"/>
    <w:rsid w:val="000E0730"/>
    <w:rsid w:val="000E0AC1"/>
    <w:rsid w:val="000E0CF7"/>
    <w:rsid w:val="000E113D"/>
    <w:rsid w:val="000E1310"/>
    <w:rsid w:val="000E1C22"/>
    <w:rsid w:val="000E206C"/>
    <w:rsid w:val="000E2172"/>
    <w:rsid w:val="000E22FD"/>
    <w:rsid w:val="000E26EB"/>
    <w:rsid w:val="000E2A98"/>
    <w:rsid w:val="000E2B9C"/>
    <w:rsid w:val="000E2FEA"/>
    <w:rsid w:val="000E332A"/>
    <w:rsid w:val="000E346F"/>
    <w:rsid w:val="000E38D5"/>
    <w:rsid w:val="000E4537"/>
    <w:rsid w:val="000E45BA"/>
    <w:rsid w:val="000E4AB1"/>
    <w:rsid w:val="000E4CFF"/>
    <w:rsid w:val="000E5502"/>
    <w:rsid w:val="000E591B"/>
    <w:rsid w:val="000E63C6"/>
    <w:rsid w:val="000E6898"/>
    <w:rsid w:val="000E71BD"/>
    <w:rsid w:val="000E7226"/>
    <w:rsid w:val="000E740A"/>
    <w:rsid w:val="000E74D9"/>
    <w:rsid w:val="000E7DDD"/>
    <w:rsid w:val="000F0A6D"/>
    <w:rsid w:val="000F1055"/>
    <w:rsid w:val="000F1B1E"/>
    <w:rsid w:val="000F1BC2"/>
    <w:rsid w:val="000F1D89"/>
    <w:rsid w:val="000F2119"/>
    <w:rsid w:val="000F21DA"/>
    <w:rsid w:val="000F21DD"/>
    <w:rsid w:val="000F2587"/>
    <w:rsid w:val="000F2950"/>
    <w:rsid w:val="000F3739"/>
    <w:rsid w:val="000F3B35"/>
    <w:rsid w:val="000F4800"/>
    <w:rsid w:val="000F4822"/>
    <w:rsid w:val="000F52AD"/>
    <w:rsid w:val="000F5328"/>
    <w:rsid w:val="000F53A9"/>
    <w:rsid w:val="000F53E6"/>
    <w:rsid w:val="000F59B5"/>
    <w:rsid w:val="000F5B23"/>
    <w:rsid w:val="000F6170"/>
    <w:rsid w:val="000F6239"/>
    <w:rsid w:val="000F62C3"/>
    <w:rsid w:val="000F62E3"/>
    <w:rsid w:val="000F68E1"/>
    <w:rsid w:val="000F72CD"/>
    <w:rsid w:val="000F7B1E"/>
    <w:rsid w:val="000F7BF8"/>
    <w:rsid w:val="000F7E0D"/>
    <w:rsid w:val="000F7E9E"/>
    <w:rsid w:val="00100272"/>
    <w:rsid w:val="00100697"/>
    <w:rsid w:val="00100843"/>
    <w:rsid w:val="00100C9B"/>
    <w:rsid w:val="0010147A"/>
    <w:rsid w:val="00101F6D"/>
    <w:rsid w:val="00102242"/>
    <w:rsid w:val="0010225C"/>
    <w:rsid w:val="0010294F"/>
    <w:rsid w:val="001039DD"/>
    <w:rsid w:val="00103D80"/>
    <w:rsid w:val="001043EA"/>
    <w:rsid w:val="00104A94"/>
    <w:rsid w:val="00105088"/>
    <w:rsid w:val="00105187"/>
    <w:rsid w:val="0010582E"/>
    <w:rsid w:val="00105D4E"/>
    <w:rsid w:val="001066B8"/>
    <w:rsid w:val="00106DDF"/>
    <w:rsid w:val="001072A4"/>
    <w:rsid w:val="00107402"/>
    <w:rsid w:val="0010753D"/>
    <w:rsid w:val="00107AA3"/>
    <w:rsid w:val="00107D7B"/>
    <w:rsid w:val="00107DE6"/>
    <w:rsid w:val="0011088C"/>
    <w:rsid w:val="00110A92"/>
    <w:rsid w:val="00110F49"/>
    <w:rsid w:val="001112FE"/>
    <w:rsid w:val="00111A14"/>
    <w:rsid w:val="00111F9B"/>
    <w:rsid w:val="00112423"/>
    <w:rsid w:val="001128C3"/>
    <w:rsid w:val="001128DC"/>
    <w:rsid w:val="00113467"/>
    <w:rsid w:val="00113625"/>
    <w:rsid w:val="00113D05"/>
    <w:rsid w:val="00113FCD"/>
    <w:rsid w:val="0011438E"/>
    <w:rsid w:val="00114F41"/>
    <w:rsid w:val="0011507E"/>
    <w:rsid w:val="00115271"/>
    <w:rsid w:val="00116832"/>
    <w:rsid w:val="00116A7B"/>
    <w:rsid w:val="00116D14"/>
    <w:rsid w:val="0011713F"/>
    <w:rsid w:val="00117448"/>
    <w:rsid w:val="00117651"/>
    <w:rsid w:val="00120215"/>
    <w:rsid w:val="001220F5"/>
    <w:rsid w:val="0012258A"/>
    <w:rsid w:val="00122F01"/>
    <w:rsid w:val="00123969"/>
    <w:rsid w:val="00123B20"/>
    <w:rsid w:val="00124527"/>
    <w:rsid w:val="001246CE"/>
    <w:rsid w:val="001246D0"/>
    <w:rsid w:val="00124B21"/>
    <w:rsid w:val="00124BED"/>
    <w:rsid w:val="00125044"/>
    <w:rsid w:val="00125191"/>
    <w:rsid w:val="0012534C"/>
    <w:rsid w:val="00125678"/>
    <w:rsid w:val="00126040"/>
    <w:rsid w:val="00126320"/>
    <w:rsid w:val="00126710"/>
    <w:rsid w:val="001268F9"/>
    <w:rsid w:val="00127071"/>
    <w:rsid w:val="001276A0"/>
    <w:rsid w:val="00127728"/>
    <w:rsid w:val="00127B4B"/>
    <w:rsid w:val="00127D41"/>
    <w:rsid w:val="00127E7A"/>
    <w:rsid w:val="00127F8E"/>
    <w:rsid w:val="0013002C"/>
    <w:rsid w:val="001308C0"/>
    <w:rsid w:val="00130D34"/>
    <w:rsid w:val="00130E51"/>
    <w:rsid w:val="00131114"/>
    <w:rsid w:val="00131C3F"/>
    <w:rsid w:val="00131D56"/>
    <w:rsid w:val="00132592"/>
    <w:rsid w:val="00132716"/>
    <w:rsid w:val="00132BDD"/>
    <w:rsid w:val="001332F2"/>
    <w:rsid w:val="001337D1"/>
    <w:rsid w:val="00133A29"/>
    <w:rsid w:val="00133C25"/>
    <w:rsid w:val="001341BC"/>
    <w:rsid w:val="001341DA"/>
    <w:rsid w:val="0013431A"/>
    <w:rsid w:val="001346A6"/>
    <w:rsid w:val="001348F2"/>
    <w:rsid w:val="00135120"/>
    <w:rsid w:val="00135BC7"/>
    <w:rsid w:val="00135E95"/>
    <w:rsid w:val="00136AFF"/>
    <w:rsid w:val="00136CBC"/>
    <w:rsid w:val="00136E1C"/>
    <w:rsid w:val="0013742A"/>
    <w:rsid w:val="00137D6B"/>
    <w:rsid w:val="00137EAA"/>
    <w:rsid w:val="00137FB7"/>
    <w:rsid w:val="001401E5"/>
    <w:rsid w:val="001404E6"/>
    <w:rsid w:val="00140A82"/>
    <w:rsid w:val="00140AFD"/>
    <w:rsid w:val="00140BF4"/>
    <w:rsid w:val="00140CD9"/>
    <w:rsid w:val="00140E84"/>
    <w:rsid w:val="001417F8"/>
    <w:rsid w:val="0014192E"/>
    <w:rsid w:val="00141D6D"/>
    <w:rsid w:val="0014222F"/>
    <w:rsid w:val="0014277A"/>
    <w:rsid w:val="00142804"/>
    <w:rsid w:val="00142A02"/>
    <w:rsid w:val="00143991"/>
    <w:rsid w:val="00143D73"/>
    <w:rsid w:val="0014432B"/>
    <w:rsid w:val="00144382"/>
    <w:rsid w:val="00145125"/>
    <w:rsid w:val="0014588A"/>
    <w:rsid w:val="00145A62"/>
    <w:rsid w:val="00145A8E"/>
    <w:rsid w:val="00145DA2"/>
    <w:rsid w:val="00145E22"/>
    <w:rsid w:val="0014638D"/>
    <w:rsid w:val="00146950"/>
    <w:rsid w:val="00146C6A"/>
    <w:rsid w:val="00147567"/>
    <w:rsid w:val="001476F1"/>
    <w:rsid w:val="00147BCE"/>
    <w:rsid w:val="00147C90"/>
    <w:rsid w:val="001500C5"/>
    <w:rsid w:val="00150844"/>
    <w:rsid w:val="00150D59"/>
    <w:rsid w:val="0015104F"/>
    <w:rsid w:val="001511F5"/>
    <w:rsid w:val="00151583"/>
    <w:rsid w:val="0015182A"/>
    <w:rsid w:val="001526A7"/>
    <w:rsid w:val="0015293B"/>
    <w:rsid w:val="001529B7"/>
    <w:rsid w:val="00152C87"/>
    <w:rsid w:val="001532FD"/>
    <w:rsid w:val="00153376"/>
    <w:rsid w:val="001539D3"/>
    <w:rsid w:val="00153A85"/>
    <w:rsid w:val="00154180"/>
    <w:rsid w:val="00154D5F"/>
    <w:rsid w:val="00155C1F"/>
    <w:rsid w:val="001579F9"/>
    <w:rsid w:val="00157A1D"/>
    <w:rsid w:val="00157B01"/>
    <w:rsid w:val="00157B1A"/>
    <w:rsid w:val="00157F46"/>
    <w:rsid w:val="001605B7"/>
    <w:rsid w:val="0016066C"/>
    <w:rsid w:val="00160A07"/>
    <w:rsid w:val="00160A79"/>
    <w:rsid w:val="00161014"/>
    <w:rsid w:val="00161438"/>
    <w:rsid w:val="001616EC"/>
    <w:rsid w:val="001619B7"/>
    <w:rsid w:val="00161E62"/>
    <w:rsid w:val="00162B35"/>
    <w:rsid w:val="00163174"/>
    <w:rsid w:val="001636DD"/>
    <w:rsid w:val="0016396C"/>
    <w:rsid w:val="00163A51"/>
    <w:rsid w:val="00163B9A"/>
    <w:rsid w:val="0016426B"/>
    <w:rsid w:val="00164BB5"/>
    <w:rsid w:val="00164C37"/>
    <w:rsid w:val="00165033"/>
    <w:rsid w:val="0016524E"/>
    <w:rsid w:val="00165265"/>
    <w:rsid w:val="00165AE5"/>
    <w:rsid w:val="00166568"/>
    <w:rsid w:val="0016671A"/>
    <w:rsid w:val="00166920"/>
    <w:rsid w:val="0016755A"/>
    <w:rsid w:val="00167DE5"/>
    <w:rsid w:val="0017008E"/>
    <w:rsid w:val="001702BB"/>
    <w:rsid w:val="00170B01"/>
    <w:rsid w:val="00170D3A"/>
    <w:rsid w:val="0017166B"/>
    <w:rsid w:val="00171A44"/>
    <w:rsid w:val="00171D26"/>
    <w:rsid w:val="00171F50"/>
    <w:rsid w:val="00172282"/>
    <w:rsid w:val="00172BE2"/>
    <w:rsid w:val="00172C8E"/>
    <w:rsid w:val="0017300E"/>
    <w:rsid w:val="001730F4"/>
    <w:rsid w:val="0017331E"/>
    <w:rsid w:val="001734BC"/>
    <w:rsid w:val="0017351D"/>
    <w:rsid w:val="0017379E"/>
    <w:rsid w:val="00173AB1"/>
    <w:rsid w:val="0017436C"/>
    <w:rsid w:val="00175B38"/>
    <w:rsid w:val="00176056"/>
    <w:rsid w:val="00176FA7"/>
    <w:rsid w:val="0017729F"/>
    <w:rsid w:val="0017789B"/>
    <w:rsid w:val="00180765"/>
    <w:rsid w:val="0018097B"/>
    <w:rsid w:val="00180A1B"/>
    <w:rsid w:val="0018106B"/>
    <w:rsid w:val="00181ABD"/>
    <w:rsid w:val="00181D3D"/>
    <w:rsid w:val="00182F53"/>
    <w:rsid w:val="001833B7"/>
    <w:rsid w:val="001839D4"/>
    <w:rsid w:val="00183E83"/>
    <w:rsid w:val="00184F5D"/>
    <w:rsid w:val="00185667"/>
    <w:rsid w:val="00185CF2"/>
    <w:rsid w:val="00186124"/>
    <w:rsid w:val="0018648E"/>
    <w:rsid w:val="0018682A"/>
    <w:rsid w:val="001877CB"/>
    <w:rsid w:val="0018783D"/>
    <w:rsid w:val="00187DF2"/>
    <w:rsid w:val="00187E19"/>
    <w:rsid w:val="001905F6"/>
    <w:rsid w:val="00190729"/>
    <w:rsid w:val="00190BD5"/>
    <w:rsid w:val="00190E64"/>
    <w:rsid w:val="001910A1"/>
    <w:rsid w:val="00191A9B"/>
    <w:rsid w:val="0019264A"/>
    <w:rsid w:val="001929EC"/>
    <w:rsid w:val="00192A6A"/>
    <w:rsid w:val="00192BFD"/>
    <w:rsid w:val="00192E7B"/>
    <w:rsid w:val="00192FEE"/>
    <w:rsid w:val="00193236"/>
    <w:rsid w:val="0019331C"/>
    <w:rsid w:val="00193510"/>
    <w:rsid w:val="00193B82"/>
    <w:rsid w:val="001945A1"/>
    <w:rsid w:val="00194FA1"/>
    <w:rsid w:val="001950D6"/>
    <w:rsid w:val="00195105"/>
    <w:rsid w:val="00195579"/>
    <w:rsid w:val="00195708"/>
    <w:rsid w:val="001957D7"/>
    <w:rsid w:val="00195B93"/>
    <w:rsid w:val="00196CAB"/>
    <w:rsid w:val="00197125"/>
    <w:rsid w:val="00197B00"/>
    <w:rsid w:val="00197D8B"/>
    <w:rsid w:val="00197FDD"/>
    <w:rsid w:val="001A036C"/>
    <w:rsid w:val="001A0880"/>
    <w:rsid w:val="001A09E4"/>
    <w:rsid w:val="001A2260"/>
    <w:rsid w:val="001A22F8"/>
    <w:rsid w:val="001A2D39"/>
    <w:rsid w:val="001A2D3D"/>
    <w:rsid w:val="001A2DFF"/>
    <w:rsid w:val="001A3381"/>
    <w:rsid w:val="001A37C4"/>
    <w:rsid w:val="001A39E2"/>
    <w:rsid w:val="001A3A0B"/>
    <w:rsid w:val="001A3AAD"/>
    <w:rsid w:val="001A420E"/>
    <w:rsid w:val="001A437F"/>
    <w:rsid w:val="001A4E2E"/>
    <w:rsid w:val="001A566F"/>
    <w:rsid w:val="001A5768"/>
    <w:rsid w:val="001A5DCB"/>
    <w:rsid w:val="001A628E"/>
    <w:rsid w:val="001A6578"/>
    <w:rsid w:val="001A65C8"/>
    <w:rsid w:val="001A6847"/>
    <w:rsid w:val="001A70B9"/>
    <w:rsid w:val="001A712C"/>
    <w:rsid w:val="001A7167"/>
    <w:rsid w:val="001A76F0"/>
    <w:rsid w:val="001A7C5C"/>
    <w:rsid w:val="001B005C"/>
    <w:rsid w:val="001B0D09"/>
    <w:rsid w:val="001B0D1B"/>
    <w:rsid w:val="001B1070"/>
    <w:rsid w:val="001B13E2"/>
    <w:rsid w:val="001B1A65"/>
    <w:rsid w:val="001B1CBF"/>
    <w:rsid w:val="001B236D"/>
    <w:rsid w:val="001B24C5"/>
    <w:rsid w:val="001B255E"/>
    <w:rsid w:val="001B298F"/>
    <w:rsid w:val="001B2C4D"/>
    <w:rsid w:val="001B2E9D"/>
    <w:rsid w:val="001B3075"/>
    <w:rsid w:val="001B324A"/>
    <w:rsid w:val="001B32AA"/>
    <w:rsid w:val="001B3CA0"/>
    <w:rsid w:val="001B43EA"/>
    <w:rsid w:val="001B4B38"/>
    <w:rsid w:val="001B542A"/>
    <w:rsid w:val="001B5756"/>
    <w:rsid w:val="001B599B"/>
    <w:rsid w:val="001B6625"/>
    <w:rsid w:val="001B6C96"/>
    <w:rsid w:val="001B6CB0"/>
    <w:rsid w:val="001B71C1"/>
    <w:rsid w:val="001B737A"/>
    <w:rsid w:val="001B7BB1"/>
    <w:rsid w:val="001C0641"/>
    <w:rsid w:val="001C07D8"/>
    <w:rsid w:val="001C081E"/>
    <w:rsid w:val="001C0890"/>
    <w:rsid w:val="001C0AD8"/>
    <w:rsid w:val="001C0C42"/>
    <w:rsid w:val="001C1337"/>
    <w:rsid w:val="001C24FE"/>
    <w:rsid w:val="001C2EE0"/>
    <w:rsid w:val="001C32AE"/>
    <w:rsid w:val="001C3436"/>
    <w:rsid w:val="001C399A"/>
    <w:rsid w:val="001C3CC5"/>
    <w:rsid w:val="001C3DD6"/>
    <w:rsid w:val="001C3E6E"/>
    <w:rsid w:val="001C3EFA"/>
    <w:rsid w:val="001C4144"/>
    <w:rsid w:val="001C4242"/>
    <w:rsid w:val="001C4818"/>
    <w:rsid w:val="001C4A4A"/>
    <w:rsid w:val="001C50A1"/>
    <w:rsid w:val="001C54EA"/>
    <w:rsid w:val="001C55EF"/>
    <w:rsid w:val="001C5B84"/>
    <w:rsid w:val="001C631E"/>
    <w:rsid w:val="001C644E"/>
    <w:rsid w:val="001C6584"/>
    <w:rsid w:val="001C78D9"/>
    <w:rsid w:val="001D0214"/>
    <w:rsid w:val="001D0457"/>
    <w:rsid w:val="001D1048"/>
    <w:rsid w:val="001D120F"/>
    <w:rsid w:val="001D13A5"/>
    <w:rsid w:val="001D14B0"/>
    <w:rsid w:val="001D18BD"/>
    <w:rsid w:val="001D1BBB"/>
    <w:rsid w:val="001D1DF0"/>
    <w:rsid w:val="001D1FBE"/>
    <w:rsid w:val="001D2E62"/>
    <w:rsid w:val="001D300A"/>
    <w:rsid w:val="001D30D6"/>
    <w:rsid w:val="001D373C"/>
    <w:rsid w:val="001D3A01"/>
    <w:rsid w:val="001D41C7"/>
    <w:rsid w:val="001D41FA"/>
    <w:rsid w:val="001D43FA"/>
    <w:rsid w:val="001D49FC"/>
    <w:rsid w:val="001D5335"/>
    <w:rsid w:val="001D55C7"/>
    <w:rsid w:val="001D55F0"/>
    <w:rsid w:val="001D5B14"/>
    <w:rsid w:val="001D5C26"/>
    <w:rsid w:val="001D62D7"/>
    <w:rsid w:val="001D632C"/>
    <w:rsid w:val="001D64FE"/>
    <w:rsid w:val="001D6B42"/>
    <w:rsid w:val="001D6B61"/>
    <w:rsid w:val="001D6C27"/>
    <w:rsid w:val="001D7948"/>
    <w:rsid w:val="001D7C97"/>
    <w:rsid w:val="001D7DFA"/>
    <w:rsid w:val="001E0125"/>
    <w:rsid w:val="001E01F1"/>
    <w:rsid w:val="001E04A3"/>
    <w:rsid w:val="001E14F7"/>
    <w:rsid w:val="001E1914"/>
    <w:rsid w:val="001E248B"/>
    <w:rsid w:val="001E248E"/>
    <w:rsid w:val="001E2878"/>
    <w:rsid w:val="001E2FF8"/>
    <w:rsid w:val="001E339C"/>
    <w:rsid w:val="001E34C2"/>
    <w:rsid w:val="001E3915"/>
    <w:rsid w:val="001E39DC"/>
    <w:rsid w:val="001E4026"/>
    <w:rsid w:val="001E4634"/>
    <w:rsid w:val="001E464C"/>
    <w:rsid w:val="001E5B53"/>
    <w:rsid w:val="001E6945"/>
    <w:rsid w:val="001E6987"/>
    <w:rsid w:val="001E6C4B"/>
    <w:rsid w:val="001E6C72"/>
    <w:rsid w:val="001E6D17"/>
    <w:rsid w:val="001E7E23"/>
    <w:rsid w:val="001E7F4B"/>
    <w:rsid w:val="001F0113"/>
    <w:rsid w:val="001F0233"/>
    <w:rsid w:val="001F0265"/>
    <w:rsid w:val="001F0372"/>
    <w:rsid w:val="001F0412"/>
    <w:rsid w:val="001F0678"/>
    <w:rsid w:val="001F06BD"/>
    <w:rsid w:val="001F1268"/>
    <w:rsid w:val="001F1627"/>
    <w:rsid w:val="001F166C"/>
    <w:rsid w:val="001F1915"/>
    <w:rsid w:val="001F1FFE"/>
    <w:rsid w:val="001F227B"/>
    <w:rsid w:val="001F2861"/>
    <w:rsid w:val="001F33F1"/>
    <w:rsid w:val="001F37D6"/>
    <w:rsid w:val="001F3EDC"/>
    <w:rsid w:val="001F410B"/>
    <w:rsid w:val="001F46DD"/>
    <w:rsid w:val="001F477A"/>
    <w:rsid w:val="001F578E"/>
    <w:rsid w:val="001F5863"/>
    <w:rsid w:val="001F586F"/>
    <w:rsid w:val="001F5C9F"/>
    <w:rsid w:val="001F5CBE"/>
    <w:rsid w:val="001F5CDC"/>
    <w:rsid w:val="001F60B7"/>
    <w:rsid w:val="001F6306"/>
    <w:rsid w:val="001F6C28"/>
    <w:rsid w:val="001F6F1A"/>
    <w:rsid w:val="001F6FBD"/>
    <w:rsid w:val="001F74CE"/>
    <w:rsid w:val="001F7599"/>
    <w:rsid w:val="001F75DC"/>
    <w:rsid w:val="001F7A97"/>
    <w:rsid w:val="001F7EDF"/>
    <w:rsid w:val="00200024"/>
    <w:rsid w:val="0020030D"/>
    <w:rsid w:val="0020044F"/>
    <w:rsid w:val="00200CCD"/>
    <w:rsid w:val="00200D80"/>
    <w:rsid w:val="00200FA7"/>
    <w:rsid w:val="00201082"/>
    <w:rsid w:val="00201E1A"/>
    <w:rsid w:val="00202037"/>
    <w:rsid w:val="0020238C"/>
    <w:rsid w:val="002029D6"/>
    <w:rsid w:val="00202B61"/>
    <w:rsid w:val="002033CB"/>
    <w:rsid w:val="00203608"/>
    <w:rsid w:val="00203623"/>
    <w:rsid w:val="00205662"/>
    <w:rsid w:val="0020578D"/>
    <w:rsid w:val="002059D3"/>
    <w:rsid w:val="0020607E"/>
    <w:rsid w:val="00206AFD"/>
    <w:rsid w:val="00206F71"/>
    <w:rsid w:val="00207419"/>
    <w:rsid w:val="00207441"/>
    <w:rsid w:val="0020766F"/>
    <w:rsid w:val="00207C0B"/>
    <w:rsid w:val="00207EFA"/>
    <w:rsid w:val="002100FC"/>
    <w:rsid w:val="00210E98"/>
    <w:rsid w:val="00211542"/>
    <w:rsid w:val="0021252A"/>
    <w:rsid w:val="00213122"/>
    <w:rsid w:val="002135CF"/>
    <w:rsid w:val="002137B3"/>
    <w:rsid w:val="00213BE0"/>
    <w:rsid w:val="00213E1B"/>
    <w:rsid w:val="00213EE6"/>
    <w:rsid w:val="0021443F"/>
    <w:rsid w:val="002144FF"/>
    <w:rsid w:val="00214D85"/>
    <w:rsid w:val="002154A6"/>
    <w:rsid w:val="002158A6"/>
    <w:rsid w:val="00215EF4"/>
    <w:rsid w:val="002169E7"/>
    <w:rsid w:val="00216CCE"/>
    <w:rsid w:val="00217B35"/>
    <w:rsid w:val="00217F90"/>
    <w:rsid w:val="00220309"/>
    <w:rsid w:val="002209CD"/>
    <w:rsid w:val="00221749"/>
    <w:rsid w:val="00221A92"/>
    <w:rsid w:val="00221D19"/>
    <w:rsid w:val="00222DF0"/>
    <w:rsid w:val="00223011"/>
    <w:rsid w:val="002230F9"/>
    <w:rsid w:val="00223118"/>
    <w:rsid w:val="0022374E"/>
    <w:rsid w:val="00223AFF"/>
    <w:rsid w:val="0022444D"/>
    <w:rsid w:val="00224DE9"/>
    <w:rsid w:val="002253A8"/>
    <w:rsid w:val="00225607"/>
    <w:rsid w:val="00225CA4"/>
    <w:rsid w:val="00225E67"/>
    <w:rsid w:val="00226353"/>
    <w:rsid w:val="002267C3"/>
    <w:rsid w:val="00226B0E"/>
    <w:rsid w:val="00227A9A"/>
    <w:rsid w:val="00227AFB"/>
    <w:rsid w:val="00227B95"/>
    <w:rsid w:val="0023009C"/>
    <w:rsid w:val="0023066B"/>
    <w:rsid w:val="002306BF"/>
    <w:rsid w:val="0023115F"/>
    <w:rsid w:val="002313E4"/>
    <w:rsid w:val="00231530"/>
    <w:rsid w:val="0023157C"/>
    <w:rsid w:val="002315C3"/>
    <w:rsid w:val="00231EEC"/>
    <w:rsid w:val="00232351"/>
    <w:rsid w:val="002323AF"/>
    <w:rsid w:val="00233103"/>
    <w:rsid w:val="00233B13"/>
    <w:rsid w:val="0023423B"/>
    <w:rsid w:val="00235168"/>
    <w:rsid w:val="00235D70"/>
    <w:rsid w:val="00236035"/>
    <w:rsid w:val="0023621F"/>
    <w:rsid w:val="0023655C"/>
    <w:rsid w:val="00236E7D"/>
    <w:rsid w:val="00237D15"/>
    <w:rsid w:val="00237ED4"/>
    <w:rsid w:val="00237EEC"/>
    <w:rsid w:val="00240212"/>
    <w:rsid w:val="00240D79"/>
    <w:rsid w:val="00241267"/>
    <w:rsid w:val="002414E5"/>
    <w:rsid w:val="00241A5E"/>
    <w:rsid w:val="00241A86"/>
    <w:rsid w:val="00242174"/>
    <w:rsid w:val="00242D5F"/>
    <w:rsid w:val="002439CE"/>
    <w:rsid w:val="00243A79"/>
    <w:rsid w:val="00243E5E"/>
    <w:rsid w:val="00243FA5"/>
    <w:rsid w:val="002459DD"/>
    <w:rsid w:val="00245C21"/>
    <w:rsid w:val="00245DB2"/>
    <w:rsid w:val="0024618C"/>
    <w:rsid w:val="0024688C"/>
    <w:rsid w:val="00246A65"/>
    <w:rsid w:val="00247282"/>
    <w:rsid w:val="00247502"/>
    <w:rsid w:val="00247746"/>
    <w:rsid w:val="00247CE5"/>
    <w:rsid w:val="00247F71"/>
    <w:rsid w:val="002503F9"/>
    <w:rsid w:val="002505AB"/>
    <w:rsid w:val="00250794"/>
    <w:rsid w:val="00250E2E"/>
    <w:rsid w:val="00251836"/>
    <w:rsid w:val="00252D13"/>
    <w:rsid w:val="00252FEE"/>
    <w:rsid w:val="00253454"/>
    <w:rsid w:val="002534A2"/>
    <w:rsid w:val="0025381F"/>
    <w:rsid w:val="0025399F"/>
    <w:rsid w:val="00254324"/>
    <w:rsid w:val="00254E76"/>
    <w:rsid w:val="00254F63"/>
    <w:rsid w:val="00255491"/>
    <w:rsid w:val="002555A7"/>
    <w:rsid w:val="00256424"/>
    <w:rsid w:val="00256AFA"/>
    <w:rsid w:val="00257636"/>
    <w:rsid w:val="0025769C"/>
    <w:rsid w:val="00257A5E"/>
    <w:rsid w:val="00257C19"/>
    <w:rsid w:val="002603B0"/>
    <w:rsid w:val="002604CB"/>
    <w:rsid w:val="0026072F"/>
    <w:rsid w:val="00260A40"/>
    <w:rsid w:val="00260ACF"/>
    <w:rsid w:val="00261086"/>
    <w:rsid w:val="0026135B"/>
    <w:rsid w:val="002616EC"/>
    <w:rsid w:val="00261B0F"/>
    <w:rsid w:val="0026202C"/>
    <w:rsid w:val="00262468"/>
    <w:rsid w:val="002629A1"/>
    <w:rsid w:val="002630B9"/>
    <w:rsid w:val="0026317F"/>
    <w:rsid w:val="00263509"/>
    <w:rsid w:val="00263AD6"/>
    <w:rsid w:val="00263D0A"/>
    <w:rsid w:val="00264481"/>
    <w:rsid w:val="00264A5E"/>
    <w:rsid w:val="00264B61"/>
    <w:rsid w:val="002652DC"/>
    <w:rsid w:val="00265A16"/>
    <w:rsid w:val="00265EF1"/>
    <w:rsid w:val="00266184"/>
    <w:rsid w:val="002661EF"/>
    <w:rsid w:val="0026624B"/>
    <w:rsid w:val="002667D3"/>
    <w:rsid w:val="002669BD"/>
    <w:rsid w:val="00266B94"/>
    <w:rsid w:val="00267746"/>
    <w:rsid w:val="00267D16"/>
    <w:rsid w:val="00267F60"/>
    <w:rsid w:val="00270993"/>
    <w:rsid w:val="00271565"/>
    <w:rsid w:val="002719F5"/>
    <w:rsid w:val="00272213"/>
    <w:rsid w:val="00272B5C"/>
    <w:rsid w:val="0027385F"/>
    <w:rsid w:val="00274518"/>
    <w:rsid w:val="00274525"/>
    <w:rsid w:val="00274F9D"/>
    <w:rsid w:val="00275001"/>
    <w:rsid w:val="0027507C"/>
    <w:rsid w:val="00275A06"/>
    <w:rsid w:val="00275C7A"/>
    <w:rsid w:val="00275F1E"/>
    <w:rsid w:val="00275F8E"/>
    <w:rsid w:val="00275FE1"/>
    <w:rsid w:val="00277628"/>
    <w:rsid w:val="002776D9"/>
    <w:rsid w:val="002777C5"/>
    <w:rsid w:val="002779E6"/>
    <w:rsid w:val="00280F9E"/>
    <w:rsid w:val="002821BF"/>
    <w:rsid w:val="0028270A"/>
    <w:rsid w:val="00282D8E"/>
    <w:rsid w:val="0028330E"/>
    <w:rsid w:val="00283511"/>
    <w:rsid w:val="002837CD"/>
    <w:rsid w:val="00284AC8"/>
    <w:rsid w:val="00284BC6"/>
    <w:rsid w:val="00284E34"/>
    <w:rsid w:val="002853C8"/>
    <w:rsid w:val="002856C5"/>
    <w:rsid w:val="00285804"/>
    <w:rsid w:val="00285C9E"/>
    <w:rsid w:val="002860FE"/>
    <w:rsid w:val="00286284"/>
    <w:rsid w:val="00286A7F"/>
    <w:rsid w:val="00286C31"/>
    <w:rsid w:val="002871A3"/>
    <w:rsid w:val="002871B8"/>
    <w:rsid w:val="00287393"/>
    <w:rsid w:val="002901E4"/>
    <w:rsid w:val="0029056C"/>
    <w:rsid w:val="00290AE4"/>
    <w:rsid w:val="0029141C"/>
    <w:rsid w:val="002914EC"/>
    <w:rsid w:val="002919A2"/>
    <w:rsid w:val="00291F23"/>
    <w:rsid w:val="002930F5"/>
    <w:rsid w:val="00293E0C"/>
    <w:rsid w:val="00294518"/>
    <w:rsid w:val="00294F23"/>
    <w:rsid w:val="002951CD"/>
    <w:rsid w:val="00295CB9"/>
    <w:rsid w:val="002960C1"/>
    <w:rsid w:val="00296240"/>
    <w:rsid w:val="002969BF"/>
    <w:rsid w:val="00296A73"/>
    <w:rsid w:val="00296F7D"/>
    <w:rsid w:val="00296FFE"/>
    <w:rsid w:val="00297003"/>
    <w:rsid w:val="002976A6"/>
    <w:rsid w:val="002976FE"/>
    <w:rsid w:val="00297B43"/>
    <w:rsid w:val="00297F26"/>
    <w:rsid w:val="002A0152"/>
    <w:rsid w:val="002A1419"/>
    <w:rsid w:val="002A176C"/>
    <w:rsid w:val="002A1AA7"/>
    <w:rsid w:val="002A1D03"/>
    <w:rsid w:val="002A204A"/>
    <w:rsid w:val="002A2590"/>
    <w:rsid w:val="002A26F9"/>
    <w:rsid w:val="002A32A8"/>
    <w:rsid w:val="002A3328"/>
    <w:rsid w:val="002A3618"/>
    <w:rsid w:val="002A3E17"/>
    <w:rsid w:val="002A4154"/>
    <w:rsid w:val="002A42EF"/>
    <w:rsid w:val="002A445E"/>
    <w:rsid w:val="002A4566"/>
    <w:rsid w:val="002A460D"/>
    <w:rsid w:val="002A50A2"/>
    <w:rsid w:val="002A50D8"/>
    <w:rsid w:val="002A5408"/>
    <w:rsid w:val="002A578C"/>
    <w:rsid w:val="002A5960"/>
    <w:rsid w:val="002A5A79"/>
    <w:rsid w:val="002A5ACA"/>
    <w:rsid w:val="002A5DDF"/>
    <w:rsid w:val="002A5E3A"/>
    <w:rsid w:val="002A61E9"/>
    <w:rsid w:val="002A635E"/>
    <w:rsid w:val="002A638A"/>
    <w:rsid w:val="002A669F"/>
    <w:rsid w:val="002A6B4E"/>
    <w:rsid w:val="002A6CFA"/>
    <w:rsid w:val="002A7910"/>
    <w:rsid w:val="002B0910"/>
    <w:rsid w:val="002B0B62"/>
    <w:rsid w:val="002B0C24"/>
    <w:rsid w:val="002B0E57"/>
    <w:rsid w:val="002B0E62"/>
    <w:rsid w:val="002B0E7B"/>
    <w:rsid w:val="002B1685"/>
    <w:rsid w:val="002B2106"/>
    <w:rsid w:val="002B2640"/>
    <w:rsid w:val="002B294A"/>
    <w:rsid w:val="002B2AB4"/>
    <w:rsid w:val="002B3114"/>
    <w:rsid w:val="002B340F"/>
    <w:rsid w:val="002B3526"/>
    <w:rsid w:val="002B3965"/>
    <w:rsid w:val="002B3D51"/>
    <w:rsid w:val="002B3F97"/>
    <w:rsid w:val="002B4188"/>
    <w:rsid w:val="002B46BA"/>
    <w:rsid w:val="002B49A8"/>
    <w:rsid w:val="002B4CBE"/>
    <w:rsid w:val="002B4E23"/>
    <w:rsid w:val="002B4FA2"/>
    <w:rsid w:val="002B50A2"/>
    <w:rsid w:val="002B5213"/>
    <w:rsid w:val="002B5254"/>
    <w:rsid w:val="002B565A"/>
    <w:rsid w:val="002B58C1"/>
    <w:rsid w:val="002B6C3E"/>
    <w:rsid w:val="002B76F6"/>
    <w:rsid w:val="002B7A18"/>
    <w:rsid w:val="002B7F2C"/>
    <w:rsid w:val="002C08D1"/>
    <w:rsid w:val="002C0AB2"/>
    <w:rsid w:val="002C1421"/>
    <w:rsid w:val="002C1790"/>
    <w:rsid w:val="002C24DC"/>
    <w:rsid w:val="002C2634"/>
    <w:rsid w:val="002C2EE7"/>
    <w:rsid w:val="002C33DA"/>
    <w:rsid w:val="002C3EFF"/>
    <w:rsid w:val="002C442C"/>
    <w:rsid w:val="002C464D"/>
    <w:rsid w:val="002C46F5"/>
    <w:rsid w:val="002C5114"/>
    <w:rsid w:val="002C5637"/>
    <w:rsid w:val="002C5646"/>
    <w:rsid w:val="002C5873"/>
    <w:rsid w:val="002C5C06"/>
    <w:rsid w:val="002C600E"/>
    <w:rsid w:val="002C655A"/>
    <w:rsid w:val="002C796D"/>
    <w:rsid w:val="002C7A72"/>
    <w:rsid w:val="002D000A"/>
    <w:rsid w:val="002D10CB"/>
    <w:rsid w:val="002D10D9"/>
    <w:rsid w:val="002D17C6"/>
    <w:rsid w:val="002D1F27"/>
    <w:rsid w:val="002D299F"/>
    <w:rsid w:val="002D2CDD"/>
    <w:rsid w:val="002D2E66"/>
    <w:rsid w:val="002D2ECC"/>
    <w:rsid w:val="002D3546"/>
    <w:rsid w:val="002D363F"/>
    <w:rsid w:val="002D3F97"/>
    <w:rsid w:val="002D4BF5"/>
    <w:rsid w:val="002D52F1"/>
    <w:rsid w:val="002D53FA"/>
    <w:rsid w:val="002D5D98"/>
    <w:rsid w:val="002D70E0"/>
    <w:rsid w:val="002D7EEE"/>
    <w:rsid w:val="002E046B"/>
    <w:rsid w:val="002E0783"/>
    <w:rsid w:val="002E12DC"/>
    <w:rsid w:val="002E132A"/>
    <w:rsid w:val="002E13E7"/>
    <w:rsid w:val="002E1890"/>
    <w:rsid w:val="002E21CD"/>
    <w:rsid w:val="002E3193"/>
    <w:rsid w:val="002E3529"/>
    <w:rsid w:val="002E368D"/>
    <w:rsid w:val="002E40A4"/>
    <w:rsid w:val="002E4755"/>
    <w:rsid w:val="002E4936"/>
    <w:rsid w:val="002E5581"/>
    <w:rsid w:val="002E5DDF"/>
    <w:rsid w:val="002E6192"/>
    <w:rsid w:val="002E62BD"/>
    <w:rsid w:val="002E647A"/>
    <w:rsid w:val="002E6871"/>
    <w:rsid w:val="002E769B"/>
    <w:rsid w:val="002F0344"/>
    <w:rsid w:val="002F0923"/>
    <w:rsid w:val="002F098E"/>
    <w:rsid w:val="002F0AF2"/>
    <w:rsid w:val="002F0D5E"/>
    <w:rsid w:val="002F1131"/>
    <w:rsid w:val="002F142C"/>
    <w:rsid w:val="002F185E"/>
    <w:rsid w:val="002F1966"/>
    <w:rsid w:val="002F1BB1"/>
    <w:rsid w:val="002F1F79"/>
    <w:rsid w:val="002F2A17"/>
    <w:rsid w:val="002F2E5E"/>
    <w:rsid w:val="002F2F75"/>
    <w:rsid w:val="002F3171"/>
    <w:rsid w:val="002F34EE"/>
    <w:rsid w:val="002F3EE1"/>
    <w:rsid w:val="002F3FEE"/>
    <w:rsid w:val="002F449C"/>
    <w:rsid w:val="002F46E0"/>
    <w:rsid w:val="002F4838"/>
    <w:rsid w:val="002F4D15"/>
    <w:rsid w:val="002F5756"/>
    <w:rsid w:val="002F5858"/>
    <w:rsid w:val="002F5F87"/>
    <w:rsid w:val="002F6728"/>
    <w:rsid w:val="002F6813"/>
    <w:rsid w:val="002F681C"/>
    <w:rsid w:val="002F6C7A"/>
    <w:rsid w:val="002F725B"/>
    <w:rsid w:val="002F75F0"/>
    <w:rsid w:val="002F7606"/>
    <w:rsid w:val="003002E6"/>
    <w:rsid w:val="00300B4A"/>
    <w:rsid w:val="00300BFA"/>
    <w:rsid w:val="003011D5"/>
    <w:rsid w:val="003018A3"/>
    <w:rsid w:val="00301991"/>
    <w:rsid w:val="00301AEA"/>
    <w:rsid w:val="00301B3E"/>
    <w:rsid w:val="00301B42"/>
    <w:rsid w:val="00301EBE"/>
    <w:rsid w:val="003024E8"/>
    <w:rsid w:val="00302DB6"/>
    <w:rsid w:val="003030DC"/>
    <w:rsid w:val="003038A4"/>
    <w:rsid w:val="00303A3F"/>
    <w:rsid w:val="00303D8B"/>
    <w:rsid w:val="00304822"/>
    <w:rsid w:val="00304BFA"/>
    <w:rsid w:val="0030500C"/>
    <w:rsid w:val="00305273"/>
    <w:rsid w:val="00305413"/>
    <w:rsid w:val="00305857"/>
    <w:rsid w:val="0030609D"/>
    <w:rsid w:val="00306407"/>
    <w:rsid w:val="00306B13"/>
    <w:rsid w:val="00306D72"/>
    <w:rsid w:val="00306DC1"/>
    <w:rsid w:val="003072F0"/>
    <w:rsid w:val="00307327"/>
    <w:rsid w:val="00307440"/>
    <w:rsid w:val="00307693"/>
    <w:rsid w:val="0031041E"/>
    <w:rsid w:val="00310442"/>
    <w:rsid w:val="003104A8"/>
    <w:rsid w:val="0031056B"/>
    <w:rsid w:val="003106FD"/>
    <w:rsid w:val="003111F5"/>
    <w:rsid w:val="00311AD7"/>
    <w:rsid w:val="00311D1D"/>
    <w:rsid w:val="00312CD7"/>
    <w:rsid w:val="00312CEB"/>
    <w:rsid w:val="00312EFC"/>
    <w:rsid w:val="003137E5"/>
    <w:rsid w:val="00313863"/>
    <w:rsid w:val="00313F2C"/>
    <w:rsid w:val="00314009"/>
    <w:rsid w:val="0031409A"/>
    <w:rsid w:val="003140DD"/>
    <w:rsid w:val="00314395"/>
    <w:rsid w:val="0031481A"/>
    <w:rsid w:val="0031486D"/>
    <w:rsid w:val="00314C66"/>
    <w:rsid w:val="00315224"/>
    <w:rsid w:val="00315863"/>
    <w:rsid w:val="00315B09"/>
    <w:rsid w:val="00315C67"/>
    <w:rsid w:val="00315C71"/>
    <w:rsid w:val="0031662D"/>
    <w:rsid w:val="00316F95"/>
    <w:rsid w:val="00317E9E"/>
    <w:rsid w:val="00320BED"/>
    <w:rsid w:val="00320C60"/>
    <w:rsid w:val="00321C64"/>
    <w:rsid w:val="00321F67"/>
    <w:rsid w:val="00321FE7"/>
    <w:rsid w:val="00322239"/>
    <w:rsid w:val="00322534"/>
    <w:rsid w:val="003225ED"/>
    <w:rsid w:val="003229C1"/>
    <w:rsid w:val="00322ABD"/>
    <w:rsid w:val="00323385"/>
    <w:rsid w:val="00323802"/>
    <w:rsid w:val="00323D0A"/>
    <w:rsid w:val="003251E2"/>
    <w:rsid w:val="003256F7"/>
    <w:rsid w:val="00325989"/>
    <w:rsid w:val="0032598B"/>
    <w:rsid w:val="003265B4"/>
    <w:rsid w:val="0032661F"/>
    <w:rsid w:val="00326720"/>
    <w:rsid w:val="0032688C"/>
    <w:rsid w:val="0032692E"/>
    <w:rsid w:val="00326F84"/>
    <w:rsid w:val="003273DB"/>
    <w:rsid w:val="00327401"/>
    <w:rsid w:val="00327969"/>
    <w:rsid w:val="00327B37"/>
    <w:rsid w:val="00327CBA"/>
    <w:rsid w:val="00327D99"/>
    <w:rsid w:val="00330BAC"/>
    <w:rsid w:val="00330E99"/>
    <w:rsid w:val="0033170F"/>
    <w:rsid w:val="00331BB9"/>
    <w:rsid w:val="00332215"/>
    <w:rsid w:val="00332C7D"/>
    <w:rsid w:val="00332CEE"/>
    <w:rsid w:val="00332DA8"/>
    <w:rsid w:val="00332E6D"/>
    <w:rsid w:val="00332F04"/>
    <w:rsid w:val="00333BC1"/>
    <w:rsid w:val="0033434C"/>
    <w:rsid w:val="00334B20"/>
    <w:rsid w:val="00335255"/>
    <w:rsid w:val="00335272"/>
    <w:rsid w:val="00335349"/>
    <w:rsid w:val="00335513"/>
    <w:rsid w:val="003355C8"/>
    <w:rsid w:val="00335C88"/>
    <w:rsid w:val="00336A6E"/>
    <w:rsid w:val="00336A8C"/>
    <w:rsid w:val="00336D85"/>
    <w:rsid w:val="0033719D"/>
    <w:rsid w:val="00340079"/>
    <w:rsid w:val="003407B7"/>
    <w:rsid w:val="0034183F"/>
    <w:rsid w:val="00341ABF"/>
    <w:rsid w:val="0034205C"/>
    <w:rsid w:val="003425CA"/>
    <w:rsid w:val="003426AD"/>
    <w:rsid w:val="00342BA1"/>
    <w:rsid w:val="00342C85"/>
    <w:rsid w:val="00342F79"/>
    <w:rsid w:val="003433F1"/>
    <w:rsid w:val="0034342E"/>
    <w:rsid w:val="00343CDF"/>
    <w:rsid w:val="00343DE2"/>
    <w:rsid w:val="00344517"/>
    <w:rsid w:val="003445AF"/>
    <w:rsid w:val="00344A6E"/>
    <w:rsid w:val="00344C32"/>
    <w:rsid w:val="0034508E"/>
    <w:rsid w:val="003457D9"/>
    <w:rsid w:val="00345A4B"/>
    <w:rsid w:val="003464A5"/>
    <w:rsid w:val="0034664D"/>
    <w:rsid w:val="003473A8"/>
    <w:rsid w:val="0034741E"/>
    <w:rsid w:val="00347AAC"/>
    <w:rsid w:val="00350359"/>
    <w:rsid w:val="00352D37"/>
    <w:rsid w:val="00353436"/>
    <w:rsid w:val="00353BC0"/>
    <w:rsid w:val="00353CD5"/>
    <w:rsid w:val="00354119"/>
    <w:rsid w:val="00354B39"/>
    <w:rsid w:val="00354C6D"/>
    <w:rsid w:val="0035540C"/>
    <w:rsid w:val="00356012"/>
    <w:rsid w:val="00356037"/>
    <w:rsid w:val="00356FE4"/>
    <w:rsid w:val="00357854"/>
    <w:rsid w:val="00357F22"/>
    <w:rsid w:val="00357FF0"/>
    <w:rsid w:val="00360522"/>
    <w:rsid w:val="0036169D"/>
    <w:rsid w:val="003616FD"/>
    <w:rsid w:val="003622B4"/>
    <w:rsid w:val="00362462"/>
    <w:rsid w:val="003628CF"/>
    <w:rsid w:val="00362A91"/>
    <w:rsid w:val="00362BF3"/>
    <w:rsid w:val="00362CB3"/>
    <w:rsid w:val="00362EB7"/>
    <w:rsid w:val="00362F9D"/>
    <w:rsid w:val="00362FCD"/>
    <w:rsid w:val="00363274"/>
    <w:rsid w:val="00363734"/>
    <w:rsid w:val="00363B62"/>
    <w:rsid w:val="00363B94"/>
    <w:rsid w:val="00363E5B"/>
    <w:rsid w:val="003640D3"/>
    <w:rsid w:val="0036411C"/>
    <w:rsid w:val="0036414F"/>
    <w:rsid w:val="0036441F"/>
    <w:rsid w:val="0036443A"/>
    <w:rsid w:val="00364BE7"/>
    <w:rsid w:val="00365999"/>
    <w:rsid w:val="00365E01"/>
    <w:rsid w:val="00366041"/>
    <w:rsid w:val="0036661D"/>
    <w:rsid w:val="00366C2C"/>
    <w:rsid w:val="00367327"/>
    <w:rsid w:val="0036799C"/>
    <w:rsid w:val="00370A96"/>
    <w:rsid w:val="003714FE"/>
    <w:rsid w:val="00371805"/>
    <w:rsid w:val="00371972"/>
    <w:rsid w:val="00371DAC"/>
    <w:rsid w:val="00371EE9"/>
    <w:rsid w:val="0037325E"/>
    <w:rsid w:val="003736C9"/>
    <w:rsid w:val="00373941"/>
    <w:rsid w:val="003739DC"/>
    <w:rsid w:val="00373CA3"/>
    <w:rsid w:val="00373FD6"/>
    <w:rsid w:val="003742CF"/>
    <w:rsid w:val="0037454B"/>
    <w:rsid w:val="00374779"/>
    <w:rsid w:val="00374A2B"/>
    <w:rsid w:val="00374CCC"/>
    <w:rsid w:val="00374F2D"/>
    <w:rsid w:val="00375528"/>
    <w:rsid w:val="003757A9"/>
    <w:rsid w:val="003758EF"/>
    <w:rsid w:val="003759E3"/>
    <w:rsid w:val="0037686B"/>
    <w:rsid w:val="003769F8"/>
    <w:rsid w:val="00376B88"/>
    <w:rsid w:val="00377074"/>
    <w:rsid w:val="00377594"/>
    <w:rsid w:val="00377735"/>
    <w:rsid w:val="003802C6"/>
    <w:rsid w:val="003802FF"/>
    <w:rsid w:val="003805C0"/>
    <w:rsid w:val="00380E82"/>
    <w:rsid w:val="0038127D"/>
    <w:rsid w:val="003814E3"/>
    <w:rsid w:val="003816AB"/>
    <w:rsid w:val="0038175B"/>
    <w:rsid w:val="00381C6A"/>
    <w:rsid w:val="00381EC2"/>
    <w:rsid w:val="00382335"/>
    <w:rsid w:val="003824A0"/>
    <w:rsid w:val="0038250C"/>
    <w:rsid w:val="00382545"/>
    <w:rsid w:val="00382A19"/>
    <w:rsid w:val="003835C9"/>
    <w:rsid w:val="00384B09"/>
    <w:rsid w:val="00384EEB"/>
    <w:rsid w:val="003850BB"/>
    <w:rsid w:val="00385904"/>
    <w:rsid w:val="00385E73"/>
    <w:rsid w:val="00386293"/>
    <w:rsid w:val="00386629"/>
    <w:rsid w:val="003868E2"/>
    <w:rsid w:val="00387171"/>
    <w:rsid w:val="003875C6"/>
    <w:rsid w:val="00387B22"/>
    <w:rsid w:val="00390267"/>
    <w:rsid w:val="00391676"/>
    <w:rsid w:val="003917DE"/>
    <w:rsid w:val="00391901"/>
    <w:rsid w:val="00391D9F"/>
    <w:rsid w:val="00391F94"/>
    <w:rsid w:val="00392270"/>
    <w:rsid w:val="00392A4D"/>
    <w:rsid w:val="00392C53"/>
    <w:rsid w:val="00393261"/>
    <w:rsid w:val="0039367D"/>
    <w:rsid w:val="00393C8E"/>
    <w:rsid w:val="00395209"/>
    <w:rsid w:val="0039556F"/>
    <w:rsid w:val="00395C3C"/>
    <w:rsid w:val="00395F42"/>
    <w:rsid w:val="0039684E"/>
    <w:rsid w:val="003973E5"/>
    <w:rsid w:val="003975FD"/>
    <w:rsid w:val="00397DD0"/>
    <w:rsid w:val="003A04FC"/>
    <w:rsid w:val="003A0B37"/>
    <w:rsid w:val="003A0E8A"/>
    <w:rsid w:val="003A10F8"/>
    <w:rsid w:val="003A110E"/>
    <w:rsid w:val="003A1AB5"/>
    <w:rsid w:val="003A1F30"/>
    <w:rsid w:val="003A20DC"/>
    <w:rsid w:val="003A20EC"/>
    <w:rsid w:val="003A34B8"/>
    <w:rsid w:val="003A3608"/>
    <w:rsid w:val="003A38E7"/>
    <w:rsid w:val="003A3A2E"/>
    <w:rsid w:val="003A3C95"/>
    <w:rsid w:val="003A529B"/>
    <w:rsid w:val="003A5776"/>
    <w:rsid w:val="003A5B97"/>
    <w:rsid w:val="003A68B8"/>
    <w:rsid w:val="003A6DEB"/>
    <w:rsid w:val="003A6E5F"/>
    <w:rsid w:val="003A753F"/>
    <w:rsid w:val="003A7D3D"/>
    <w:rsid w:val="003B0A64"/>
    <w:rsid w:val="003B0C96"/>
    <w:rsid w:val="003B10EE"/>
    <w:rsid w:val="003B120C"/>
    <w:rsid w:val="003B1560"/>
    <w:rsid w:val="003B1B25"/>
    <w:rsid w:val="003B1D56"/>
    <w:rsid w:val="003B1E2D"/>
    <w:rsid w:val="003B2282"/>
    <w:rsid w:val="003B2500"/>
    <w:rsid w:val="003B26B7"/>
    <w:rsid w:val="003B3769"/>
    <w:rsid w:val="003B3B84"/>
    <w:rsid w:val="003B4D1F"/>
    <w:rsid w:val="003B58A6"/>
    <w:rsid w:val="003B5D07"/>
    <w:rsid w:val="003B6211"/>
    <w:rsid w:val="003B6230"/>
    <w:rsid w:val="003B7223"/>
    <w:rsid w:val="003B7549"/>
    <w:rsid w:val="003B759C"/>
    <w:rsid w:val="003C09F9"/>
    <w:rsid w:val="003C0DF7"/>
    <w:rsid w:val="003C1033"/>
    <w:rsid w:val="003C14E3"/>
    <w:rsid w:val="003C1A26"/>
    <w:rsid w:val="003C1B9E"/>
    <w:rsid w:val="003C2DFE"/>
    <w:rsid w:val="003C31E1"/>
    <w:rsid w:val="003C3342"/>
    <w:rsid w:val="003C3735"/>
    <w:rsid w:val="003C3A9C"/>
    <w:rsid w:val="003C3F0E"/>
    <w:rsid w:val="003C4155"/>
    <w:rsid w:val="003C4211"/>
    <w:rsid w:val="003C49D5"/>
    <w:rsid w:val="003C4A7F"/>
    <w:rsid w:val="003C5202"/>
    <w:rsid w:val="003C5809"/>
    <w:rsid w:val="003C5CDD"/>
    <w:rsid w:val="003C5DF0"/>
    <w:rsid w:val="003C61EE"/>
    <w:rsid w:val="003C6EDC"/>
    <w:rsid w:val="003C746E"/>
    <w:rsid w:val="003C76F5"/>
    <w:rsid w:val="003D0EE1"/>
    <w:rsid w:val="003D11A6"/>
    <w:rsid w:val="003D1342"/>
    <w:rsid w:val="003D1B68"/>
    <w:rsid w:val="003D1FD1"/>
    <w:rsid w:val="003D20B4"/>
    <w:rsid w:val="003D24D6"/>
    <w:rsid w:val="003D2928"/>
    <w:rsid w:val="003D32BF"/>
    <w:rsid w:val="003D3CBE"/>
    <w:rsid w:val="003D416A"/>
    <w:rsid w:val="003D42F6"/>
    <w:rsid w:val="003D4635"/>
    <w:rsid w:val="003D473B"/>
    <w:rsid w:val="003D4A5A"/>
    <w:rsid w:val="003D4C88"/>
    <w:rsid w:val="003D4E4D"/>
    <w:rsid w:val="003D58DD"/>
    <w:rsid w:val="003D62F4"/>
    <w:rsid w:val="003D64CB"/>
    <w:rsid w:val="003D65A9"/>
    <w:rsid w:val="003D691A"/>
    <w:rsid w:val="003D730A"/>
    <w:rsid w:val="003D75F9"/>
    <w:rsid w:val="003D7B6B"/>
    <w:rsid w:val="003D7F1D"/>
    <w:rsid w:val="003E0219"/>
    <w:rsid w:val="003E09C9"/>
    <w:rsid w:val="003E16B1"/>
    <w:rsid w:val="003E1CDD"/>
    <w:rsid w:val="003E29BC"/>
    <w:rsid w:val="003E29C2"/>
    <w:rsid w:val="003E3117"/>
    <w:rsid w:val="003E3445"/>
    <w:rsid w:val="003E3DBB"/>
    <w:rsid w:val="003E3FA9"/>
    <w:rsid w:val="003E44A1"/>
    <w:rsid w:val="003E472C"/>
    <w:rsid w:val="003E4CAA"/>
    <w:rsid w:val="003E4E84"/>
    <w:rsid w:val="003E4F0E"/>
    <w:rsid w:val="003E5395"/>
    <w:rsid w:val="003E57D6"/>
    <w:rsid w:val="003E595D"/>
    <w:rsid w:val="003E5A40"/>
    <w:rsid w:val="003E63C2"/>
    <w:rsid w:val="003E6443"/>
    <w:rsid w:val="003E6450"/>
    <w:rsid w:val="003E6651"/>
    <w:rsid w:val="003E69DB"/>
    <w:rsid w:val="003E6FD8"/>
    <w:rsid w:val="003E729A"/>
    <w:rsid w:val="003E7799"/>
    <w:rsid w:val="003E780A"/>
    <w:rsid w:val="003E7AD9"/>
    <w:rsid w:val="003F00FD"/>
    <w:rsid w:val="003F08E9"/>
    <w:rsid w:val="003F0D7B"/>
    <w:rsid w:val="003F1251"/>
    <w:rsid w:val="003F129B"/>
    <w:rsid w:val="003F1A87"/>
    <w:rsid w:val="003F1ABE"/>
    <w:rsid w:val="003F1E0D"/>
    <w:rsid w:val="003F2B14"/>
    <w:rsid w:val="003F35B5"/>
    <w:rsid w:val="003F45E8"/>
    <w:rsid w:val="003F62C2"/>
    <w:rsid w:val="003F6A77"/>
    <w:rsid w:val="003F7102"/>
    <w:rsid w:val="003F7CE6"/>
    <w:rsid w:val="003F7EA9"/>
    <w:rsid w:val="00400122"/>
    <w:rsid w:val="0040094E"/>
    <w:rsid w:val="004009FC"/>
    <w:rsid w:val="0040204A"/>
    <w:rsid w:val="0040236C"/>
    <w:rsid w:val="00402413"/>
    <w:rsid w:val="0040251A"/>
    <w:rsid w:val="00402698"/>
    <w:rsid w:val="00402CDF"/>
    <w:rsid w:val="00402DC8"/>
    <w:rsid w:val="00403F22"/>
    <w:rsid w:val="00403FAF"/>
    <w:rsid w:val="004048EF"/>
    <w:rsid w:val="00404B6D"/>
    <w:rsid w:val="0040531F"/>
    <w:rsid w:val="00405666"/>
    <w:rsid w:val="00406001"/>
    <w:rsid w:val="00406484"/>
    <w:rsid w:val="00406AD3"/>
    <w:rsid w:val="00406CE0"/>
    <w:rsid w:val="004070AD"/>
    <w:rsid w:val="00407B3B"/>
    <w:rsid w:val="00407D88"/>
    <w:rsid w:val="00407FFC"/>
    <w:rsid w:val="00410CFC"/>
    <w:rsid w:val="00410DA5"/>
    <w:rsid w:val="00410EA8"/>
    <w:rsid w:val="004121A0"/>
    <w:rsid w:val="004124AB"/>
    <w:rsid w:val="00412CBE"/>
    <w:rsid w:val="004131BC"/>
    <w:rsid w:val="00413447"/>
    <w:rsid w:val="004136B6"/>
    <w:rsid w:val="00413DCA"/>
    <w:rsid w:val="00413DD3"/>
    <w:rsid w:val="00414334"/>
    <w:rsid w:val="00414C7F"/>
    <w:rsid w:val="00414F3E"/>
    <w:rsid w:val="00415109"/>
    <w:rsid w:val="004151CF"/>
    <w:rsid w:val="00415239"/>
    <w:rsid w:val="004157BB"/>
    <w:rsid w:val="00415B1C"/>
    <w:rsid w:val="00416503"/>
    <w:rsid w:val="00416907"/>
    <w:rsid w:val="00416ADF"/>
    <w:rsid w:val="00416E7B"/>
    <w:rsid w:val="00417013"/>
    <w:rsid w:val="00417068"/>
    <w:rsid w:val="004171F5"/>
    <w:rsid w:val="00417BAC"/>
    <w:rsid w:val="00417C66"/>
    <w:rsid w:val="00417F89"/>
    <w:rsid w:val="00421049"/>
    <w:rsid w:val="004213FF"/>
    <w:rsid w:val="0042179F"/>
    <w:rsid w:val="004217E1"/>
    <w:rsid w:val="004217FF"/>
    <w:rsid w:val="0042193F"/>
    <w:rsid w:val="00422113"/>
    <w:rsid w:val="00422289"/>
    <w:rsid w:val="0042294B"/>
    <w:rsid w:val="00422BC2"/>
    <w:rsid w:val="0042325E"/>
    <w:rsid w:val="00423332"/>
    <w:rsid w:val="00423952"/>
    <w:rsid w:val="00423B72"/>
    <w:rsid w:val="00424390"/>
    <w:rsid w:val="004245F9"/>
    <w:rsid w:val="00424A39"/>
    <w:rsid w:val="00424A65"/>
    <w:rsid w:val="00424BA4"/>
    <w:rsid w:val="00424D6A"/>
    <w:rsid w:val="00425F6E"/>
    <w:rsid w:val="0042653C"/>
    <w:rsid w:val="0042703C"/>
    <w:rsid w:val="00427592"/>
    <w:rsid w:val="004303C5"/>
    <w:rsid w:val="004304A3"/>
    <w:rsid w:val="00430786"/>
    <w:rsid w:val="004308BA"/>
    <w:rsid w:val="00430B2F"/>
    <w:rsid w:val="00431A5C"/>
    <w:rsid w:val="00431C19"/>
    <w:rsid w:val="00431C41"/>
    <w:rsid w:val="00431F86"/>
    <w:rsid w:val="004322F6"/>
    <w:rsid w:val="0043257F"/>
    <w:rsid w:val="00432719"/>
    <w:rsid w:val="00432CC3"/>
    <w:rsid w:val="00432E13"/>
    <w:rsid w:val="00433106"/>
    <w:rsid w:val="004332E1"/>
    <w:rsid w:val="00433465"/>
    <w:rsid w:val="0043351B"/>
    <w:rsid w:val="00433AC8"/>
    <w:rsid w:val="00434018"/>
    <w:rsid w:val="00434577"/>
    <w:rsid w:val="0043468B"/>
    <w:rsid w:val="00434991"/>
    <w:rsid w:val="00434C35"/>
    <w:rsid w:val="00434CC3"/>
    <w:rsid w:val="00434CC6"/>
    <w:rsid w:val="004351CC"/>
    <w:rsid w:val="00435465"/>
    <w:rsid w:val="00435498"/>
    <w:rsid w:val="004355CB"/>
    <w:rsid w:val="00435622"/>
    <w:rsid w:val="00436229"/>
    <w:rsid w:val="004367D6"/>
    <w:rsid w:val="004369C9"/>
    <w:rsid w:val="00436C53"/>
    <w:rsid w:val="00436F94"/>
    <w:rsid w:val="00437147"/>
    <w:rsid w:val="0043730E"/>
    <w:rsid w:val="00437CCE"/>
    <w:rsid w:val="00440370"/>
    <w:rsid w:val="00440A79"/>
    <w:rsid w:val="00440C17"/>
    <w:rsid w:val="00440C91"/>
    <w:rsid w:val="00440CC4"/>
    <w:rsid w:val="00441258"/>
    <w:rsid w:val="00441370"/>
    <w:rsid w:val="004414AB"/>
    <w:rsid w:val="0044157F"/>
    <w:rsid w:val="004416F8"/>
    <w:rsid w:val="0044248E"/>
    <w:rsid w:val="004425F6"/>
    <w:rsid w:val="004430E4"/>
    <w:rsid w:val="0044318E"/>
    <w:rsid w:val="00443677"/>
    <w:rsid w:val="00443730"/>
    <w:rsid w:val="00443769"/>
    <w:rsid w:val="0044437B"/>
    <w:rsid w:val="0044672B"/>
    <w:rsid w:val="004468F7"/>
    <w:rsid w:val="00446BF2"/>
    <w:rsid w:val="004474F5"/>
    <w:rsid w:val="004476C4"/>
    <w:rsid w:val="00447CC9"/>
    <w:rsid w:val="004500BE"/>
    <w:rsid w:val="00450422"/>
    <w:rsid w:val="0045076D"/>
    <w:rsid w:val="0045082E"/>
    <w:rsid w:val="004508D2"/>
    <w:rsid w:val="00450C6B"/>
    <w:rsid w:val="00450E5B"/>
    <w:rsid w:val="0045192C"/>
    <w:rsid w:val="0045198E"/>
    <w:rsid w:val="00451ABF"/>
    <w:rsid w:val="00451AF8"/>
    <w:rsid w:val="00451CC9"/>
    <w:rsid w:val="00452556"/>
    <w:rsid w:val="00453151"/>
    <w:rsid w:val="00453228"/>
    <w:rsid w:val="00453B56"/>
    <w:rsid w:val="00454025"/>
    <w:rsid w:val="004540DB"/>
    <w:rsid w:val="004542F7"/>
    <w:rsid w:val="004543D0"/>
    <w:rsid w:val="00454C83"/>
    <w:rsid w:val="00455169"/>
    <w:rsid w:val="00455578"/>
    <w:rsid w:val="004557EC"/>
    <w:rsid w:val="00455B14"/>
    <w:rsid w:val="00455B1E"/>
    <w:rsid w:val="00455D6A"/>
    <w:rsid w:val="00456258"/>
    <w:rsid w:val="004567A8"/>
    <w:rsid w:val="00456C64"/>
    <w:rsid w:val="00460414"/>
    <w:rsid w:val="004604C3"/>
    <w:rsid w:val="004609D5"/>
    <w:rsid w:val="00461532"/>
    <w:rsid w:val="0046221C"/>
    <w:rsid w:val="004629EF"/>
    <w:rsid w:val="00462A5E"/>
    <w:rsid w:val="00462C0A"/>
    <w:rsid w:val="00463022"/>
    <w:rsid w:val="00463A5B"/>
    <w:rsid w:val="00463D21"/>
    <w:rsid w:val="0046421E"/>
    <w:rsid w:val="0046449F"/>
    <w:rsid w:val="00464800"/>
    <w:rsid w:val="00464BC6"/>
    <w:rsid w:val="00464EE1"/>
    <w:rsid w:val="00465039"/>
    <w:rsid w:val="00465A61"/>
    <w:rsid w:val="00465B92"/>
    <w:rsid w:val="0046750D"/>
    <w:rsid w:val="00467602"/>
    <w:rsid w:val="00467605"/>
    <w:rsid w:val="00467996"/>
    <w:rsid w:val="0047051F"/>
    <w:rsid w:val="00470572"/>
    <w:rsid w:val="00470643"/>
    <w:rsid w:val="004706B8"/>
    <w:rsid w:val="00470AC4"/>
    <w:rsid w:val="00471BB2"/>
    <w:rsid w:val="004727C6"/>
    <w:rsid w:val="00472CAD"/>
    <w:rsid w:val="00472EFF"/>
    <w:rsid w:val="0047300E"/>
    <w:rsid w:val="00473562"/>
    <w:rsid w:val="00473892"/>
    <w:rsid w:val="00474575"/>
    <w:rsid w:val="00474FDA"/>
    <w:rsid w:val="004757FB"/>
    <w:rsid w:val="00476D9B"/>
    <w:rsid w:val="00476F1F"/>
    <w:rsid w:val="00477067"/>
    <w:rsid w:val="004774AC"/>
    <w:rsid w:val="004774F7"/>
    <w:rsid w:val="00477661"/>
    <w:rsid w:val="00477B05"/>
    <w:rsid w:val="00480158"/>
    <w:rsid w:val="00480B9F"/>
    <w:rsid w:val="00480C9B"/>
    <w:rsid w:val="004822CB"/>
    <w:rsid w:val="004828B0"/>
    <w:rsid w:val="00482D34"/>
    <w:rsid w:val="00483022"/>
    <w:rsid w:val="004837B9"/>
    <w:rsid w:val="00483AB0"/>
    <w:rsid w:val="0048422B"/>
    <w:rsid w:val="004845DA"/>
    <w:rsid w:val="0048464B"/>
    <w:rsid w:val="00484A62"/>
    <w:rsid w:val="00485A09"/>
    <w:rsid w:val="00485AAC"/>
    <w:rsid w:val="00485DB8"/>
    <w:rsid w:val="00486481"/>
    <w:rsid w:val="004866E4"/>
    <w:rsid w:val="004867EA"/>
    <w:rsid w:val="00486E4A"/>
    <w:rsid w:val="004870FB"/>
    <w:rsid w:val="00487344"/>
    <w:rsid w:val="00487A75"/>
    <w:rsid w:val="00487CC4"/>
    <w:rsid w:val="00487FEA"/>
    <w:rsid w:val="004900DE"/>
    <w:rsid w:val="00490724"/>
    <w:rsid w:val="004907D6"/>
    <w:rsid w:val="004908D6"/>
    <w:rsid w:val="00490FD1"/>
    <w:rsid w:val="00491645"/>
    <w:rsid w:val="004916E7"/>
    <w:rsid w:val="00491ACE"/>
    <w:rsid w:val="00491E43"/>
    <w:rsid w:val="00492943"/>
    <w:rsid w:val="00492C03"/>
    <w:rsid w:val="00493644"/>
    <w:rsid w:val="004939A4"/>
    <w:rsid w:val="004942F0"/>
    <w:rsid w:val="00494426"/>
    <w:rsid w:val="00494644"/>
    <w:rsid w:val="004949AC"/>
    <w:rsid w:val="00494F59"/>
    <w:rsid w:val="00495094"/>
    <w:rsid w:val="004950F6"/>
    <w:rsid w:val="00495206"/>
    <w:rsid w:val="004966E1"/>
    <w:rsid w:val="0049728E"/>
    <w:rsid w:val="00497837"/>
    <w:rsid w:val="004A020B"/>
    <w:rsid w:val="004A07BD"/>
    <w:rsid w:val="004A0B83"/>
    <w:rsid w:val="004A107F"/>
    <w:rsid w:val="004A12E6"/>
    <w:rsid w:val="004A1647"/>
    <w:rsid w:val="004A18C8"/>
    <w:rsid w:val="004A2FE1"/>
    <w:rsid w:val="004A3114"/>
    <w:rsid w:val="004A3A00"/>
    <w:rsid w:val="004A3A7B"/>
    <w:rsid w:val="004A3B7F"/>
    <w:rsid w:val="004A3FD4"/>
    <w:rsid w:val="004A4581"/>
    <w:rsid w:val="004A469D"/>
    <w:rsid w:val="004A4A85"/>
    <w:rsid w:val="004A4B1D"/>
    <w:rsid w:val="004A59A7"/>
    <w:rsid w:val="004A5BE2"/>
    <w:rsid w:val="004A5E2D"/>
    <w:rsid w:val="004A5E39"/>
    <w:rsid w:val="004A6CF2"/>
    <w:rsid w:val="004A73BC"/>
    <w:rsid w:val="004A74BA"/>
    <w:rsid w:val="004A7547"/>
    <w:rsid w:val="004B04CC"/>
    <w:rsid w:val="004B0815"/>
    <w:rsid w:val="004B0E55"/>
    <w:rsid w:val="004B1AA9"/>
    <w:rsid w:val="004B2A32"/>
    <w:rsid w:val="004B2ECE"/>
    <w:rsid w:val="004B2FC2"/>
    <w:rsid w:val="004B3AAA"/>
    <w:rsid w:val="004B3D26"/>
    <w:rsid w:val="004B537B"/>
    <w:rsid w:val="004B6A2D"/>
    <w:rsid w:val="004B7248"/>
    <w:rsid w:val="004B75F2"/>
    <w:rsid w:val="004C05CE"/>
    <w:rsid w:val="004C0908"/>
    <w:rsid w:val="004C0FD2"/>
    <w:rsid w:val="004C1008"/>
    <w:rsid w:val="004C102F"/>
    <w:rsid w:val="004C12E3"/>
    <w:rsid w:val="004C1BF6"/>
    <w:rsid w:val="004C2471"/>
    <w:rsid w:val="004C2AFF"/>
    <w:rsid w:val="004C4176"/>
    <w:rsid w:val="004C4420"/>
    <w:rsid w:val="004C4EC4"/>
    <w:rsid w:val="004C50F8"/>
    <w:rsid w:val="004C53B4"/>
    <w:rsid w:val="004C5A47"/>
    <w:rsid w:val="004C5F26"/>
    <w:rsid w:val="004C6331"/>
    <w:rsid w:val="004C637F"/>
    <w:rsid w:val="004C65DC"/>
    <w:rsid w:val="004C66F5"/>
    <w:rsid w:val="004C68FD"/>
    <w:rsid w:val="004C714B"/>
    <w:rsid w:val="004C715F"/>
    <w:rsid w:val="004C72C8"/>
    <w:rsid w:val="004C7E6B"/>
    <w:rsid w:val="004D03B6"/>
    <w:rsid w:val="004D04B4"/>
    <w:rsid w:val="004D09AC"/>
    <w:rsid w:val="004D0A8B"/>
    <w:rsid w:val="004D14C3"/>
    <w:rsid w:val="004D17C8"/>
    <w:rsid w:val="004D17F4"/>
    <w:rsid w:val="004D2D40"/>
    <w:rsid w:val="004D3487"/>
    <w:rsid w:val="004D34F5"/>
    <w:rsid w:val="004D3DBA"/>
    <w:rsid w:val="004D3E5F"/>
    <w:rsid w:val="004D4018"/>
    <w:rsid w:val="004D450E"/>
    <w:rsid w:val="004D49B1"/>
    <w:rsid w:val="004D4A10"/>
    <w:rsid w:val="004D4A90"/>
    <w:rsid w:val="004D4D12"/>
    <w:rsid w:val="004D507D"/>
    <w:rsid w:val="004D5354"/>
    <w:rsid w:val="004D6384"/>
    <w:rsid w:val="004D68D0"/>
    <w:rsid w:val="004D6C1D"/>
    <w:rsid w:val="004D7DE4"/>
    <w:rsid w:val="004D7E06"/>
    <w:rsid w:val="004E06D7"/>
    <w:rsid w:val="004E2836"/>
    <w:rsid w:val="004E2BDC"/>
    <w:rsid w:val="004E2DAD"/>
    <w:rsid w:val="004E2EC0"/>
    <w:rsid w:val="004E38C1"/>
    <w:rsid w:val="004E3EE7"/>
    <w:rsid w:val="004E428F"/>
    <w:rsid w:val="004E45FD"/>
    <w:rsid w:val="004E4911"/>
    <w:rsid w:val="004E4946"/>
    <w:rsid w:val="004E4AE2"/>
    <w:rsid w:val="004E4C19"/>
    <w:rsid w:val="004E506A"/>
    <w:rsid w:val="004E517E"/>
    <w:rsid w:val="004E6149"/>
    <w:rsid w:val="004E61AF"/>
    <w:rsid w:val="004E6205"/>
    <w:rsid w:val="004E6447"/>
    <w:rsid w:val="004E6E14"/>
    <w:rsid w:val="004E6F9A"/>
    <w:rsid w:val="004E760C"/>
    <w:rsid w:val="004E761E"/>
    <w:rsid w:val="004E767D"/>
    <w:rsid w:val="004E77A4"/>
    <w:rsid w:val="004E7B08"/>
    <w:rsid w:val="004E7EFF"/>
    <w:rsid w:val="004E7F89"/>
    <w:rsid w:val="004F0089"/>
    <w:rsid w:val="004F0115"/>
    <w:rsid w:val="004F04C7"/>
    <w:rsid w:val="004F1BEE"/>
    <w:rsid w:val="004F20C8"/>
    <w:rsid w:val="004F22C1"/>
    <w:rsid w:val="004F2AD2"/>
    <w:rsid w:val="004F308B"/>
    <w:rsid w:val="004F3102"/>
    <w:rsid w:val="004F3176"/>
    <w:rsid w:val="004F3473"/>
    <w:rsid w:val="004F3743"/>
    <w:rsid w:val="004F42FC"/>
    <w:rsid w:val="004F4A82"/>
    <w:rsid w:val="004F4B14"/>
    <w:rsid w:val="004F4B37"/>
    <w:rsid w:val="004F4EE9"/>
    <w:rsid w:val="004F4FE8"/>
    <w:rsid w:val="004F5047"/>
    <w:rsid w:val="004F53F9"/>
    <w:rsid w:val="004F57C4"/>
    <w:rsid w:val="004F5D31"/>
    <w:rsid w:val="004F6013"/>
    <w:rsid w:val="004F65F4"/>
    <w:rsid w:val="004F67DB"/>
    <w:rsid w:val="004F686D"/>
    <w:rsid w:val="004F6C21"/>
    <w:rsid w:val="004F6E1A"/>
    <w:rsid w:val="004F6EAB"/>
    <w:rsid w:val="004F728E"/>
    <w:rsid w:val="004F74F2"/>
    <w:rsid w:val="0050028B"/>
    <w:rsid w:val="00500342"/>
    <w:rsid w:val="00500487"/>
    <w:rsid w:val="005006AF"/>
    <w:rsid w:val="005008A8"/>
    <w:rsid w:val="0050097E"/>
    <w:rsid w:val="00500BFF"/>
    <w:rsid w:val="00501133"/>
    <w:rsid w:val="00501333"/>
    <w:rsid w:val="005014E5"/>
    <w:rsid w:val="0050277A"/>
    <w:rsid w:val="005029A5"/>
    <w:rsid w:val="00502B3E"/>
    <w:rsid w:val="00502E55"/>
    <w:rsid w:val="00503D7E"/>
    <w:rsid w:val="00503DBA"/>
    <w:rsid w:val="00503DD4"/>
    <w:rsid w:val="00504C51"/>
    <w:rsid w:val="0050503A"/>
    <w:rsid w:val="0050509D"/>
    <w:rsid w:val="00505131"/>
    <w:rsid w:val="0050561E"/>
    <w:rsid w:val="005059C1"/>
    <w:rsid w:val="00505B84"/>
    <w:rsid w:val="00506105"/>
    <w:rsid w:val="00506946"/>
    <w:rsid w:val="00507191"/>
    <w:rsid w:val="00507690"/>
    <w:rsid w:val="00507715"/>
    <w:rsid w:val="0050780A"/>
    <w:rsid w:val="005114E7"/>
    <w:rsid w:val="00511BDA"/>
    <w:rsid w:val="00511C87"/>
    <w:rsid w:val="00511D89"/>
    <w:rsid w:val="00512648"/>
    <w:rsid w:val="00512703"/>
    <w:rsid w:val="00512924"/>
    <w:rsid w:val="00512E40"/>
    <w:rsid w:val="0051310C"/>
    <w:rsid w:val="00513479"/>
    <w:rsid w:val="00513EC9"/>
    <w:rsid w:val="00514706"/>
    <w:rsid w:val="00514A89"/>
    <w:rsid w:val="00514BDF"/>
    <w:rsid w:val="00515214"/>
    <w:rsid w:val="00515E22"/>
    <w:rsid w:val="00516059"/>
    <w:rsid w:val="00516654"/>
    <w:rsid w:val="00516789"/>
    <w:rsid w:val="0051686C"/>
    <w:rsid w:val="00516F20"/>
    <w:rsid w:val="00517329"/>
    <w:rsid w:val="00517E79"/>
    <w:rsid w:val="005204CE"/>
    <w:rsid w:val="00520566"/>
    <w:rsid w:val="00520690"/>
    <w:rsid w:val="00520FF4"/>
    <w:rsid w:val="005219B3"/>
    <w:rsid w:val="00521A0F"/>
    <w:rsid w:val="00522902"/>
    <w:rsid w:val="00522BF0"/>
    <w:rsid w:val="00522E4F"/>
    <w:rsid w:val="00522E68"/>
    <w:rsid w:val="0052301E"/>
    <w:rsid w:val="00523AF8"/>
    <w:rsid w:val="00524BBC"/>
    <w:rsid w:val="00524F6E"/>
    <w:rsid w:val="005253A7"/>
    <w:rsid w:val="0052558E"/>
    <w:rsid w:val="005258C0"/>
    <w:rsid w:val="00525908"/>
    <w:rsid w:val="00526C05"/>
    <w:rsid w:val="00527258"/>
    <w:rsid w:val="005278F7"/>
    <w:rsid w:val="00527C5C"/>
    <w:rsid w:val="00527F3C"/>
    <w:rsid w:val="00530C34"/>
    <w:rsid w:val="00530C80"/>
    <w:rsid w:val="00530DE2"/>
    <w:rsid w:val="00530F95"/>
    <w:rsid w:val="00531334"/>
    <w:rsid w:val="00531556"/>
    <w:rsid w:val="00531BF0"/>
    <w:rsid w:val="00531C49"/>
    <w:rsid w:val="00532269"/>
    <w:rsid w:val="00532F43"/>
    <w:rsid w:val="00533B15"/>
    <w:rsid w:val="00534AB5"/>
    <w:rsid w:val="00535094"/>
    <w:rsid w:val="005353DB"/>
    <w:rsid w:val="005357E0"/>
    <w:rsid w:val="00535E57"/>
    <w:rsid w:val="0053644D"/>
    <w:rsid w:val="0053652D"/>
    <w:rsid w:val="0053661B"/>
    <w:rsid w:val="0053684B"/>
    <w:rsid w:val="00536A08"/>
    <w:rsid w:val="00536C18"/>
    <w:rsid w:val="00536DAB"/>
    <w:rsid w:val="00536E2F"/>
    <w:rsid w:val="005374A8"/>
    <w:rsid w:val="005374CF"/>
    <w:rsid w:val="00537D48"/>
    <w:rsid w:val="005400F8"/>
    <w:rsid w:val="005400FC"/>
    <w:rsid w:val="00540198"/>
    <w:rsid w:val="00540238"/>
    <w:rsid w:val="00540D3B"/>
    <w:rsid w:val="00541253"/>
    <w:rsid w:val="00541429"/>
    <w:rsid w:val="00541B81"/>
    <w:rsid w:val="00541CD5"/>
    <w:rsid w:val="00541F97"/>
    <w:rsid w:val="00542271"/>
    <w:rsid w:val="005428BA"/>
    <w:rsid w:val="00542B92"/>
    <w:rsid w:val="00542BC4"/>
    <w:rsid w:val="00543293"/>
    <w:rsid w:val="00543398"/>
    <w:rsid w:val="005437CF"/>
    <w:rsid w:val="00543ED1"/>
    <w:rsid w:val="00543F0B"/>
    <w:rsid w:val="0054435D"/>
    <w:rsid w:val="00544541"/>
    <w:rsid w:val="005447C0"/>
    <w:rsid w:val="00544E4B"/>
    <w:rsid w:val="00544F6C"/>
    <w:rsid w:val="005453D5"/>
    <w:rsid w:val="005454D7"/>
    <w:rsid w:val="005458F7"/>
    <w:rsid w:val="00545AD2"/>
    <w:rsid w:val="00545E72"/>
    <w:rsid w:val="005468A1"/>
    <w:rsid w:val="005469C2"/>
    <w:rsid w:val="00547131"/>
    <w:rsid w:val="0054785B"/>
    <w:rsid w:val="005504BE"/>
    <w:rsid w:val="005506ED"/>
    <w:rsid w:val="00550EE3"/>
    <w:rsid w:val="005513BF"/>
    <w:rsid w:val="005513FC"/>
    <w:rsid w:val="005519B4"/>
    <w:rsid w:val="00552F06"/>
    <w:rsid w:val="00552FBF"/>
    <w:rsid w:val="005531A2"/>
    <w:rsid w:val="00553814"/>
    <w:rsid w:val="005541BC"/>
    <w:rsid w:val="005549AD"/>
    <w:rsid w:val="005553DF"/>
    <w:rsid w:val="0055650D"/>
    <w:rsid w:val="00556DBE"/>
    <w:rsid w:val="0055740B"/>
    <w:rsid w:val="00557B00"/>
    <w:rsid w:val="005608D5"/>
    <w:rsid w:val="005608E2"/>
    <w:rsid w:val="0056092C"/>
    <w:rsid w:val="005609EA"/>
    <w:rsid w:val="00561103"/>
    <w:rsid w:val="0056166C"/>
    <w:rsid w:val="005621B4"/>
    <w:rsid w:val="005628D9"/>
    <w:rsid w:val="00562B93"/>
    <w:rsid w:val="0056336F"/>
    <w:rsid w:val="00563659"/>
    <w:rsid w:val="00563B11"/>
    <w:rsid w:val="00564068"/>
    <w:rsid w:val="00564B8E"/>
    <w:rsid w:val="0056525E"/>
    <w:rsid w:val="00565DAB"/>
    <w:rsid w:val="005660D1"/>
    <w:rsid w:val="0056647F"/>
    <w:rsid w:val="00566588"/>
    <w:rsid w:val="00566E88"/>
    <w:rsid w:val="005671A9"/>
    <w:rsid w:val="005671B7"/>
    <w:rsid w:val="00567EEF"/>
    <w:rsid w:val="0057040A"/>
    <w:rsid w:val="00570670"/>
    <w:rsid w:val="00570A8F"/>
    <w:rsid w:val="00570A9B"/>
    <w:rsid w:val="00570D5E"/>
    <w:rsid w:val="00570EE9"/>
    <w:rsid w:val="00570FBD"/>
    <w:rsid w:val="005713F7"/>
    <w:rsid w:val="00571817"/>
    <w:rsid w:val="0057193E"/>
    <w:rsid w:val="00571DB0"/>
    <w:rsid w:val="00571F43"/>
    <w:rsid w:val="0057253D"/>
    <w:rsid w:val="00572D33"/>
    <w:rsid w:val="00572DE5"/>
    <w:rsid w:val="00574593"/>
    <w:rsid w:val="00574D7C"/>
    <w:rsid w:val="005753DC"/>
    <w:rsid w:val="00576208"/>
    <w:rsid w:val="00576768"/>
    <w:rsid w:val="00576825"/>
    <w:rsid w:val="00576AB1"/>
    <w:rsid w:val="005775FA"/>
    <w:rsid w:val="0057794A"/>
    <w:rsid w:val="005800B4"/>
    <w:rsid w:val="00580938"/>
    <w:rsid w:val="00580F3F"/>
    <w:rsid w:val="005817DD"/>
    <w:rsid w:val="00581C56"/>
    <w:rsid w:val="00582634"/>
    <w:rsid w:val="00582C08"/>
    <w:rsid w:val="00582E2B"/>
    <w:rsid w:val="00583280"/>
    <w:rsid w:val="005834FF"/>
    <w:rsid w:val="00583804"/>
    <w:rsid w:val="00583A52"/>
    <w:rsid w:val="00583AF1"/>
    <w:rsid w:val="00583C74"/>
    <w:rsid w:val="0058427D"/>
    <w:rsid w:val="00584487"/>
    <w:rsid w:val="005849EF"/>
    <w:rsid w:val="00584B09"/>
    <w:rsid w:val="00584DA4"/>
    <w:rsid w:val="0058585C"/>
    <w:rsid w:val="0058585E"/>
    <w:rsid w:val="00585C1E"/>
    <w:rsid w:val="00585CBF"/>
    <w:rsid w:val="00586068"/>
    <w:rsid w:val="00586283"/>
    <w:rsid w:val="00587063"/>
    <w:rsid w:val="0058766F"/>
    <w:rsid w:val="00587686"/>
    <w:rsid w:val="00590228"/>
    <w:rsid w:val="005902EE"/>
    <w:rsid w:val="0059101C"/>
    <w:rsid w:val="00591125"/>
    <w:rsid w:val="00591571"/>
    <w:rsid w:val="005917AC"/>
    <w:rsid w:val="00591D54"/>
    <w:rsid w:val="00592286"/>
    <w:rsid w:val="005926B4"/>
    <w:rsid w:val="00594313"/>
    <w:rsid w:val="005947B3"/>
    <w:rsid w:val="00594A5A"/>
    <w:rsid w:val="00594C95"/>
    <w:rsid w:val="005959C9"/>
    <w:rsid w:val="00596102"/>
    <w:rsid w:val="00596104"/>
    <w:rsid w:val="00596337"/>
    <w:rsid w:val="00596924"/>
    <w:rsid w:val="00596CD5"/>
    <w:rsid w:val="00597071"/>
    <w:rsid w:val="00597231"/>
    <w:rsid w:val="00597462"/>
    <w:rsid w:val="00597A10"/>
    <w:rsid w:val="00597EED"/>
    <w:rsid w:val="005A0085"/>
    <w:rsid w:val="005A0907"/>
    <w:rsid w:val="005A0965"/>
    <w:rsid w:val="005A0AA9"/>
    <w:rsid w:val="005A0D12"/>
    <w:rsid w:val="005A0D31"/>
    <w:rsid w:val="005A0F89"/>
    <w:rsid w:val="005A39A5"/>
    <w:rsid w:val="005A409F"/>
    <w:rsid w:val="005A47E1"/>
    <w:rsid w:val="005A48B7"/>
    <w:rsid w:val="005A4A07"/>
    <w:rsid w:val="005A4B81"/>
    <w:rsid w:val="005A540B"/>
    <w:rsid w:val="005A547D"/>
    <w:rsid w:val="005A556D"/>
    <w:rsid w:val="005A56B6"/>
    <w:rsid w:val="005A77C3"/>
    <w:rsid w:val="005A7833"/>
    <w:rsid w:val="005A7A5E"/>
    <w:rsid w:val="005A7B2E"/>
    <w:rsid w:val="005A7F04"/>
    <w:rsid w:val="005B146C"/>
    <w:rsid w:val="005B16A9"/>
    <w:rsid w:val="005B1D78"/>
    <w:rsid w:val="005B1EF5"/>
    <w:rsid w:val="005B1F11"/>
    <w:rsid w:val="005B2877"/>
    <w:rsid w:val="005B2A83"/>
    <w:rsid w:val="005B2C2C"/>
    <w:rsid w:val="005B3572"/>
    <w:rsid w:val="005B3924"/>
    <w:rsid w:val="005B3A40"/>
    <w:rsid w:val="005B43A3"/>
    <w:rsid w:val="005B4512"/>
    <w:rsid w:val="005B46F6"/>
    <w:rsid w:val="005B4C54"/>
    <w:rsid w:val="005B4F8B"/>
    <w:rsid w:val="005B4F9D"/>
    <w:rsid w:val="005B506D"/>
    <w:rsid w:val="005B5771"/>
    <w:rsid w:val="005B59D1"/>
    <w:rsid w:val="005B66DF"/>
    <w:rsid w:val="005B7361"/>
    <w:rsid w:val="005B7DA5"/>
    <w:rsid w:val="005C0373"/>
    <w:rsid w:val="005C0C4C"/>
    <w:rsid w:val="005C0DC8"/>
    <w:rsid w:val="005C0E76"/>
    <w:rsid w:val="005C0FC8"/>
    <w:rsid w:val="005C1351"/>
    <w:rsid w:val="005C152F"/>
    <w:rsid w:val="005C1883"/>
    <w:rsid w:val="005C1A5E"/>
    <w:rsid w:val="005C1AA3"/>
    <w:rsid w:val="005C1C36"/>
    <w:rsid w:val="005C2EE9"/>
    <w:rsid w:val="005C3A53"/>
    <w:rsid w:val="005C3E98"/>
    <w:rsid w:val="005C437F"/>
    <w:rsid w:val="005C4E8C"/>
    <w:rsid w:val="005C5040"/>
    <w:rsid w:val="005C5728"/>
    <w:rsid w:val="005C5A4B"/>
    <w:rsid w:val="005C5E72"/>
    <w:rsid w:val="005C615F"/>
    <w:rsid w:val="005C6F7A"/>
    <w:rsid w:val="005C71F1"/>
    <w:rsid w:val="005C7370"/>
    <w:rsid w:val="005D0250"/>
    <w:rsid w:val="005D0603"/>
    <w:rsid w:val="005D0821"/>
    <w:rsid w:val="005D0F98"/>
    <w:rsid w:val="005D0FBA"/>
    <w:rsid w:val="005D10E0"/>
    <w:rsid w:val="005D1C31"/>
    <w:rsid w:val="005D1FEB"/>
    <w:rsid w:val="005D241B"/>
    <w:rsid w:val="005D267F"/>
    <w:rsid w:val="005D29E0"/>
    <w:rsid w:val="005D2B31"/>
    <w:rsid w:val="005D3A30"/>
    <w:rsid w:val="005D3AF9"/>
    <w:rsid w:val="005D3B60"/>
    <w:rsid w:val="005D3EDB"/>
    <w:rsid w:val="005D3FA3"/>
    <w:rsid w:val="005D4696"/>
    <w:rsid w:val="005D486D"/>
    <w:rsid w:val="005D48B9"/>
    <w:rsid w:val="005D4B7C"/>
    <w:rsid w:val="005D4C61"/>
    <w:rsid w:val="005D559A"/>
    <w:rsid w:val="005D5C0F"/>
    <w:rsid w:val="005D60DB"/>
    <w:rsid w:val="005D6104"/>
    <w:rsid w:val="005D66CD"/>
    <w:rsid w:val="005D68F4"/>
    <w:rsid w:val="005D69A8"/>
    <w:rsid w:val="005D708E"/>
    <w:rsid w:val="005D7355"/>
    <w:rsid w:val="005D75C3"/>
    <w:rsid w:val="005D7768"/>
    <w:rsid w:val="005D79E3"/>
    <w:rsid w:val="005D7A91"/>
    <w:rsid w:val="005D7B21"/>
    <w:rsid w:val="005D7CC5"/>
    <w:rsid w:val="005E0134"/>
    <w:rsid w:val="005E016A"/>
    <w:rsid w:val="005E098E"/>
    <w:rsid w:val="005E099D"/>
    <w:rsid w:val="005E0B35"/>
    <w:rsid w:val="005E0C3D"/>
    <w:rsid w:val="005E11EA"/>
    <w:rsid w:val="005E17A5"/>
    <w:rsid w:val="005E1A27"/>
    <w:rsid w:val="005E1B52"/>
    <w:rsid w:val="005E223E"/>
    <w:rsid w:val="005E269B"/>
    <w:rsid w:val="005E28DB"/>
    <w:rsid w:val="005E33DE"/>
    <w:rsid w:val="005E347E"/>
    <w:rsid w:val="005E44E4"/>
    <w:rsid w:val="005E4767"/>
    <w:rsid w:val="005E49A8"/>
    <w:rsid w:val="005E61B7"/>
    <w:rsid w:val="005E62C5"/>
    <w:rsid w:val="005E69DD"/>
    <w:rsid w:val="005E7BB0"/>
    <w:rsid w:val="005E7BE0"/>
    <w:rsid w:val="005F065D"/>
    <w:rsid w:val="005F0673"/>
    <w:rsid w:val="005F0697"/>
    <w:rsid w:val="005F0E10"/>
    <w:rsid w:val="005F30EE"/>
    <w:rsid w:val="005F32B6"/>
    <w:rsid w:val="005F379D"/>
    <w:rsid w:val="005F3CF2"/>
    <w:rsid w:val="005F3EF9"/>
    <w:rsid w:val="005F42C1"/>
    <w:rsid w:val="005F4FDF"/>
    <w:rsid w:val="005F5419"/>
    <w:rsid w:val="005F6157"/>
    <w:rsid w:val="005F72A6"/>
    <w:rsid w:val="005F7974"/>
    <w:rsid w:val="0060035C"/>
    <w:rsid w:val="006006DB"/>
    <w:rsid w:val="006025A3"/>
    <w:rsid w:val="0060280C"/>
    <w:rsid w:val="0060292B"/>
    <w:rsid w:val="006039C5"/>
    <w:rsid w:val="00603AAB"/>
    <w:rsid w:val="00603B01"/>
    <w:rsid w:val="00603CCB"/>
    <w:rsid w:val="006052B3"/>
    <w:rsid w:val="00605699"/>
    <w:rsid w:val="006059E3"/>
    <w:rsid w:val="00605F67"/>
    <w:rsid w:val="006066E6"/>
    <w:rsid w:val="0060686D"/>
    <w:rsid w:val="00606EB4"/>
    <w:rsid w:val="0060793C"/>
    <w:rsid w:val="00607976"/>
    <w:rsid w:val="00607F7E"/>
    <w:rsid w:val="00610278"/>
    <w:rsid w:val="006107E7"/>
    <w:rsid w:val="00610C47"/>
    <w:rsid w:val="00611645"/>
    <w:rsid w:val="00611A18"/>
    <w:rsid w:val="0061255C"/>
    <w:rsid w:val="006128C6"/>
    <w:rsid w:val="00613375"/>
    <w:rsid w:val="00613F07"/>
    <w:rsid w:val="0061498A"/>
    <w:rsid w:val="00615721"/>
    <w:rsid w:val="00615724"/>
    <w:rsid w:val="00616587"/>
    <w:rsid w:val="006165F6"/>
    <w:rsid w:val="00616A01"/>
    <w:rsid w:val="00616FA4"/>
    <w:rsid w:val="006171E9"/>
    <w:rsid w:val="006204DF"/>
    <w:rsid w:val="00620BAE"/>
    <w:rsid w:val="006218F1"/>
    <w:rsid w:val="00621E23"/>
    <w:rsid w:val="006221B6"/>
    <w:rsid w:val="0062220A"/>
    <w:rsid w:val="00622A33"/>
    <w:rsid w:val="00622C6A"/>
    <w:rsid w:val="00622C80"/>
    <w:rsid w:val="00623012"/>
    <w:rsid w:val="0062376D"/>
    <w:rsid w:val="006237C3"/>
    <w:rsid w:val="00623EFD"/>
    <w:rsid w:val="0062401C"/>
    <w:rsid w:val="00624781"/>
    <w:rsid w:val="00624EEA"/>
    <w:rsid w:val="006250E1"/>
    <w:rsid w:val="00625838"/>
    <w:rsid w:val="00625C91"/>
    <w:rsid w:val="00625E42"/>
    <w:rsid w:val="00626B24"/>
    <w:rsid w:val="006271B2"/>
    <w:rsid w:val="0062734E"/>
    <w:rsid w:val="006274D5"/>
    <w:rsid w:val="00627946"/>
    <w:rsid w:val="00630143"/>
    <w:rsid w:val="00631113"/>
    <w:rsid w:val="00631242"/>
    <w:rsid w:val="00631677"/>
    <w:rsid w:val="00631BD6"/>
    <w:rsid w:val="00632158"/>
    <w:rsid w:val="006321AE"/>
    <w:rsid w:val="006321F7"/>
    <w:rsid w:val="006325DD"/>
    <w:rsid w:val="006328F0"/>
    <w:rsid w:val="006331E0"/>
    <w:rsid w:val="0063335D"/>
    <w:rsid w:val="00633AD3"/>
    <w:rsid w:val="00633F46"/>
    <w:rsid w:val="006342E3"/>
    <w:rsid w:val="00634983"/>
    <w:rsid w:val="006349DA"/>
    <w:rsid w:val="00634B50"/>
    <w:rsid w:val="00634BB1"/>
    <w:rsid w:val="00634C05"/>
    <w:rsid w:val="00634D78"/>
    <w:rsid w:val="0063502A"/>
    <w:rsid w:val="006353E0"/>
    <w:rsid w:val="00635679"/>
    <w:rsid w:val="00635871"/>
    <w:rsid w:val="00635959"/>
    <w:rsid w:val="00635A9C"/>
    <w:rsid w:val="006362FD"/>
    <w:rsid w:val="00636320"/>
    <w:rsid w:val="006365C3"/>
    <w:rsid w:val="006379D1"/>
    <w:rsid w:val="006403DD"/>
    <w:rsid w:val="00640924"/>
    <w:rsid w:val="006409D3"/>
    <w:rsid w:val="00640F89"/>
    <w:rsid w:val="006415E5"/>
    <w:rsid w:val="00642350"/>
    <w:rsid w:val="00642963"/>
    <w:rsid w:val="00642C25"/>
    <w:rsid w:val="0064331B"/>
    <w:rsid w:val="006433C3"/>
    <w:rsid w:val="00643914"/>
    <w:rsid w:val="0064508B"/>
    <w:rsid w:val="006458DA"/>
    <w:rsid w:val="006459E8"/>
    <w:rsid w:val="0064622A"/>
    <w:rsid w:val="00646E0A"/>
    <w:rsid w:val="006473F4"/>
    <w:rsid w:val="00647D74"/>
    <w:rsid w:val="00647F7B"/>
    <w:rsid w:val="00650511"/>
    <w:rsid w:val="00650F19"/>
    <w:rsid w:val="006513B2"/>
    <w:rsid w:val="006515C0"/>
    <w:rsid w:val="00651921"/>
    <w:rsid w:val="006519AC"/>
    <w:rsid w:val="00651CA5"/>
    <w:rsid w:val="006521CF"/>
    <w:rsid w:val="0065221A"/>
    <w:rsid w:val="00652914"/>
    <w:rsid w:val="00652B9F"/>
    <w:rsid w:val="0065335E"/>
    <w:rsid w:val="006533BC"/>
    <w:rsid w:val="00653A13"/>
    <w:rsid w:val="00653BCD"/>
    <w:rsid w:val="00653E40"/>
    <w:rsid w:val="00654448"/>
    <w:rsid w:val="00654531"/>
    <w:rsid w:val="006547CC"/>
    <w:rsid w:val="00654F6A"/>
    <w:rsid w:val="00655049"/>
    <w:rsid w:val="006553EB"/>
    <w:rsid w:val="006554A5"/>
    <w:rsid w:val="00655998"/>
    <w:rsid w:val="00655A51"/>
    <w:rsid w:val="00655CE3"/>
    <w:rsid w:val="006564FA"/>
    <w:rsid w:val="00656C42"/>
    <w:rsid w:val="00656D42"/>
    <w:rsid w:val="0065736E"/>
    <w:rsid w:val="00657727"/>
    <w:rsid w:val="00657B57"/>
    <w:rsid w:val="00657BBA"/>
    <w:rsid w:val="00657D2E"/>
    <w:rsid w:val="006600C7"/>
    <w:rsid w:val="006605ED"/>
    <w:rsid w:val="0066070E"/>
    <w:rsid w:val="0066081A"/>
    <w:rsid w:val="006610E6"/>
    <w:rsid w:val="006613B2"/>
    <w:rsid w:val="006614A3"/>
    <w:rsid w:val="006616C5"/>
    <w:rsid w:val="00661B5E"/>
    <w:rsid w:val="00662159"/>
    <w:rsid w:val="006623F4"/>
    <w:rsid w:val="00662A0A"/>
    <w:rsid w:val="00662A69"/>
    <w:rsid w:val="00662D18"/>
    <w:rsid w:val="00663F18"/>
    <w:rsid w:val="006640FC"/>
    <w:rsid w:val="006643C5"/>
    <w:rsid w:val="0066456E"/>
    <w:rsid w:val="006646E0"/>
    <w:rsid w:val="00664C49"/>
    <w:rsid w:val="00664ED5"/>
    <w:rsid w:val="0066549E"/>
    <w:rsid w:val="00665B5A"/>
    <w:rsid w:val="00666017"/>
    <w:rsid w:val="00666AB0"/>
    <w:rsid w:val="00666DA1"/>
    <w:rsid w:val="00667098"/>
    <w:rsid w:val="006671B4"/>
    <w:rsid w:val="006672FF"/>
    <w:rsid w:val="00667CAA"/>
    <w:rsid w:val="00670079"/>
    <w:rsid w:val="00670175"/>
    <w:rsid w:val="0067022F"/>
    <w:rsid w:val="006702CB"/>
    <w:rsid w:val="00670A64"/>
    <w:rsid w:val="00670B00"/>
    <w:rsid w:val="00670C1D"/>
    <w:rsid w:val="006716D8"/>
    <w:rsid w:val="00671A14"/>
    <w:rsid w:val="00671B01"/>
    <w:rsid w:val="00671B26"/>
    <w:rsid w:val="0067260B"/>
    <w:rsid w:val="0067278E"/>
    <w:rsid w:val="0067466A"/>
    <w:rsid w:val="0067526C"/>
    <w:rsid w:val="00675570"/>
    <w:rsid w:val="006759E1"/>
    <w:rsid w:val="00675AB7"/>
    <w:rsid w:val="00675D32"/>
    <w:rsid w:val="006760C6"/>
    <w:rsid w:val="006763A0"/>
    <w:rsid w:val="00676E50"/>
    <w:rsid w:val="0068029A"/>
    <w:rsid w:val="006807DC"/>
    <w:rsid w:val="00680941"/>
    <w:rsid w:val="006809DA"/>
    <w:rsid w:val="00680B92"/>
    <w:rsid w:val="00680C7A"/>
    <w:rsid w:val="00680D8F"/>
    <w:rsid w:val="0068128E"/>
    <w:rsid w:val="00681352"/>
    <w:rsid w:val="006814B6"/>
    <w:rsid w:val="006814E0"/>
    <w:rsid w:val="0068154E"/>
    <w:rsid w:val="006817BA"/>
    <w:rsid w:val="00681E90"/>
    <w:rsid w:val="00681F55"/>
    <w:rsid w:val="00682331"/>
    <w:rsid w:val="00682377"/>
    <w:rsid w:val="00682A45"/>
    <w:rsid w:val="00682CE0"/>
    <w:rsid w:val="00683002"/>
    <w:rsid w:val="00683565"/>
    <w:rsid w:val="00683F58"/>
    <w:rsid w:val="006841A3"/>
    <w:rsid w:val="006845E5"/>
    <w:rsid w:val="006845FB"/>
    <w:rsid w:val="00684858"/>
    <w:rsid w:val="00684D11"/>
    <w:rsid w:val="00684F75"/>
    <w:rsid w:val="006853C5"/>
    <w:rsid w:val="00685675"/>
    <w:rsid w:val="00686011"/>
    <w:rsid w:val="0068614F"/>
    <w:rsid w:val="00686169"/>
    <w:rsid w:val="006865D0"/>
    <w:rsid w:val="006867AD"/>
    <w:rsid w:val="00686D69"/>
    <w:rsid w:val="00687334"/>
    <w:rsid w:val="006874A0"/>
    <w:rsid w:val="00690501"/>
    <w:rsid w:val="006907E4"/>
    <w:rsid w:val="00690BD1"/>
    <w:rsid w:val="00692D25"/>
    <w:rsid w:val="0069310D"/>
    <w:rsid w:val="0069321A"/>
    <w:rsid w:val="0069322D"/>
    <w:rsid w:val="00694232"/>
    <w:rsid w:val="00694635"/>
    <w:rsid w:val="00694F5F"/>
    <w:rsid w:val="0069505A"/>
    <w:rsid w:val="00695097"/>
    <w:rsid w:val="00695FB7"/>
    <w:rsid w:val="006971AE"/>
    <w:rsid w:val="006976D2"/>
    <w:rsid w:val="0069773B"/>
    <w:rsid w:val="006A0142"/>
    <w:rsid w:val="006A09B2"/>
    <w:rsid w:val="006A1811"/>
    <w:rsid w:val="006A1D39"/>
    <w:rsid w:val="006A201A"/>
    <w:rsid w:val="006A21AB"/>
    <w:rsid w:val="006A25B5"/>
    <w:rsid w:val="006A273A"/>
    <w:rsid w:val="006A2E0C"/>
    <w:rsid w:val="006A387E"/>
    <w:rsid w:val="006A4AC6"/>
    <w:rsid w:val="006A4BC4"/>
    <w:rsid w:val="006A4C5D"/>
    <w:rsid w:val="006A55C7"/>
    <w:rsid w:val="006A61CA"/>
    <w:rsid w:val="006A6E1C"/>
    <w:rsid w:val="006A7202"/>
    <w:rsid w:val="006A7A28"/>
    <w:rsid w:val="006A7E1A"/>
    <w:rsid w:val="006B0DA5"/>
    <w:rsid w:val="006B12EE"/>
    <w:rsid w:val="006B155C"/>
    <w:rsid w:val="006B1A43"/>
    <w:rsid w:val="006B1C72"/>
    <w:rsid w:val="006B2C48"/>
    <w:rsid w:val="006B2D83"/>
    <w:rsid w:val="006B2E18"/>
    <w:rsid w:val="006B2EFA"/>
    <w:rsid w:val="006B30CA"/>
    <w:rsid w:val="006B33BE"/>
    <w:rsid w:val="006B341D"/>
    <w:rsid w:val="006B3939"/>
    <w:rsid w:val="006B3B14"/>
    <w:rsid w:val="006B4112"/>
    <w:rsid w:val="006B4607"/>
    <w:rsid w:val="006B4697"/>
    <w:rsid w:val="006B4A72"/>
    <w:rsid w:val="006B4D81"/>
    <w:rsid w:val="006B4DFE"/>
    <w:rsid w:val="006B4F31"/>
    <w:rsid w:val="006B51C7"/>
    <w:rsid w:val="006B57A7"/>
    <w:rsid w:val="006B5CD6"/>
    <w:rsid w:val="006B6E17"/>
    <w:rsid w:val="006B71D3"/>
    <w:rsid w:val="006B7205"/>
    <w:rsid w:val="006B74F8"/>
    <w:rsid w:val="006B770E"/>
    <w:rsid w:val="006B7C4A"/>
    <w:rsid w:val="006C03E9"/>
    <w:rsid w:val="006C042E"/>
    <w:rsid w:val="006C0F9A"/>
    <w:rsid w:val="006C1148"/>
    <w:rsid w:val="006C11BB"/>
    <w:rsid w:val="006C1576"/>
    <w:rsid w:val="006C1E44"/>
    <w:rsid w:val="006C1E87"/>
    <w:rsid w:val="006C1E8E"/>
    <w:rsid w:val="006C20A3"/>
    <w:rsid w:val="006C2447"/>
    <w:rsid w:val="006C2963"/>
    <w:rsid w:val="006C2E65"/>
    <w:rsid w:val="006C3051"/>
    <w:rsid w:val="006C33AE"/>
    <w:rsid w:val="006C344E"/>
    <w:rsid w:val="006C40C7"/>
    <w:rsid w:val="006C44F3"/>
    <w:rsid w:val="006C4AB3"/>
    <w:rsid w:val="006C6109"/>
    <w:rsid w:val="006C61D5"/>
    <w:rsid w:val="006C6305"/>
    <w:rsid w:val="006C651B"/>
    <w:rsid w:val="006C6709"/>
    <w:rsid w:val="006C6B26"/>
    <w:rsid w:val="006C7026"/>
    <w:rsid w:val="006C7562"/>
    <w:rsid w:val="006C7E1B"/>
    <w:rsid w:val="006C7EB2"/>
    <w:rsid w:val="006D0035"/>
    <w:rsid w:val="006D0221"/>
    <w:rsid w:val="006D035B"/>
    <w:rsid w:val="006D051C"/>
    <w:rsid w:val="006D0B5F"/>
    <w:rsid w:val="006D13D1"/>
    <w:rsid w:val="006D1E69"/>
    <w:rsid w:val="006D1EA8"/>
    <w:rsid w:val="006D2123"/>
    <w:rsid w:val="006D235F"/>
    <w:rsid w:val="006D260C"/>
    <w:rsid w:val="006D3002"/>
    <w:rsid w:val="006D36A5"/>
    <w:rsid w:val="006D3DAB"/>
    <w:rsid w:val="006D407A"/>
    <w:rsid w:val="006D4B00"/>
    <w:rsid w:val="006D4EC2"/>
    <w:rsid w:val="006D5565"/>
    <w:rsid w:val="006D5B2C"/>
    <w:rsid w:val="006D6004"/>
    <w:rsid w:val="006D61B9"/>
    <w:rsid w:val="006D6464"/>
    <w:rsid w:val="006D69F5"/>
    <w:rsid w:val="006D7E33"/>
    <w:rsid w:val="006E0127"/>
    <w:rsid w:val="006E0B9D"/>
    <w:rsid w:val="006E0EC4"/>
    <w:rsid w:val="006E11CF"/>
    <w:rsid w:val="006E13D8"/>
    <w:rsid w:val="006E22F8"/>
    <w:rsid w:val="006E3160"/>
    <w:rsid w:val="006E3520"/>
    <w:rsid w:val="006E41FC"/>
    <w:rsid w:val="006E5452"/>
    <w:rsid w:val="006E5D92"/>
    <w:rsid w:val="006E5FA9"/>
    <w:rsid w:val="006E615C"/>
    <w:rsid w:val="006E6507"/>
    <w:rsid w:val="006E69B9"/>
    <w:rsid w:val="006E77F7"/>
    <w:rsid w:val="006E7DD6"/>
    <w:rsid w:val="006E7E15"/>
    <w:rsid w:val="006F070F"/>
    <w:rsid w:val="006F0761"/>
    <w:rsid w:val="006F07B2"/>
    <w:rsid w:val="006F0A5A"/>
    <w:rsid w:val="006F0E33"/>
    <w:rsid w:val="006F0EBB"/>
    <w:rsid w:val="006F104D"/>
    <w:rsid w:val="006F1246"/>
    <w:rsid w:val="006F134D"/>
    <w:rsid w:val="006F13E9"/>
    <w:rsid w:val="006F1AF4"/>
    <w:rsid w:val="006F2D50"/>
    <w:rsid w:val="006F4035"/>
    <w:rsid w:val="006F439B"/>
    <w:rsid w:val="006F4ABF"/>
    <w:rsid w:val="006F4B39"/>
    <w:rsid w:val="006F558C"/>
    <w:rsid w:val="006F5662"/>
    <w:rsid w:val="006F56A0"/>
    <w:rsid w:val="006F5706"/>
    <w:rsid w:val="006F63F2"/>
    <w:rsid w:val="006F651D"/>
    <w:rsid w:val="006F6F54"/>
    <w:rsid w:val="006F735F"/>
    <w:rsid w:val="006F7627"/>
    <w:rsid w:val="006F7B50"/>
    <w:rsid w:val="006F7CC7"/>
    <w:rsid w:val="00700075"/>
    <w:rsid w:val="0070052A"/>
    <w:rsid w:val="00700602"/>
    <w:rsid w:val="00700619"/>
    <w:rsid w:val="007008A8"/>
    <w:rsid w:val="00701011"/>
    <w:rsid w:val="00701697"/>
    <w:rsid w:val="007017E6"/>
    <w:rsid w:val="007019EA"/>
    <w:rsid w:val="0070283E"/>
    <w:rsid w:val="0070288F"/>
    <w:rsid w:val="0070299C"/>
    <w:rsid w:val="0070330C"/>
    <w:rsid w:val="007034E6"/>
    <w:rsid w:val="0070362E"/>
    <w:rsid w:val="00703805"/>
    <w:rsid w:val="007039B9"/>
    <w:rsid w:val="00703F93"/>
    <w:rsid w:val="007041E1"/>
    <w:rsid w:val="0070428F"/>
    <w:rsid w:val="0070522B"/>
    <w:rsid w:val="007059EC"/>
    <w:rsid w:val="00705D13"/>
    <w:rsid w:val="0070632A"/>
    <w:rsid w:val="00707FE3"/>
    <w:rsid w:val="007102BD"/>
    <w:rsid w:val="00710468"/>
    <w:rsid w:val="00710A02"/>
    <w:rsid w:val="00710AEF"/>
    <w:rsid w:val="00710D08"/>
    <w:rsid w:val="00710E58"/>
    <w:rsid w:val="00710E90"/>
    <w:rsid w:val="00711335"/>
    <w:rsid w:val="00711DDB"/>
    <w:rsid w:val="00711F87"/>
    <w:rsid w:val="0071277A"/>
    <w:rsid w:val="0071297B"/>
    <w:rsid w:val="00712D4C"/>
    <w:rsid w:val="0071329B"/>
    <w:rsid w:val="00713DD6"/>
    <w:rsid w:val="00713DE7"/>
    <w:rsid w:val="007144FE"/>
    <w:rsid w:val="007145A3"/>
    <w:rsid w:val="0071473F"/>
    <w:rsid w:val="0071476D"/>
    <w:rsid w:val="00714CB9"/>
    <w:rsid w:val="00714F54"/>
    <w:rsid w:val="007150A7"/>
    <w:rsid w:val="007158B5"/>
    <w:rsid w:val="00716696"/>
    <w:rsid w:val="00716B61"/>
    <w:rsid w:val="00717355"/>
    <w:rsid w:val="00717696"/>
    <w:rsid w:val="00720701"/>
    <w:rsid w:val="0072162F"/>
    <w:rsid w:val="0072170B"/>
    <w:rsid w:val="007217A6"/>
    <w:rsid w:val="00721899"/>
    <w:rsid w:val="00721A17"/>
    <w:rsid w:val="00721A4D"/>
    <w:rsid w:val="00721F74"/>
    <w:rsid w:val="0072205D"/>
    <w:rsid w:val="00722C0F"/>
    <w:rsid w:val="00722E1B"/>
    <w:rsid w:val="00723095"/>
    <w:rsid w:val="007232CC"/>
    <w:rsid w:val="00723476"/>
    <w:rsid w:val="00723EAC"/>
    <w:rsid w:val="0072473C"/>
    <w:rsid w:val="00724844"/>
    <w:rsid w:val="00724C55"/>
    <w:rsid w:val="007258AB"/>
    <w:rsid w:val="00726078"/>
    <w:rsid w:val="007260EA"/>
    <w:rsid w:val="007262A3"/>
    <w:rsid w:val="007264DC"/>
    <w:rsid w:val="00726A6A"/>
    <w:rsid w:val="0072715D"/>
    <w:rsid w:val="007300DE"/>
    <w:rsid w:val="0073013D"/>
    <w:rsid w:val="00730173"/>
    <w:rsid w:val="00730283"/>
    <w:rsid w:val="00730619"/>
    <w:rsid w:val="00730F29"/>
    <w:rsid w:val="00730FE8"/>
    <w:rsid w:val="00731195"/>
    <w:rsid w:val="00731C2C"/>
    <w:rsid w:val="00732C75"/>
    <w:rsid w:val="0073397D"/>
    <w:rsid w:val="00734688"/>
    <w:rsid w:val="007347A6"/>
    <w:rsid w:val="00734C2A"/>
    <w:rsid w:val="00734CED"/>
    <w:rsid w:val="00734E7C"/>
    <w:rsid w:val="00735225"/>
    <w:rsid w:val="00735256"/>
    <w:rsid w:val="00735409"/>
    <w:rsid w:val="00736109"/>
    <w:rsid w:val="00736A0E"/>
    <w:rsid w:val="00736CCB"/>
    <w:rsid w:val="007372CD"/>
    <w:rsid w:val="00737744"/>
    <w:rsid w:val="00737B2E"/>
    <w:rsid w:val="00737EFC"/>
    <w:rsid w:val="007404F7"/>
    <w:rsid w:val="007407D6"/>
    <w:rsid w:val="00740A69"/>
    <w:rsid w:val="00740B56"/>
    <w:rsid w:val="00741582"/>
    <w:rsid w:val="007415B1"/>
    <w:rsid w:val="00741702"/>
    <w:rsid w:val="00742A1D"/>
    <w:rsid w:val="00742C4E"/>
    <w:rsid w:val="00742FB0"/>
    <w:rsid w:val="007435DB"/>
    <w:rsid w:val="007438B2"/>
    <w:rsid w:val="00743F0D"/>
    <w:rsid w:val="00744AB4"/>
    <w:rsid w:val="0074524E"/>
    <w:rsid w:val="007453EE"/>
    <w:rsid w:val="00745FB4"/>
    <w:rsid w:val="0074618A"/>
    <w:rsid w:val="00746577"/>
    <w:rsid w:val="00747A33"/>
    <w:rsid w:val="00747AFE"/>
    <w:rsid w:val="00747DD3"/>
    <w:rsid w:val="00747E55"/>
    <w:rsid w:val="00747F74"/>
    <w:rsid w:val="00747F7D"/>
    <w:rsid w:val="00750327"/>
    <w:rsid w:val="00750404"/>
    <w:rsid w:val="0075124C"/>
    <w:rsid w:val="00751443"/>
    <w:rsid w:val="007514E8"/>
    <w:rsid w:val="00751593"/>
    <w:rsid w:val="00751D95"/>
    <w:rsid w:val="007522C4"/>
    <w:rsid w:val="007525FC"/>
    <w:rsid w:val="00752A25"/>
    <w:rsid w:val="00752D61"/>
    <w:rsid w:val="0075445B"/>
    <w:rsid w:val="00754579"/>
    <w:rsid w:val="00754A01"/>
    <w:rsid w:val="00755157"/>
    <w:rsid w:val="007552A6"/>
    <w:rsid w:val="007556EE"/>
    <w:rsid w:val="00755730"/>
    <w:rsid w:val="00755969"/>
    <w:rsid w:val="00755BB5"/>
    <w:rsid w:val="00756524"/>
    <w:rsid w:val="00756623"/>
    <w:rsid w:val="0075698C"/>
    <w:rsid w:val="00756B10"/>
    <w:rsid w:val="00756F48"/>
    <w:rsid w:val="007575FF"/>
    <w:rsid w:val="00760611"/>
    <w:rsid w:val="00760B81"/>
    <w:rsid w:val="00761A7A"/>
    <w:rsid w:val="00762389"/>
    <w:rsid w:val="007634D4"/>
    <w:rsid w:val="00763C78"/>
    <w:rsid w:val="00764D96"/>
    <w:rsid w:val="00765ED8"/>
    <w:rsid w:val="00765F6F"/>
    <w:rsid w:val="0076629F"/>
    <w:rsid w:val="00766513"/>
    <w:rsid w:val="007667A8"/>
    <w:rsid w:val="00766930"/>
    <w:rsid w:val="00766C4A"/>
    <w:rsid w:val="00766DB9"/>
    <w:rsid w:val="007671FE"/>
    <w:rsid w:val="00767A14"/>
    <w:rsid w:val="00767D7B"/>
    <w:rsid w:val="0077030F"/>
    <w:rsid w:val="0077078C"/>
    <w:rsid w:val="007707D6"/>
    <w:rsid w:val="007708E3"/>
    <w:rsid w:val="00770AE7"/>
    <w:rsid w:val="00772EF1"/>
    <w:rsid w:val="00773304"/>
    <w:rsid w:val="00773558"/>
    <w:rsid w:val="00773D3D"/>
    <w:rsid w:val="007740E3"/>
    <w:rsid w:val="007746D9"/>
    <w:rsid w:val="0077477E"/>
    <w:rsid w:val="0077545A"/>
    <w:rsid w:val="007756E6"/>
    <w:rsid w:val="00775D8F"/>
    <w:rsid w:val="0077614A"/>
    <w:rsid w:val="00776C75"/>
    <w:rsid w:val="00776F10"/>
    <w:rsid w:val="007773BB"/>
    <w:rsid w:val="0077776D"/>
    <w:rsid w:val="00777855"/>
    <w:rsid w:val="00777C1F"/>
    <w:rsid w:val="00777EB1"/>
    <w:rsid w:val="00780698"/>
    <w:rsid w:val="007809E4"/>
    <w:rsid w:val="00780B9C"/>
    <w:rsid w:val="00780F4A"/>
    <w:rsid w:val="007819F0"/>
    <w:rsid w:val="0078229E"/>
    <w:rsid w:val="00782A8B"/>
    <w:rsid w:val="007835D3"/>
    <w:rsid w:val="00783843"/>
    <w:rsid w:val="0078493B"/>
    <w:rsid w:val="007849E4"/>
    <w:rsid w:val="00784C1C"/>
    <w:rsid w:val="007852E4"/>
    <w:rsid w:val="00785593"/>
    <w:rsid w:val="00785771"/>
    <w:rsid w:val="0078599B"/>
    <w:rsid w:val="00785A46"/>
    <w:rsid w:val="00785DE2"/>
    <w:rsid w:val="007867DC"/>
    <w:rsid w:val="007867E4"/>
    <w:rsid w:val="00787024"/>
    <w:rsid w:val="0078705B"/>
    <w:rsid w:val="0078730F"/>
    <w:rsid w:val="00787552"/>
    <w:rsid w:val="00787818"/>
    <w:rsid w:val="007879F5"/>
    <w:rsid w:val="00787B3A"/>
    <w:rsid w:val="00787D16"/>
    <w:rsid w:val="00787F7F"/>
    <w:rsid w:val="007901F7"/>
    <w:rsid w:val="007903F5"/>
    <w:rsid w:val="007903FF"/>
    <w:rsid w:val="007904D3"/>
    <w:rsid w:val="00790656"/>
    <w:rsid w:val="00790DE4"/>
    <w:rsid w:val="0079152E"/>
    <w:rsid w:val="0079167D"/>
    <w:rsid w:val="00791784"/>
    <w:rsid w:val="00791BC2"/>
    <w:rsid w:val="0079243D"/>
    <w:rsid w:val="0079398C"/>
    <w:rsid w:val="007939B7"/>
    <w:rsid w:val="0079425D"/>
    <w:rsid w:val="007944B3"/>
    <w:rsid w:val="007945D5"/>
    <w:rsid w:val="00794BCA"/>
    <w:rsid w:val="00794F3F"/>
    <w:rsid w:val="00795F40"/>
    <w:rsid w:val="007961AD"/>
    <w:rsid w:val="00796701"/>
    <w:rsid w:val="00796EB1"/>
    <w:rsid w:val="007A0C73"/>
    <w:rsid w:val="007A0D1C"/>
    <w:rsid w:val="007A1680"/>
    <w:rsid w:val="007A180A"/>
    <w:rsid w:val="007A1951"/>
    <w:rsid w:val="007A2177"/>
    <w:rsid w:val="007A2BD6"/>
    <w:rsid w:val="007A33DC"/>
    <w:rsid w:val="007A395E"/>
    <w:rsid w:val="007A39C8"/>
    <w:rsid w:val="007A3E3F"/>
    <w:rsid w:val="007A3F21"/>
    <w:rsid w:val="007A40A9"/>
    <w:rsid w:val="007A47C5"/>
    <w:rsid w:val="007A5979"/>
    <w:rsid w:val="007A5C43"/>
    <w:rsid w:val="007A61F6"/>
    <w:rsid w:val="007A6217"/>
    <w:rsid w:val="007A62EE"/>
    <w:rsid w:val="007B01BC"/>
    <w:rsid w:val="007B024E"/>
    <w:rsid w:val="007B0333"/>
    <w:rsid w:val="007B0B30"/>
    <w:rsid w:val="007B10F5"/>
    <w:rsid w:val="007B1A5D"/>
    <w:rsid w:val="007B221E"/>
    <w:rsid w:val="007B2BB7"/>
    <w:rsid w:val="007B322C"/>
    <w:rsid w:val="007B3396"/>
    <w:rsid w:val="007B455A"/>
    <w:rsid w:val="007B490E"/>
    <w:rsid w:val="007B4BFF"/>
    <w:rsid w:val="007B537E"/>
    <w:rsid w:val="007B57A2"/>
    <w:rsid w:val="007B57EE"/>
    <w:rsid w:val="007B5C40"/>
    <w:rsid w:val="007B64E9"/>
    <w:rsid w:val="007B6658"/>
    <w:rsid w:val="007B6A14"/>
    <w:rsid w:val="007B6A52"/>
    <w:rsid w:val="007B70BF"/>
    <w:rsid w:val="007B718E"/>
    <w:rsid w:val="007B74D2"/>
    <w:rsid w:val="007B755B"/>
    <w:rsid w:val="007B7B2C"/>
    <w:rsid w:val="007C037C"/>
    <w:rsid w:val="007C04AF"/>
    <w:rsid w:val="007C0A59"/>
    <w:rsid w:val="007C125D"/>
    <w:rsid w:val="007C13A2"/>
    <w:rsid w:val="007C15BE"/>
    <w:rsid w:val="007C1A22"/>
    <w:rsid w:val="007C1E26"/>
    <w:rsid w:val="007C235B"/>
    <w:rsid w:val="007C426E"/>
    <w:rsid w:val="007C4B03"/>
    <w:rsid w:val="007C4E5D"/>
    <w:rsid w:val="007C4F22"/>
    <w:rsid w:val="007C52C9"/>
    <w:rsid w:val="007C5485"/>
    <w:rsid w:val="007C5516"/>
    <w:rsid w:val="007C6580"/>
    <w:rsid w:val="007C6EEA"/>
    <w:rsid w:val="007C715D"/>
    <w:rsid w:val="007C72DD"/>
    <w:rsid w:val="007C7451"/>
    <w:rsid w:val="007C749A"/>
    <w:rsid w:val="007C75A5"/>
    <w:rsid w:val="007C778E"/>
    <w:rsid w:val="007C785B"/>
    <w:rsid w:val="007C794B"/>
    <w:rsid w:val="007C7C06"/>
    <w:rsid w:val="007C7D63"/>
    <w:rsid w:val="007D00EA"/>
    <w:rsid w:val="007D05F9"/>
    <w:rsid w:val="007D108F"/>
    <w:rsid w:val="007D2133"/>
    <w:rsid w:val="007D2576"/>
    <w:rsid w:val="007D28AB"/>
    <w:rsid w:val="007D363D"/>
    <w:rsid w:val="007D407C"/>
    <w:rsid w:val="007D477D"/>
    <w:rsid w:val="007D4A14"/>
    <w:rsid w:val="007D52B4"/>
    <w:rsid w:val="007D5589"/>
    <w:rsid w:val="007D5A8E"/>
    <w:rsid w:val="007D5BC6"/>
    <w:rsid w:val="007D5F8B"/>
    <w:rsid w:val="007D7D33"/>
    <w:rsid w:val="007D7D91"/>
    <w:rsid w:val="007D7E99"/>
    <w:rsid w:val="007E012B"/>
    <w:rsid w:val="007E0317"/>
    <w:rsid w:val="007E0395"/>
    <w:rsid w:val="007E0484"/>
    <w:rsid w:val="007E0487"/>
    <w:rsid w:val="007E0C4D"/>
    <w:rsid w:val="007E0CA5"/>
    <w:rsid w:val="007E0D99"/>
    <w:rsid w:val="007E0FAA"/>
    <w:rsid w:val="007E2129"/>
    <w:rsid w:val="007E2B59"/>
    <w:rsid w:val="007E2B5E"/>
    <w:rsid w:val="007E388E"/>
    <w:rsid w:val="007E42BC"/>
    <w:rsid w:val="007E42FA"/>
    <w:rsid w:val="007E4670"/>
    <w:rsid w:val="007E528D"/>
    <w:rsid w:val="007E572D"/>
    <w:rsid w:val="007E6514"/>
    <w:rsid w:val="007E698C"/>
    <w:rsid w:val="007E6CA8"/>
    <w:rsid w:val="007E6DC6"/>
    <w:rsid w:val="007E6FDB"/>
    <w:rsid w:val="007E7242"/>
    <w:rsid w:val="007E7313"/>
    <w:rsid w:val="007E75CC"/>
    <w:rsid w:val="007E79B4"/>
    <w:rsid w:val="007F0013"/>
    <w:rsid w:val="007F03A2"/>
    <w:rsid w:val="007F0646"/>
    <w:rsid w:val="007F0A9C"/>
    <w:rsid w:val="007F137B"/>
    <w:rsid w:val="007F13EF"/>
    <w:rsid w:val="007F1C1E"/>
    <w:rsid w:val="007F1F3F"/>
    <w:rsid w:val="007F26AD"/>
    <w:rsid w:val="007F2B84"/>
    <w:rsid w:val="007F2D66"/>
    <w:rsid w:val="007F3256"/>
    <w:rsid w:val="007F3296"/>
    <w:rsid w:val="007F3414"/>
    <w:rsid w:val="007F3AF4"/>
    <w:rsid w:val="007F3F0F"/>
    <w:rsid w:val="007F436A"/>
    <w:rsid w:val="007F43E2"/>
    <w:rsid w:val="007F444B"/>
    <w:rsid w:val="007F48B9"/>
    <w:rsid w:val="007F56B9"/>
    <w:rsid w:val="007F59E6"/>
    <w:rsid w:val="007F62AC"/>
    <w:rsid w:val="007F674F"/>
    <w:rsid w:val="007F7292"/>
    <w:rsid w:val="007F799C"/>
    <w:rsid w:val="0080029C"/>
    <w:rsid w:val="00800306"/>
    <w:rsid w:val="0080063F"/>
    <w:rsid w:val="00800A5B"/>
    <w:rsid w:val="0080101E"/>
    <w:rsid w:val="0080112E"/>
    <w:rsid w:val="008016C7"/>
    <w:rsid w:val="00801C2E"/>
    <w:rsid w:val="008020E5"/>
    <w:rsid w:val="008026F6"/>
    <w:rsid w:val="008032BA"/>
    <w:rsid w:val="00803818"/>
    <w:rsid w:val="0080384A"/>
    <w:rsid w:val="0080394F"/>
    <w:rsid w:val="0080425C"/>
    <w:rsid w:val="008050D4"/>
    <w:rsid w:val="00805B3C"/>
    <w:rsid w:val="00806517"/>
    <w:rsid w:val="00806F43"/>
    <w:rsid w:val="0080744A"/>
    <w:rsid w:val="00810475"/>
    <w:rsid w:val="00810490"/>
    <w:rsid w:val="00810AC7"/>
    <w:rsid w:val="008115D1"/>
    <w:rsid w:val="008116D7"/>
    <w:rsid w:val="00811712"/>
    <w:rsid w:val="00812181"/>
    <w:rsid w:val="008121AF"/>
    <w:rsid w:val="008124C5"/>
    <w:rsid w:val="00812A28"/>
    <w:rsid w:val="00813637"/>
    <w:rsid w:val="00813861"/>
    <w:rsid w:val="00813971"/>
    <w:rsid w:val="0081458E"/>
    <w:rsid w:val="00814BCD"/>
    <w:rsid w:val="008151D2"/>
    <w:rsid w:val="008154F5"/>
    <w:rsid w:val="00815826"/>
    <w:rsid w:val="00815916"/>
    <w:rsid w:val="00815B03"/>
    <w:rsid w:val="00815EF5"/>
    <w:rsid w:val="0081625C"/>
    <w:rsid w:val="0081648B"/>
    <w:rsid w:val="00816579"/>
    <w:rsid w:val="0081658C"/>
    <w:rsid w:val="00816709"/>
    <w:rsid w:val="00816957"/>
    <w:rsid w:val="00816B79"/>
    <w:rsid w:val="00817342"/>
    <w:rsid w:val="0081738E"/>
    <w:rsid w:val="008173C7"/>
    <w:rsid w:val="00817698"/>
    <w:rsid w:val="008178A9"/>
    <w:rsid w:val="00817E4B"/>
    <w:rsid w:val="00820732"/>
    <w:rsid w:val="0082161B"/>
    <w:rsid w:val="0082205A"/>
    <w:rsid w:val="008221F3"/>
    <w:rsid w:val="00822349"/>
    <w:rsid w:val="00822535"/>
    <w:rsid w:val="0082274B"/>
    <w:rsid w:val="00822C90"/>
    <w:rsid w:val="00823031"/>
    <w:rsid w:val="00823181"/>
    <w:rsid w:val="008239BE"/>
    <w:rsid w:val="00823AC2"/>
    <w:rsid w:val="008246EF"/>
    <w:rsid w:val="0082532B"/>
    <w:rsid w:val="00825BF7"/>
    <w:rsid w:val="00826A88"/>
    <w:rsid w:val="00827B73"/>
    <w:rsid w:val="00830BDF"/>
    <w:rsid w:val="00831733"/>
    <w:rsid w:val="008317CF"/>
    <w:rsid w:val="00831D34"/>
    <w:rsid w:val="00831D40"/>
    <w:rsid w:val="00832149"/>
    <w:rsid w:val="00832279"/>
    <w:rsid w:val="00832363"/>
    <w:rsid w:val="00832FB0"/>
    <w:rsid w:val="008331B9"/>
    <w:rsid w:val="00833315"/>
    <w:rsid w:val="00833734"/>
    <w:rsid w:val="0083378B"/>
    <w:rsid w:val="00833D24"/>
    <w:rsid w:val="008340B0"/>
    <w:rsid w:val="008341A8"/>
    <w:rsid w:val="008341B6"/>
    <w:rsid w:val="0083440F"/>
    <w:rsid w:val="008344D7"/>
    <w:rsid w:val="00834877"/>
    <w:rsid w:val="00834F23"/>
    <w:rsid w:val="0083562F"/>
    <w:rsid w:val="008356C8"/>
    <w:rsid w:val="00835F93"/>
    <w:rsid w:val="008363B1"/>
    <w:rsid w:val="0083653A"/>
    <w:rsid w:val="008366AB"/>
    <w:rsid w:val="00836C9F"/>
    <w:rsid w:val="008371F7"/>
    <w:rsid w:val="008372D8"/>
    <w:rsid w:val="0083787A"/>
    <w:rsid w:val="00837932"/>
    <w:rsid w:val="00840305"/>
    <w:rsid w:val="008404FE"/>
    <w:rsid w:val="008408DB"/>
    <w:rsid w:val="00841023"/>
    <w:rsid w:val="00841086"/>
    <w:rsid w:val="0084121E"/>
    <w:rsid w:val="0084136E"/>
    <w:rsid w:val="00841795"/>
    <w:rsid w:val="0084184A"/>
    <w:rsid w:val="008419D2"/>
    <w:rsid w:val="0084259B"/>
    <w:rsid w:val="0084268E"/>
    <w:rsid w:val="00842AA5"/>
    <w:rsid w:val="00842DD2"/>
    <w:rsid w:val="00842F2C"/>
    <w:rsid w:val="0084326D"/>
    <w:rsid w:val="008435B9"/>
    <w:rsid w:val="00843B8A"/>
    <w:rsid w:val="008440AB"/>
    <w:rsid w:val="008440B7"/>
    <w:rsid w:val="008442AE"/>
    <w:rsid w:val="00844599"/>
    <w:rsid w:val="008445C1"/>
    <w:rsid w:val="00844C58"/>
    <w:rsid w:val="00844D3F"/>
    <w:rsid w:val="008452A1"/>
    <w:rsid w:val="00845F92"/>
    <w:rsid w:val="008469C9"/>
    <w:rsid w:val="00846E12"/>
    <w:rsid w:val="008475B5"/>
    <w:rsid w:val="008475D3"/>
    <w:rsid w:val="008478D7"/>
    <w:rsid w:val="00847A73"/>
    <w:rsid w:val="008505D0"/>
    <w:rsid w:val="00850724"/>
    <w:rsid w:val="00850F8C"/>
    <w:rsid w:val="00851525"/>
    <w:rsid w:val="00853242"/>
    <w:rsid w:val="00854092"/>
    <w:rsid w:val="00854268"/>
    <w:rsid w:val="00854DF8"/>
    <w:rsid w:val="00854E7E"/>
    <w:rsid w:val="008550F0"/>
    <w:rsid w:val="0085510B"/>
    <w:rsid w:val="00855121"/>
    <w:rsid w:val="008556E2"/>
    <w:rsid w:val="00855828"/>
    <w:rsid w:val="008558F5"/>
    <w:rsid w:val="00855BC9"/>
    <w:rsid w:val="00855EAE"/>
    <w:rsid w:val="00856922"/>
    <w:rsid w:val="0085708A"/>
    <w:rsid w:val="008575ED"/>
    <w:rsid w:val="00857F17"/>
    <w:rsid w:val="008600B2"/>
    <w:rsid w:val="008605E9"/>
    <w:rsid w:val="008610EC"/>
    <w:rsid w:val="00861138"/>
    <w:rsid w:val="00861140"/>
    <w:rsid w:val="00861201"/>
    <w:rsid w:val="0086120F"/>
    <w:rsid w:val="008624C4"/>
    <w:rsid w:val="0086267E"/>
    <w:rsid w:val="00862749"/>
    <w:rsid w:val="0086338D"/>
    <w:rsid w:val="008642A3"/>
    <w:rsid w:val="00864374"/>
    <w:rsid w:val="00864A5B"/>
    <w:rsid w:val="00864CA3"/>
    <w:rsid w:val="00864EE4"/>
    <w:rsid w:val="00865997"/>
    <w:rsid w:val="00865CB8"/>
    <w:rsid w:val="008664CA"/>
    <w:rsid w:val="008664DA"/>
    <w:rsid w:val="00866FF2"/>
    <w:rsid w:val="00867372"/>
    <w:rsid w:val="00867475"/>
    <w:rsid w:val="0086759F"/>
    <w:rsid w:val="00870478"/>
    <w:rsid w:val="00870925"/>
    <w:rsid w:val="00870AC2"/>
    <w:rsid w:val="00870B96"/>
    <w:rsid w:val="008711E9"/>
    <w:rsid w:val="008714AD"/>
    <w:rsid w:val="008718C8"/>
    <w:rsid w:val="00871C61"/>
    <w:rsid w:val="008720FA"/>
    <w:rsid w:val="0087212B"/>
    <w:rsid w:val="00872A83"/>
    <w:rsid w:val="00872F43"/>
    <w:rsid w:val="00873096"/>
    <w:rsid w:val="0087319D"/>
    <w:rsid w:val="008732F2"/>
    <w:rsid w:val="00873AB6"/>
    <w:rsid w:val="00873E42"/>
    <w:rsid w:val="00873F90"/>
    <w:rsid w:val="008740F2"/>
    <w:rsid w:val="00874176"/>
    <w:rsid w:val="008747DA"/>
    <w:rsid w:val="008758C3"/>
    <w:rsid w:val="00875A5C"/>
    <w:rsid w:val="00875F8A"/>
    <w:rsid w:val="0087647B"/>
    <w:rsid w:val="008764A5"/>
    <w:rsid w:val="0087675C"/>
    <w:rsid w:val="00877BFF"/>
    <w:rsid w:val="00877D79"/>
    <w:rsid w:val="00880350"/>
    <w:rsid w:val="008809A3"/>
    <w:rsid w:val="00880E89"/>
    <w:rsid w:val="008828FA"/>
    <w:rsid w:val="00882902"/>
    <w:rsid w:val="00883341"/>
    <w:rsid w:val="008844BE"/>
    <w:rsid w:val="008846A8"/>
    <w:rsid w:val="008851D2"/>
    <w:rsid w:val="00885233"/>
    <w:rsid w:val="00885AC9"/>
    <w:rsid w:val="00885D23"/>
    <w:rsid w:val="00886879"/>
    <w:rsid w:val="00886A17"/>
    <w:rsid w:val="00886A41"/>
    <w:rsid w:val="0088751E"/>
    <w:rsid w:val="00887EDD"/>
    <w:rsid w:val="0089029F"/>
    <w:rsid w:val="00890722"/>
    <w:rsid w:val="00890D8A"/>
    <w:rsid w:val="00891643"/>
    <w:rsid w:val="00891E93"/>
    <w:rsid w:val="008924CE"/>
    <w:rsid w:val="00892633"/>
    <w:rsid w:val="00892DA2"/>
    <w:rsid w:val="00892E5E"/>
    <w:rsid w:val="00893CAD"/>
    <w:rsid w:val="00893CDF"/>
    <w:rsid w:val="008940AC"/>
    <w:rsid w:val="0089470C"/>
    <w:rsid w:val="008961B7"/>
    <w:rsid w:val="00896BD1"/>
    <w:rsid w:val="00896CD4"/>
    <w:rsid w:val="008A0174"/>
    <w:rsid w:val="008A0398"/>
    <w:rsid w:val="008A0557"/>
    <w:rsid w:val="008A072B"/>
    <w:rsid w:val="008A074B"/>
    <w:rsid w:val="008A0999"/>
    <w:rsid w:val="008A0AAA"/>
    <w:rsid w:val="008A0BEF"/>
    <w:rsid w:val="008A131F"/>
    <w:rsid w:val="008A1477"/>
    <w:rsid w:val="008A1493"/>
    <w:rsid w:val="008A15AF"/>
    <w:rsid w:val="008A1F2E"/>
    <w:rsid w:val="008A21E6"/>
    <w:rsid w:val="008A4F4F"/>
    <w:rsid w:val="008A5445"/>
    <w:rsid w:val="008A5B26"/>
    <w:rsid w:val="008A66E9"/>
    <w:rsid w:val="008A6718"/>
    <w:rsid w:val="008A68FC"/>
    <w:rsid w:val="008A6BF7"/>
    <w:rsid w:val="008A71BA"/>
    <w:rsid w:val="008A72A2"/>
    <w:rsid w:val="008A7B1C"/>
    <w:rsid w:val="008A7D49"/>
    <w:rsid w:val="008B001B"/>
    <w:rsid w:val="008B0ED5"/>
    <w:rsid w:val="008B2014"/>
    <w:rsid w:val="008B2787"/>
    <w:rsid w:val="008B2F33"/>
    <w:rsid w:val="008B3008"/>
    <w:rsid w:val="008B32CD"/>
    <w:rsid w:val="008B373E"/>
    <w:rsid w:val="008B45C2"/>
    <w:rsid w:val="008B465A"/>
    <w:rsid w:val="008B4A5F"/>
    <w:rsid w:val="008B4C15"/>
    <w:rsid w:val="008B4EE2"/>
    <w:rsid w:val="008B4FBE"/>
    <w:rsid w:val="008B51C4"/>
    <w:rsid w:val="008B5B0B"/>
    <w:rsid w:val="008B5FC4"/>
    <w:rsid w:val="008B6838"/>
    <w:rsid w:val="008B6B03"/>
    <w:rsid w:val="008B72AD"/>
    <w:rsid w:val="008B771D"/>
    <w:rsid w:val="008B78F1"/>
    <w:rsid w:val="008C010E"/>
    <w:rsid w:val="008C0758"/>
    <w:rsid w:val="008C08F8"/>
    <w:rsid w:val="008C099D"/>
    <w:rsid w:val="008C0A22"/>
    <w:rsid w:val="008C0B83"/>
    <w:rsid w:val="008C1146"/>
    <w:rsid w:val="008C1279"/>
    <w:rsid w:val="008C13FC"/>
    <w:rsid w:val="008C1609"/>
    <w:rsid w:val="008C1726"/>
    <w:rsid w:val="008C245E"/>
    <w:rsid w:val="008C2DFD"/>
    <w:rsid w:val="008C2ED0"/>
    <w:rsid w:val="008C37E6"/>
    <w:rsid w:val="008C39EE"/>
    <w:rsid w:val="008C459F"/>
    <w:rsid w:val="008C45A0"/>
    <w:rsid w:val="008C4C28"/>
    <w:rsid w:val="008C4CC9"/>
    <w:rsid w:val="008C5172"/>
    <w:rsid w:val="008C5469"/>
    <w:rsid w:val="008C5EB8"/>
    <w:rsid w:val="008C62E9"/>
    <w:rsid w:val="008C645A"/>
    <w:rsid w:val="008C6559"/>
    <w:rsid w:val="008C6A8F"/>
    <w:rsid w:val="008C6ADE"/>
    <w:rsid w:val="008C6C88"/>
    <w:rsid w:val="008C6D53"/>
    <w:rsid w:val="008C6E54"/>
    <w:rsid w:val="008C78F5"/>
    <w:rsid w:val="008C7AAE"/>
    <w:rsid w:val="008C7E28"/>
    <w:rsid w:val="008D0E1B"/>
    <w:rsid w:val="008D16A7"/>
    <w:rsid w:val="008D17B5"/>
    <w:rsid w:val="008D19DA"/>
    <w:rsid w:val="008D2218"/>
    <w:rsid w:val="008D246F"/>
    <w:rsid w:val="008D27EF"/>
    <w:rsid w:val="008D3A16"/>
    <w:rsid w:val="008D3A2A"/>
    <w:rsid w:val="008D3F0C"/>
    <w:rsid w:val="008D41FC"/>
    <w:rsid w:val="008D4433"/>
    <w:rsid w:val="008D4A36"/>
    <w:rsid w:val="008D4BCB"/>
    <w:rsid w:val="008D513C"/>
    <w:rsid w:val="008D600F"/>
    <w:rsid w:val="008D6092"/>
    <w:rsid w:val="008D63BE"/>
    <w:rsid w:val="008D66D7"/>
    <w:rsid w:val="008D6D8B"/>
    <w:rsid w:val="008D775F"/>
    <w:rsid w:val="008D779B"/>
    <w:rsid w:val="008E0437"/>
    <w:rsid w:val="008E0CAC"/>
    <w:rsid w:val="008E1B2D"/>
    <w:rsid w:val="008E1E1A"/>
    <w:rsid w:val="008E2417"/>
    <w:rsid w:val="008E282E"/>
    <w:rsid w:val="008E2A15"/>
    <w:rsid w:val="008E2BC5"/>
    <w:rsid w:val="008E379D"/>
    <w:rsid w:val="008E3DA8"/>
    <w:rsid w:val="008E3F36"/>
    <w:rsid w:val="008E544B"/>
    <w:rsid w:val="008E5517"/>
    <w:rsid w:val="008E5733"/>
    <w:rsid w:val="008E6092"/>
    <w:rsid w:val="008E67F1"/>
    <w:rsid w:val="008E6986"/>
    <w:rsid w:val="008E6BBB"/>
    <w:rsid w:val="008E6C77"/>
    <w:rsid w:val="008E6CB3"/>
    <w:rsid w:val="008E759D"/>
    <w:rsid w:val="008E78B2"/>
    <w:rsid w:val="008E7DF4"/>
    <w:rsid w:val="008F001E"/>
    <w:rsid w:val="008F00AE"/>
    <w:rsid w:val="008F0539"/>
    <w:rsid w:val="008F0743"/>
    <w:rsid w:val="008F089B"/>
    <w:rsid w:val="008F177A"/>
    <w:rsid w:val="008F18F3"/>
    <w:rsid w:val="008F1951"/>
    <w:rsid w:val="008F1B35"/>
    <w:rsid w:val="008F22A4"/>
    <w:rsid w:val="008F2365"/>
    <w:rsid w:val="008F2EBB"/>
    <w:rsid w:val="008F386D"/>
    <w:rsid w:val="008F41D2"/>
    <w:rsid w:val="008F4451"/>
    <w:rsid w:val="008F448D"/>
    <w:rsid w:val="008F4707"/>
    <w:rsid w:val="008F48C6"/>
    <w:rsid w:val="008F4AA5"/>
    <w:rsid w:val="008F4E5E"/>
    <w:rsid w:val="008F590B"/>
    <w:rsid w:val="008F5AC4"/>
    <w:rsid w:val="008F67FF"/>
    <w:rsid w:val="008F6E04"/>
    <w:rsid w:val="009007D6"/>
    <w:rsid w:val="00900D4A"/>
    <w:rsid w:val="00901A25"/>
    <w:rsid w:val="00901FBC"/>
    <w:rsid w:val="009020C3"/>
    <w:rsid w:val="00902299"/>
    <w:rsid w:val="00902756"/>
    <w:rsid w:val="009027A6"/>
    <w:rsid w:val="009032EA"/>
    <w:rsid w:val="00903758"/>
    <w:rsid w:val="00903D58"/>
    <w:rsid w:val="00904205"/>
    <w:rsid w:val="009045DA"/>
    <w:rsid w:val="00904E80"/>
    <w:rsid w:val="00904FCB"/>
    <w:rsid w:val="0090561C"/>
    <w:rsid w:val="00905F90"/>
    <w:rsid w:val="009078BE"/>
    <w:rsid w:val="009078E4"/>
    <w:rsid w:val="00907A11"/>
    <w:rsid w:val="00907BD1"/>
    <w:rsid w:val="00910952"/>
    <w:rsid w:val="009110B8"/>
    <w:rsid w:val="009113C0"/>
    <w:rsid w:val="00911538"/>
    <w:rsid w:val="0091193B"/>
    <w:rsid w:val="009119B0"/>
    <w:rsid w:val="00911D35"/>
    <w:rsid w:val="00911DD7"/>
    <w:rsid w:val="00912D85"/>
    <w:rsid w:val="00913296"/>
    <w:rsid w:val="00913C53"/>
    <w:rsid w:val="00915D31"/>
    <w:rsid w:val="009160A9"/>
    <w:rsid w:val="00916295"/>
    <w:rsid w:val="00916AA1"/>
    <w:rsid w:val="00916C2B"/>
    <w:rsid w:val="00917BB3"/>
    <w:rsid w:val="00917C08"/>
    <w:rsid w:val="00917F67"/>
    <w:rsid w:val="009201AC"/>
    <w:rsid w:val="0092084B"/>
    <w:rsid w:val="00921748"/>
    <w:rsid w:val="00921B1D"/>
    <w:rsid w:val="00921F1B"/>
    <w:rsid w:val="00922661"/>
    <w:rsid w:val="00922FAD"/>
    <w:rsid w:val="00923487"/>
    <w:rsid w:val="009242DD"/>
    <w:rsid w:val="009246ED"/>
    <w:rsid w:val="009259A3"/>
    <w:rsid w:val="009259AF"/>
    <w:rsid w:val="00926196"/>
    <w:rsid w:val="00926667"/>
    <w:rsid w:val="0092684C"/>
    <w:rsid w:val="009272AD"/>
    <w:rsid w:val="00927320"/>
    <w:rsid w:val="0092746B"/>
    <w:rsid w:val="00927BC7"/>
    <w:rsid w:val="00927C22"/>
    <w:rsid w:val="00927D9A"/>
    <w:rsid w:val="00927F9E"/>
    <w:rsid w:val="00931342"/>
    <w:rsid w:val="00931606"/>
    <w:rsid w:val="00931663"/>
    <w:rsid w:val="00931C27"/>
    <w:rsid w:val="009320CE"/>
    <w:rsid w:val="0093256A"/>
    <w:rsid w:val="009325D8"/>
    <w:rsid w:val="009330F1"/>
    <w:rsid w:val="00933147"/>
    <w:rsid w:val="009333BD"/>
    <w:rsid w:val="00933462"/>
    <w:rsid w:val="009334E2"/>
    <w:rsid w:val="009335EA"/>
    <w:rsid w:val="009342C7"/>
    <w:rsid w:val="009344EC"/>
    <w:rsid w:val="00934BEE"/>
    <w:rsid w:val="0093548B"/>
    <w:rsid w:val="009361EB"/>
    <w:rsid w:val="00936539"/>
    <w:rsid w:val="00936558"/>
    <w:rsid w:val="00936A62"/>
    <w:rsid w:val="00937126"/>
    <w:rsid w:val="009375C9"/>
    <w:rsid w:val="0093760F"/>
    <w:rsid w:val="00937EC0"/>
    <w:rsid w:val="009406DE"/>
    <w:rsid w:val="00940FF6"/>
    <w:rsid w:val="009419D8"/>
    <w:rsid w:val="00941B6F"/>
    <w:rsid w:val="00941EBD"/>
    <w:rsid w:val="00941FCF"/>
    <w:rsid w:val="009420D7"/>
    <w:rsid w:val="0094260F"/>
    <w:rsid w:val="00942904"/>
    <w:rsid w:val="009429E6"/>
    <w:rsid w:val="00942AD1"/>
    <w:rsid w:val="00942CD4"/>
    <w:rsid w:val="009430BC"/>
    <w:rsid w:val="009430BD"/>
    <w:rsid w:val="009432AA"/>
    <w:rsid w:val="009434A8"/>
    <w:rsid w:val="009437FC"/>
    <w:rsid w:val="00943C46"/>
    <w:rsid w:val="00943C6E"/>
    <w:rsid w:val="009440C2"/>
    <w:rsid w:val="009441F7"/>
    <w:rsid w:val="009443C7"/>
    <w:rsid w:val="00944400"/>
    <w:rsid w:val="009446BA"/>
    <w:rsid w:val="009448EC"/>
    <w:rsid w:val="009461B5"/>
    <w:rsid w:val="00946443"/>
    <w:rsid w:val="0094653C"/>
    <w:rsid w:val="00946634"/>
    <w:rsid w:val="00946681"/>
    <w:rsid w:val="00946F15"/>
    <w:rsid w:val="00947866"/>
    <w:rsid w:val="00947EB5"/>
    <w:rsid w:val="009500C1"/>
    <w:rsid w:val="009504DC"/>
    <w:rsid w:val="0095085D"/>
    <w:rsid w:val="00950951"/>
    <w:rsid w:val="00950EBE"/>
    <w:rsid w:val="009529EA"/>
    <w:rsid w:val="00952A58"/>
    <w:rsid w:val="00952D0C"/>
    <w:rsid w:val="00952DC6"/>
    <w:rsid w:val="00953029"/>
    <w:rsid w:val="00953945"/>
    <w:rsid w:val="00953AD9"/>
    <w:rsid w:val="00953C00"/>
    <w:rsid w:val="00953C54"/>
    <w:rsid w:val="0095468C"/>
    <w:rsid w:val="00954B04"/>
    <w:rsid w:val="00954E81"/>
    <w:rsid w:val="00954ED4"/>
    <w:rsid w:val="00954F39"/>
    <w:rsid w:val="009557DE"/>
    <w:rsid w:val="0095587E"/>
    <w:rsid w:val="00956DA8"/>
    <w:rsid w:val="00957241"/>
    <w:rsid w:val="009575FB"/>
    <w:rsid w:val="00957652"/>
    <w:rsid w:val="00957987"/>
    <w:rsid w:val="00960192"/>
    <w:rsid w:val="009604E4"/>
    <w:rsid w:val="00960868"/>
    <w:rsid w:val="00960907"/>
    <w:rsid w:val="00961049"/>
    <w:rsid w:val="0096109E"/>
    <w:rsid w:val="00961595"/>
    <w:rsid w:val="00961D7A"/>
    <w:rsid w:val="00962487"/>
    <w:rsid w:val="00962A7A"/>
    <w:rsid w:val="009630E2"/>
    <w:rsid w:val="009638AE"/>
    <w:rsid w:val="009638B7"/>
    <w:rsid w:val="00963CF1"/>
    <w:rsid w:val="00963D66"/>
    <w:rsid w:val="00964175"/>
    <w:rsid w:val="00964496"/>
    <w:rsid w:val="009665B7"/>
    <w:rsid w:val="0096694C"/>
    <w:rsid w:val="00966D16"/>
    <w:rsid w:val="00966F8D"/>
    <w:rsid w:val="00967748"/>
    <w:rsid w:val="00967865"/>
    <w:rsid w:val="00967AEF"/>
    <w:rsid w:val="00967C71"/>
    <w:rsid w:val="0097060B"/>
    <w:rsid w:val="0097068E"/>
    <w:rsid w:val="0097097E"/>
    <w:rsid w:val="009712B7"/>
    <w:rsid w:val="00971674"/>
    <w:rsid w:val="009718FF"/>
    <w:rsid w:val="00971C17"/>
    <w:rsid w:val="009723EC"/>
    <w:rsid w:val="0097240D"/>
    <w:rsid w:val="00972827"/>
    <w:rsid w:val="0097284A"/>
    <w:rsid w:val="009729C4"/>
    <w:rsid w:val="00973392"/>
    <w:rsid w:val="009738A8"/>
    <w:rsid w:val="00973EDB"/>
    <w:rsid w:val="009741CA"/>
    <w:rsid w:val="00974B38"/>
    <w:rsid w:val="00975459"/>
    <w:rsid w:val="0097590E"/>
    <w:rsid w:val="00975A28"/>
    <w:rsid w:val="00975A8E"/>
    <w:rsid w:val="00975C51"/>
    <w:rsid w:val="0097671F"/>
    <w:rsid w:val="00976757"/>
    <w:rsid w:val="00976B0B"/>
    <w:rsid w:val="00976E78"/>
    <w:rsid w:val="00976ECC"/>
    <w:rsid w:val="009778FC"/>
    <w:rsid w:val="00977D2A"/>
    <w:rsid w:val="0098025C"/>
    <w:rsid w:val="00980410"/>
    <w:rsid w:val="00980CA6"/>
    <w:rsid w:val="009813A8"/>
    <w:rsid w:val="00981480"/>
    <w:rsid w:val="00981C37"/>
    <w:rsid w:val="00981C93"/>
    <w:rsid w:val="00981FB7"/>
    <w:rsid w:val="0098220B"/>
    <w:rsid w:val="009822DD"/>
    <w:rsid w:val="00982703"/>
    <w:rsid w:val="009829D9"/>
    <w:rsid w:val="00983AA3"/>
    <w:rsid w:val="00984150"/>
    <w:rsid w:val="00984983"/>
    <w:rsid w:val="00984A97"/>
    <w:rsid w:val="009852B3"/>
    <w:rsid w:val="00985A33"/>
    <w:rsid w:val="00985AED"/>
    <w:rsid w:val="00985DAD"/>
    <w:rsid w:val="00986669"/>
    <w:rsid w:val="00986DA8"/>
    <w:rsid w:val="00987313"/>
    <w:rsid w:val="00987EBD"/>
    <w:rsid w:val="00990ADB"/>
    <w:rsid w:val="0099111B"/>
    <w:rsid w:val="00991338"/>
    <w:rsid w:val="00991CEC"/>
    <w:rsid w:val="00992102"/>
    <w:rsid w:val="009924F9"/>
    <w:rsid w:val="0099291A"/>
    <w:rsid w:val="009929F7"/>
    <w:rsid w:val="00992BD1"/>
    <w:rsid w:val="0099317D"/>
    <w:rsid w:val="009936FA"/>
    <w:rsid w:val="00993979"/>
    <w:rsid w:val="00993CF9"/>
    <w:rsid w:val="00994438"/>
    <w:rsid w:val="00994698"/>
    <w:rsid w:val="00994795"/>
    <w:rsid w:val="009948F7"/>
    <w:rsid w:val="00994B8F"/>
    <w:rsid w:val="009957F7"/>
    <w:rsid w:val="00996067"/>
    <w:rsid w:val="009970AF"/>
    <w:rsid w:val="00997213"/>
    <w:rsid w:val="0099794D"/>
    <w:rsid w:val="00997B6C"/>
    <w:rsid w:val="00997B9B"/>
    <w:rsid w:val="009A00DA"/>
    <w:rsid w:val="009A0CAE"/>
    <w:rsid w:val="009A0CB2"/>
    <w:rsid w:val="009A19F1"/>
    <w:rsid w:val="009A223D"/>
    <w:rsid w:val="009A23EE"/>
    <w:rsid w:val="009A3106"/>
    <w:rsid w:val="009A3291"/>
    <w:rsid w:val="009A33D1"/>
    <w:rsid w:val="009A36EF"/>
    <w:rsid w:val="009A5218"/>
    <w:rsid w:val="009A5CA5"/>
    <w:rsid w:val="009A6A0F"/>
    <w:rsid w:val="009A6B34"/>
    <w:rsid w:val="009A6CCB"/>
    <w:rsid w:val="009A7210"/>
    <w:rsid w:val="009A7303"/>
    <w:rsid w:val="009A74F4"/>
    <w:rsid w:val="009A7734"/>
    <w:rsid w:val="009A7A2C"/>
    <w:rsid w:val="009A7CB9"/>
    <w:rsid w:val="009B0100"/>
    <w:rsid w:val="009B04DB"/>
    <w:rsid w:val="009B07A7"/>
    <w:rsid w:val="009B194A"/>
    <w:rsid w:val="009B1B14"/>
    <w:rsid w:val="009B1EC3"/>
    <w:rsid w:val="009B1EF3"/>
    <w:rsid w:val="009B27FB"/>
    <w:rsid w:val="009B2D7F"/>
    <w:rsid w:val="009B343D"/>
    <w:rsid w:val="009B3535"/>
    <w:rsid w:val="009B3598"/>
    <w:rsid w:val="009B3617"/>
    <w:rsid w:val="009B3651"/>
    <w:rsid w:val="009B3BB1"/>
    <w:rsid w:val="009B3FD1"/>
    <w:rsid w:val="009B412F"/>
    <w:rsid w:val="009B4220"/>
    <w:rsid w:val="009B4559"/>
    <w:rsid w:val="009B45F7"/>
    <w:rsid w:val="009B499C"/>
    <w:rsid w:val="009B5110"/>
    <w:rsid w:val="009B5775"/>
    <w:rsid w:val="009B59C0"/>
    <w:rsid w:val="009B66A2"/>
    <w:rsid w:val="009B7A2E"/>
    <w:rsid w:val="009B7E4A"/>
    <w:rsid w:val="009C067B"/>
    <w:rsid w:val="009C068D"/>
    <w:rsid w:val="009C08B2"/>
    <w:rsid w:val="009C091B"/>
    <w:rsid w:val="009C0A4A"/>
    <w:rsid w:val="009C0D2E"/>
    <w:rsid w:val="009C16C7"/>
    <w:rsid w:val="009C177E"/>
    <w:rsid w:val="009C1907"/>
    <w:rsid w:val="009C1B39"/>
    <w:rsid w:val="009C1D06"/>
    <w:rsid w:val="009C23F5"/>
    <w:rsid w:val="009C2E42"/>
    <w:rsid w:val="009C3310"/>
    <w:rsid w:val="009C36D8"/>
    <w:rsid w:val="009C3F9A"/>
    <w:rsid w:val="009C449E"/>
    <w:rsid w:val="009C4637"/>
    <w:rsid w:val="009C4956"/>
    <w:rsid w:val="009C4B6F"/>
    <w:rsid w:val="009C5B4F"/>
    <w:rsid w:val="009C652E"/>
    <w:rsid w:val="009C65C1"/>
    <w:rsid w:val="009C79B1"/>
    <w:rsid w:val="009D0F04"/>
    <w:rsid w:val="009D1800"/>
    <w:rsid w:val="009D19D2"/>
    <w:rsid w:val="009D1BA9"/>
    <w:rsid w:val="009D1EAD"/>
    <w:rsid w:val="009D203A"/>
    <w:rsid w:val="009D2BDF"/>
    <w:rsid w:val="009D2FC5"/>
    <w:rsid w:val="009D3743"/>
    <w:rsid w:val="009D3EBF"/>
    <w:rsid w:val="009D47C3"/>
    <w:rsid w:val="009D4D31"/>
    <w:rsid w:val="009D4DD8"/>
    <w:rsid w:val="009D53B3"/>
    <w:rsid w:val="009D5499"/>
    <w:rsid w:val="009D5862"/>
    <w:rsid w:val="009D58A3"/>
    <w:rsid w:val="009D5FF4"/>
    <w:rsid w:val="009D62D6"/>
    <w:rsid w:val="009D6522"/>
    <w:rsid w:val="009D65B1"/>
    <w:rsid w:val="009D66DD"/>
    <w:rsid w:val="009D677E"/>
    <w:rsid w:val="009D68E7"/>
    <w:rsid w:val="009D6C78"/>
    <w:rsid w:val="009D727D"/>
    <w:rsid w:val="009D72DF"/>
    <w:rsid w:val="009D76A9"/>
    <w:rsid w:val="009E028C"/>
    <w:rsid w:val="009E097D"/>
    <w:rsid w:val="009E1DE3"/>
    <w:rsid w:val="009E280D"/>
    <w:rsid w:val="009E2F8F"/>
    <w:rsid w:val="009E2FF6"/>
    <w:rsid w:val="009E351C"/>
    <w:rsid w:val="009E3869"/>
    <w:rsid w:val="009E38C8"/>
    <w:rsid w:val="009E422D"/>
    <w:rsid w:val="009E429E"/>
    <w:rsid w:val="009E4ABC"/>
    <w:rsid w:val="009E4AC5"/>
    <w:rsid w:val="009E60C3"/>
    <w:rsid w:val="009E6CA8"/>
    <w:rsid w:val="009E6E6C"/>
    <w:rsid w:val="009E705D"/>
    <w:rsid w:val="009E7341"/>
    <w:rsid w:val="009E73F1"/>
    <w:rsid w:val="009E7A1E"/>
    <w:rsid w:val="009E7E8C"/>
    <w:rsid w:val="009E7F8C"/>
    <w:rsid w:val="009F02C1"/>
    <w:rsid w:val="009F0A19"/>
    <w:rsid w:val="009F0C17"/>
    <w:rsid w:val="009F0DD1"/>
    <w:rsid w:val="009F0FF4"/>
    <w:rsid w:val="009F1274"/>
    <w:rsid w:val="009F12D0"/>
    <w:rsid w:val="009F1361"/>
    <w:rsid w:val="009F18A9"/>
    <w:rsid w:val="009F2478"/>
    <w:rsid w:val="009F2D44"/>
    <w:rsid w:val="009F2E4A"/>
    <w:rsid w:val="009F315B"/>
    <w:rsid w:val="009F39F8"/>
    <w:rsid w:val="009F40CE"/>
    <w:rsid w:val="009F424A"/>
    <w:rsid w:val="009F45CE"/>
    <w:rsid w:val="009F47F9"/>
    <w:rsid w:val="009F49D9"/>
    <w:rsid w:val="009F4C34"/>
    <w:rsid w:val="009F5136"/>
    <w:rsid w:val="009F5C66"/>
    <w:rsid w:val="009F5F30"/>
    <w:rsid w:val="009F5F4F"/>
    <w:rsid w:val="009F640C"/>
    <w:rsid w:val="009F647F"/>
    <w:rsid w:val="009F691B"/>
    <w:rsid w:val="009F6B76"/>
    <w:rsid w:val="009F7653"/>
    <w:rsid w:val="009F7A89"/>
    <w:rsid w:val="00A0001A"/>
    <w:rsid w:val="00A00041"/>
    <w:rsid w:val="00A00498"/>
    <w:rsid w:val="00A008A5"/>
    <w:rsid w:val="00A00AF1"/>
    <w:rsid w:val="00A0150A"/>
    <w:rsid w:val="00A01E12"/>
    <w:rsid w:val="00A0270E"/>
    <w:rsid w:val="00A03182"/>
    <w:rsid w:val="00A0328B"/>
    <w:rsid w:val="00A03521"/>
    <w:rsid w:val="00A0355A"/>
    <w:rsid w:val="00A03D8B"/>
    <w:rsid w:val="00A03E06"/>
    <w:rsid w:val="00A03E89"/>
    <w:rsid w:val="00A04675"/>
    <w:rsid w:val="00A04D9C"/>
    <w:rsid w:val="00A05F62"/>
    <w:rsid w:val="00A06029"/>
    <w:rsid w:val="00A0682B"/>
    <w:rsid w:val="00A0684D"/>
    <w:rsid w:val="00A0690C"/>
    <w:rsid w:val="00A06A52"/>
    <w:rsid w:val="00A06E9E"/>
    <w:rsid w:val="00A07F7D"/>
    <w:rsid w:val="00A10237"/>
    <w:rsid w:val="00A102CD"/>
    <w:rsid w:val="00A10361"/>
    <w:rsid w:val="00A11C1A"/>
    <w:rsid w:val="00A12A5B"/>
    <w:rsid w:val="00A12A8F"/>
    <w:rsid w:val="00A12B5C"/>
    <w:rsid w:val="00A12DB2"/>
    <w:rsid w:val="00A13467"/>
    <w:rsid w:val="00A13A25"/>
    <w:rsid w:val="00A13B27"/>
    <w:rsid w:val="00A13D76"/>
    <w:rsid w:val="00A1431C"/>
    <w:rsid w:val="00A14393"/>
    <w:rsid w:val="00A1484B"/>
    <w:rsid w:val="00A154E8"/>
    <w:rsid w:val="00A15C76"/>
    <w:rsid w:val="00A16528"/>
    <w:rsid w:val="00A16D07"/>
    <w:rsid w:val="00A16E05"/>
    <w:rsid w:val="00A17295"/>
    <w:rsid w:val="00A177BD"/>
    <w:rsid w:val="00A17DA1"/>
    <w:rsid w:val="00A2028A"/>
    <w:rsid w:val="00A2067B"/>
    <w:rsid w:val="00A20879"/>
    <w:rsid w:val="00A20B87"/>
    <w:rsid w:val="00A213ED"/>
    <w:rsid w:val="00A220D7"/>
    <w:rsid w:val="00A221B8"/>
    <w:rsid w:val="00A2238C"/>
    <w:rsid w:val="00A226D1"/>
    <w:rsid w:val="00A227B5"/>
    <w:rsid w:val="00A22A7D"/>
    <w:rsid w:val="00A23097"/>
    <w:rsid w:val="00A242C5"/>
    <w:rsid w:val="00A24CD7"/>
    <w:rsid w:val="00A251AB"/>
    <w:rsid w:val="00A254AB"/>
    <w:rsid w:val="00A2582D"/>
    <w:rsid w:val="00A25925"/>
    <w:rsid w:val="00A25E47"/>
    <w:rsid w:val="00A260ED"/>
    <w:rsid w:val="00A26191"/>
    <w:rsid w:val="00A2681E"/>
    <w:rsid w:val="00A26978"/>
    <w:rsid w:val="00A26CA7"/>
    <w:rsid w:val="00A26FE7"/>
    <w:rsid w:val="00A2768C"/>
    <w:rsid w:val="00A27727"/>
    <w:rsid w:val="00A3003E"/>
    <w:rsid w:val="00A300A4"/>
    <w:rsid w:val="00A306D6"/>
    <w:rsid w:val="00A30895"/>
    <w:rsid w:val="00A313BC"/>
    <w:rsid w:val="00A315B9"/>
    <w:rsid w:val="00A31B14"/>
    <w:rsid w:val="00A31E26"/>
    <w:rsid w:val="00A327A2"/>
    <w:rsid w:val="00A3367D"/>
    <w:rsid w:val="00A336D3"/>
    <w:rsid w:val="00A33971"/>
    <w:rsid w:val="00A33D70"/>
    <w:rsid w:val="00A34482"/>
    <w:rsid w:val="00A34583"/>
    <w:rsid w:val="00A34660"/>
    <w:rsid w:val="00A35813"/>
    <w:rsid w:val="00A35AE2"/>
    <w:rsid w:val="00A36057"/>
    <w:rsid w:val="00A36103"/>
    <w:rsid w:val="00A36178"/>
    <w:rsid w:val="00A36AAA"/>
    <w:rsid w:val="00A36FA2"/>
    <w:rsid w:val="00A3709E"/>
    <w:rsid w:val="00A377A4"/>
    <w:rsid w:val="00A37CF1"/>
    <w:rsid w:val="00A37E16"/>
    <w:rsid w:val="00A37FC8"/>
    <w:rsid w:val="00A40F96"/>
    <w:rsid w:val="00A4101A"/>
    <w:rsid w:val="00A4120F"/>
    <w:rsid w:val="00A4132F"/>
    <w:rsid w:val="00A4134A"/>
    <w:rsid w:val="00A41612"/>
    <w:rsid w:val="00A41C5D"/>
    <w:rsid w:val="00A41C85"/>
    <w:rsid w:val="00A41D6F"/>
    <w:rsid w:val="00A41F91"/>
    <w:rsid w:val="00A42399"/>
    <w:rsid w:val="00A428C6"/>
    <w:rsid w:val="00A4296E"/>
    <w:rsid w:val="00A43013"/>
    <w:rsid w:val="00A4436C"/>
    <w:rsid w:val="00A447A7"/>
    <w:rsid w:val="00A44C27"/>
    <w:rsid w:val="00A44FA7"/>
    <w:rsid w:val="00A45350"/>
    <w:rsid w:val="00A46124"/>
    <w:rsid w:val="00A4613C"/>
    <w:rsid w:val="00A470EA"/>
    <w:rsid w:val="00A478E8"/>
    <w:rsid w:val="00A47ADF"/>
    <w:rsid w:val="00A47BB9"/>
    <w:rsid w:val="00A50854"/>
    <w:rsid w:val="00A50A06"/>
    <w:rsid w:val="00A50F46"/>
    <w:rsid w:val="00A51008"/>
    <w:rsid w:val="00A51BAA"/>
    <w:rsid w:val="00A51E02"/>
    <w:rsid w:val="00A52AD7"/>
    <w:rsid w:val="00A52ECE"/>
    <w:rsid w:val="00A533AA"/>
    <w:rsid w:val="00A53A9D"/>
    <w:rsid w:val="00A53DD8"/>
    <w:rsid w:val="00A5494D"/>
    <w:rsid w:val="00A54A4B"/>
    <w:rsid w:val="00A54BC1"/>
    <w:rsid w:val="00A54EAB"/>
    <w:rsid w:val="00A54F9E"/>
    <w:rsid w:val="00A551D3"/>
    <w:rsid w:val="00A55425"/>
    <w:rsid w:val="00A554ED"/>
    <w:rsid w:val="00A55735"/>
    <w:rsid w:val="00A55909"/>
    <w:rsid w:val="00A55B3C"/>
    <w:rsid w:val="00A55CB9"/>
    <w:rsid w:val="00A56170"/>
    <w:rsid w:val="00A56307"/>
    <w:rsid w:val="00A56AB6"/>
    <w:rsid w:val="00A56B02"/>
    <w:rsid w:val="00A56FFF"/>
    <w:rsid w:val="00A57EAA"/>
    <w:rsid w:val="00A60333"/>
    <w:rsid w:val="00A6059A"/>
    <w:rsid w:val="00A60669"/>
    <w:rsid w:val="00A60730"/>
    <w:rsid w:val="00A60739"/>
    <w:rsid w:val="00A608B9"/>
    <w:rsid w:val="00A611CA"/>
    <w:rsid w:val="00A619DB"/>
    <w:rsid w:val="00A629BF"/>
    <w:rsid w:val="00A62DED"/>
    <w:rsid w:val="00A6434D"/>
    <w:rsid w:val="00A64BA7"/>
    <w:rsid w:val="00A64E15"/>
    <w:rsid w:val="00A65311"/>
    <w:rsid w:val="00A654D0"/>
    <w:rsid w:val="00A655AE"/>
    <w:rsid w:val="00A65721"/>
    <w:rsid w:val="00A65AFE"/>
    <w:rsid w:val="00A66384"/>
    <w:rsid w:val="00A66756"/>
    <w:rsid w:val="00A667FD"/>
    <w:rsid w:val="00A668AB"/>
    <w:rsid w:val="00A66CF7"/>
    <w:rsid w:val="00A67A21"/>
    <w:rsid w:val="00A67EE2"/>
    <w:rsid w:val="00A70020"/>
    <w:rsid w:val="00A7038C"/>
    <w:rsid w:val="00A70458"/>
    <w:rsid w:val="00A70B0C"/>
    <w:rsid w:val="00A70BFE"/>
    <w:rsid w:val="00A710A0"/>
    <w:rsid w:val="00A71382"/>
    <w:rsid w:val="00A71387"/>
    <w:rsid w:val="00A7145A"/>
    <w:rsid w:val="00A7187F"/>
    <w:rsid w:val="00A7229D"/>
    <w:rsid w:val="00A72301"/>
    <w:rsid w:val="00A72761"/>
    <w:rsid w:val="00A72A97"/>
    <w:rsid w:val="00A730FD"/>
    <w:rsid w:val="00A7316E"/>
    <w:rsid w:val="00A7437F"/>
    <w:rsid w:val="00A744ED"/>
    <w:rsid w:val="00A7452C"/>
    <w:rsid w:val="00A74537"/>
    <w:rsid w:val="00A74840"/>
    <w:rsid w:val="00A74D4D"/>
    <w:rsid w:val="00A7562F"/>
    <w:rsid w:val="00A75892"/>
    <w:rsid w:val="00A764D3"/>
    <w:rsid w:val="00A766D8"/>
    <w:rsid w:val="00A76B4A"/>
    <w:rsid w:val="00A77484"/>
    <w:rsid w:val="00A77CC7"/>
    <w:rsid w:val="00A77E37"/>
    <w:rsid w:val="00A77F79"/>
    <w:rsid w:val="00A80760"/>
    <w:rsid w:val="00A8114E"/>
    <w:rsid w:val="00A81F56"/>
    <w:rsid w:val="00A82124"/>
    <w:rsid w:val="00A82784"/>
    <w:rsid w:val="00A838A5"/>
    <w:rsid w:val="00A83AF1"/>
    <w:rsid w:val="00A84620"/>
    <w:rsid w:val="00A848FB"/>
    <w:rsid w:val="00A84CF9"/>
    <w:rsid w:val="00A84DA4"/>
    <w:rsid w:val="00A84E26"/>
    <w:rsid w:val="00A84F25"/>
    <w:rsid w:val="00A85547"/>
    <w:rsid w:val="00A85846"/>
    <w:rsid w:val="00A85A67"/>
    <w:rsid w:val="00A85BC2"/>
    <w:rsid w:val="00A85CBC"/>
    <w:rsid w:val="00A85E96"/>
    <w:rsid w:val="00A86145"/>
    <w:rsid w:val="00A865B5"/>
    <w:rsid w:val="00A8716B"/>
    <w:rsid w:val="00A874E8"/>
    <w:rsid w:val="00A87C96"/>
    <w:rsid w:val="00A90AB5"/>
    <w:rsid w:val="00A90C4A"/>
    <w:rsid w:val="00A90CC9"/>
    <w:rsid w:val="00A90DFE"/>
    <w:rsid w:val="00A9111A"/>
    <w:rsid w:val="00A912C0"/>
    <w:rsid w:val="00A9162C"/>
    <w:rsid w:val="00A920EE"/>
    <w:rsid w:val="00A92624"/>
    <w:rsid w:val="00A92B82"/>
    <w:rsid w:val="00A92CE1"/>
    <w:rsid w:val="00A93441"/>
    <w:rsid w:val="00A93578"/>
    <w:rsid w:val="00A93977"/>
    <w:rsid w:val="00A94512"/>
    <w:rsid w:val="00A94D43"/>
    <w:rsid w:val="00A94F07"/>
    <w:rsid w:val="00A951E2"/>
    <w:rsid w:val="00A954B2"/>
    <w:rsid w:val="00A956E9"/>
    <w:rsid w:val="00A9574E"/>
    <w:rsid w:val="00A96046"/>
    <w:rsid w:val="00A9644E"/>
    <w:rsid w:val="00A96B64"/>
    <w:rsid w:val="00A96E88"/>
    <w:rsid w:val="00AA0704"/>
    <w:rsid w:val="00AA110E"/>
    <w:rsid w:val="00AA1119"/>
    <w:rsid w:val="00AA133A"/>
    <w:rsid w:val="00AA18E6"/>
    <w:rsid w:val="00AA1938"/>
    <w:rsid w:val="00AA219F"/>
    <w:rsid w:val="00AA232D"/>
    <w:rsid w:val="00AA2668"/>
    <w:rsid w:val="00AA417D"/>
    <w:rsid w:val="00AA50CB"/>
    <w:rsid w:val="00AA5AE8"/>
    <w:rsid w:val="00AA63CD"/>
    <w:rsid w:val="00AA6811"/>
    <w:rsid w:val="00AA7559"/>
    <w:rsid w:val="00AA75C7"/>
    <w:rsid w:val="00AA7D3B"/>
    <w:rsid w:val="00AA7D78"/>
    <w:rsid w:val="00AB016C"/>
    <w:rsid w:val="00AB09C6"/>
    <w:rsid w:val="00AB0B7C"/>
    <w:rsid w:val="00AB1B03"/>
    <w:rsid w:val="00AB233C"/>
    <w:rsid w:val="00AB23A2"/>
    <w:rsid w:val="00AB25BD"/>
    <w:rsid w:val="00AB29DD"/>
    <w:rsid w:val="00AB322F"/>
    <w:rsid w:val="00AB3526"/>
    <w:rsid w:val="00AB3673"/>
    <w:rsid w:val="00AB3740"/>
    <w:rsid w:val="00AB3A11"/>
    <w:rsid w:val="00AB4107"/>
    <w:rsid w:val="00AB44F0"/>
    <w:rsid w:val="00AB45E7"/>
    <w:rsid w:val="00AB4607"/>
    <w:rsid w:val="00AB47C1"/>
    <w:rsid w:val="00AB49BD"/>
    <w:rsid w:val="00AB4FB2"/>
    <w:rsid w:val="00AB5596"/>
    <w:rsid w:val="00AB559A"/>
    <w:rsid w:val="00AB58A8"/>
    <w:rsid w:val="00AB58D5"/>
    <w:rsid w:val="00AB5D91"/>
    <w:rsid w:val="00AB60FB"/>
    <w:rsid w:val="00AB6B10"/>
    <w:rsid w:val="00AB763D"/>
    <w:rsid w:val="00AC0463"/>
    <w:rsid w:val="00AC0BF4"/>
    <w:rsid w:val="00AC103E"/>
    <w:rsid w:val="00AC146B"/>
    <w:rsid w:val="00AC1FD2"/>
    <w:rsid w:val="00AC248A"/>
    <w:rsid w:val="00AC25FA"/>
    <w:rsid w:val="00AC2719"/>
    <w:rsid w:val="00AC2879"/>
    <w:rsid w:val="00AC2B95"/>
    <w:rsid w:val="00AC2C92"/>
    <w:rsid w:val="00AC3445"/>
    <w:rsid w:val="00AC3A0C"/>
    <w:rsid w:val="00AC3E8C"/>
    <w:rsid w:val="00AC40FC"/>
    <w:rsid w:val="00AC46F1"/>
    <w:rsid w:val="00AC475A"/>
    <w:rsid w:val="00AC4C86"/>
    <w:rsid w:val="00AC4FCB"/>
    <w:rsid w:val="00AC5138"/>
    <w:rsid w:val="00AC56E5"/>
    <w:rsid w:val="00AC5A4C"/>
    <w:rsid w:val="00AC5B62"/>
    <w:rsid w:val="00AC6309"/>
    <w:rsid w:val="00AC6505"/>
    <w:rsid w:val="00AC66B6"/>
    <w:rsid w:val="00AC7934"/>
    <w:rsid w:val="00AC7A95"/>
    <w:rsid w:val="00AC7FED"/>
    <w:rsid w:val="00AD05BA"/>
    <w:rsid w:val="00AD0660"/>
    <w:rsid w:val="00AD16A6"/>
    <w:rsid w:val="00AD1DC7"/>
    <w:rsid w:val="00AD2324"/>
    <w:rsid w:val="00AD23B9"/>
    <w:rsid w:val="00AD26B5"/>
    <w:rsid w:val="00AD32F3"/>
    <w:rsid w:val="00AD3FB9"/>
    <w:rsid w:val="00AD40D0"/>
    <w:rsid w:val="00AD450E"/>
    <w:rsid w:val="00AD4626"/>
    <w:rsid w:val="00AD4920"/>
    <w:rsid w:val="00AD570A"/>
    <w:rsid w:val="00AD5ADF"/>
    <w:rsid w:val="00AD5FEF"/>
    <w:rsid w:val="00AD6350"/>
    <w:rsid w:val="00AD6405"/>
    <w:rsid w:val="00AD6D6E"/>
    <w:rsid w:val="00AD75B8"/>
    <w:rsid w:val="00AD76B3"/>
    <w:rsid w:val="00AE019D"/>
    <w:rsid w:val="00AE021B"/>
    <w:rsid w:val="00AE10BF"/>
    <w:rsid w:val="00AE1141"/>
    <w:rsid w:val="00AE1C0F"/>
    <w:rsid w:val="00AE321D"/>
    <w:rsid w:val="00AE33C3"/>
    <w:rsid w:val="00AE39E2"/>
    <w:rsid w:val="00AE3AAC"/>
    <w:rsid w:val="00AE3C04"/>
    <w:rsid w:val="00AE40AE"/>
    <w:rsid w:val="00AE41F4"/>
    <w:rsid w:val="00AE42EC"/>
    <w:rsid w:val="00AE4982"/>
    <w:rsid w:val="00AE498E"/>
    <w:rsid w:val="00AE6105"/>
    <w:rsid w:val="00AE65BC"/>
    <w:rsid w:val="00AE677B"/>
    <w:rsid w:val="00AE6920"/>
    <w:rsid w:val="00AE6D75"/>
    <w:rsid w:val="00AE73AC"/>
    <w:rsid w:val="00AF055B"/>
    <w:rsid w:val="00AF0A0E"/>
    <w:rsid w:val="00AF10D9"/>
    <w:rsid w:val="00AF12E6"/>
    <w:rsid w:val="00AF1FBB"/>
    <w:rsid w:val="00AF2527"/>
    <w:rsid w:val="00AF2899"/>
    <w:rsid w:val="00AF2916"/>
    <w:rsid w:val="00AF2C08"/>
    <w:rsid w:val="00AF2EAE"/>
    <w:rsid w:val="00AF307E"/>
    <w:rsid w:val="00AF310F"/>
    <w:rsid w:val="00AF3283"/>
    <w:rsid w:val="00AF34FE"/>
    <w:rsid w:val="00AF36B6"/>
    <w:rsid w:val="00AF3B18"/>
    <w:rsid w:val="00AF3BAE"/>
    <w:rsid w:val="00AF3CA4"/>
    <w:rsid w:val="00AF46F6"/>
    <w:rsid w:val="00AF47A5"/>
    <w:rsid w:val="00AF534E"/>
    <w:rsid w:val="00AF5B57"/>
    <w:rsid w:val="00AF5D46"/>
    <w:rsid w:val="00AF6233"/>
    <w:rsid w:val="00AF66FC"/>
    <w:rsid w:val="00AF6DBB"/>
    <w:rsid w:val="00AF6ED0"/>
    <w:rsid w:val="00AF7067"/>
    <w:rsid w:val="00AF71C7"/>
    <w:rsid w:val="00AF73FF"/>
    <w:rsid w:val="00AF75CB"/>
    <w:rsid w:val="00B009E3"/>
    <w:rsid w:val="00B00C5C"/>
    <w:rsid w:val="00B00CC4"/>
    <w:rsid w:val="00B00CFC"/>
    <w:rsid w:val="00B00D5C"/>
    <w:rsid w:val="00B015D9"/>
    <w:rsid w:val="00B01CBB"/>
    <w:rsid w:val="00B01D1A"/>
    <w:rsid w:val="00B02162"/>
    <w:rsid w:val="00B02562"/>
    <w:rsid w:val="00B027EF"/>
    <w:rsid w:val="00B0286E"/>
    <w:rsid w:val="00B03200"/>
    <w:rsid w:val="00B042E8"/>
    <w:rsid w:val="00B047AB"/>
    <w:rsid w:val="00B048B1"/>
    <w:rsid w:val="00B048E7"/>
    <w:rsid w:val="00B04A64"/>
    <w:rsid w:val="00B0557D"/>
    <w:rsid w:val="00B0557E"/>
    <w:rsid w:val="00B05A8B"/>
    <w:rsid w:val="00B06137"/>
    <w:rsid w:val="00B063AB"/>
    <w:rsid w:val="00B06B26"/>
    <w:rsid w:val="00B07060"/>
    <w:rsid w:val="00B07495"/>
    <w:rsid w:val="00B07E27"/>
    <w:rsid w:val="00B107B3"/>
    <w:rsid w:val="00B10951"/>
    <w:rsid w:val="00B10C07"/>
    <w:rsid w:val="00B11038"/>
    <w:rsid w:val="00B11195"/>
    <w:rsid w:val="00B11320"/>
    <w:rsid w:val="00B11600"/>
    <w:rsid w:val="00B11CB3"/>
    <w:rsid w:val="00B12188"/>
    <w:rsid w:val="00B122B8"/>
    <w:rsid w:val="00B12AE2"/>
    <w:rsid w:val="00B12D84"/>
    <w:rsid w:val="00B13182"/>
    <w:rsid w:val="00B13D85"/>
    <w:rsid w:val="00B14828"/>
    <w:rsid w:val="00B15081"/>
    <w:rsid w:val="00B150BD"/>
    <w:rsid w:val="00B15192"/>
    <w:rsid w:val="00B15451"/>
    <w:rsid w:val="00B16AF3"/>
    <w:rsid w:val="00B16B1B"/>
    <w:rsid w:val="00B175EF"/>
    <w:rsid w:val="00B176C2"/>
    <w:rsid w:val="00B17831"/>
    <w:rsid w:val="00B17B33"/>
    <w:rsid w:val="00B17B71"/>
    <w:rsid w:val="00B17CE8"/>
    <w:rsid w:val="00B17F8B"/>
    <w:rsid w:val="00B209FA"/>
    <w:rsid w:val="00B20D55"/>
    <w:rsid w:val="00B21999"/>
    <w:rsid w:val="00B21E75"/>
    <w:rsid w:val="00B21EC2"/>
    <w:rsid w:val="00B222F7"/>
    <w:rsid w:val="00B22D5C"/>
    <w:rsid w:val="00B230AE"/>
    <w:rsid w:val="00B23363"/>
    <w:rsid w:val="00B23BDB"/>
    <w:rsid w:val="00B243F2"/>
    <w:rsid w:val="00B24B85"/>
    <w:rsid w:val="00B25044"/>
    <w:rsid w:val="00B252AE"/>
    <w:rsid w:val="00B2536A"/>
    <w:rsid w:val="00B25504"/>
    <w:rsid w:val="00B25757"/>
    <w:rsid w:val="00B25822"/>
    <w:rsid w:val="00B2582A"/>
    <w:rsid w:val="00B26014"/>
    <w:rsid w:val="00B2613F"/>
    <w:rsid w:val="00B261CA"/>
    <w:rsid w:val="00B26460"/>
    <w:rsid w:val="00B26822"/>
    <w:rsid w:val="00B26997"/>
    <w:rsid w:val="00B27B8A"/>
    <w:rsid w:val="00B27E9F"/>
    <w:rsid w:val="00B27EAB"/>
    <w:rsid w:val="00B27F0C"/>
    <w:rsid w:val="00B30222"/>
    <w:rsid w:val="00B30EF2"/>
    <w:rsid w:val="00B312B4"/>
    <w:rsid w:val="00B314E9"/>
    <w:rsid w:val="00B3157B"/>
    <w:rsid w:val="00B31F7C"/>
    <w:rsid w:val="00B32275"/>
    <w:rsid w:val="00B32407"/>
    <w:rsid w:val="00B328CA"/>
    <w:rsid w:val="00B32AAD"/>
    <w:rsid w:val="00B3345B"/>
    <w:rsid w:val="00B3357E"/>
    <w:rsid w:val="00B33D31"/>
    <w:rsid w:val="00B33ED2"/>
    <w:rsid w:val="00B342C7"/>
    <w:rsid w:val="00B34681"/>
    <w:rsid w:val="00B34CBD"/>
    <w:rsid w:val="00B34D90"/>
    <w:rsid w:val="00B3538A"/>
    <w:rsid w:val="00B35669"/>
    <w:rsid w:val="00B356AC"/>
    <w:rsid w:val="00B35A52"/>
    <w:rsid w:val="00B36AF7"/>
    <w:rsid w:val="00B36EDE"/>
    <w:rsid w:val="00B37140"/>
    <w:rsid w:val="00B377A8"/>
    <w:rsid w:val="00B37F2D"/>
    <w:rsid w:val="00B37F96"/>
    <w:rsid w:val="00B403EA"/>
    <w:rsid w:val="00B40AC0"/>
    <w:rsid w:val="00B410BD"/>
    <w:rsid w:val="00B4182E"/>
    <w:rsid w:val="00B4196D"/>
    <w:rsid w:val="00B41BF7"/>
    <w:rsid w:val="00B41CE8"/>
    <w:rsid w:val="00B420F7"/>
    <w:rsid w:val="00B4289B"/>
    <w:rsid w:val="00B42C0C"/>
    <w:rsid w:val="00B43132"/>
    <w:rsid w:val="00B433A2"/>
    <w:rsid w:val="00B43DBA"/>
    <w:rsid w:val="00B43E05"/>
    <w:rsid w:val="00B44CF3"/>
    <w:rsid w:val="00B44E56"/>
    <w:rsid w:val="00B4519E"/>
    <w:rsid w:val="00B46B58"/>
    <w:rsid w:val="00B47187"/>
    <w:rsid w:val="00B471C3"/>
    <w:rsid w:val="00B4734F"/>
    <w:rsid w:val="00B47832"/>
    <w:rsid w:val="00B47C26"/>
    <w:rsid w:val="00B50025"/>
    <w:rsid w:val="00B50608"/>
    <w:rsid w:val="00B50DEB"/>
    <w:rsid w:val="00B51E07"/>
    <w:rsid w:val="00B52086"/>
    <w:rsid w:val="00B521AA"/>
    <w:rsid w:val="00B523C7"/>
    <w:rsid w:val="00B52D38"/>
    <w:rsid w:val="00B52DAF"/>
    <w:rsid w:val="00B534D6"/>
    <w:rsid w:val="00B54BBA"/>
    <w:rsid w:val="00B54F4E"/>
    <w:rsid w:val="00B54F81"/>
    <w:rsid w:val="00B554F3"/>
    <w:rsid w:val="00B55738"/>
    <w:rsid w:val="00B55BDA"/>
    <w:rsid w:val="00B56609"/>
    <w:rsid w:val="00B566AF"/>
    <w:rsid w:val="00B569AD"/>
    <w:rsid w:val="00B56B2C"/>
    <w:rsid w:val="00B56C23"/>
    <w:rsid w:val="00B575E0"/>
    <w:rsid w:val="00B57D73"/>
    <w:rsid w:val="00B57EBA"/>
    <w:rsid w:val="00B60427"/>
    <w:rsid w:val="00B6063E"/>
    <w:rsid w:val="00B60AAB"/>
    <w:rsid w:val="00B621A5"/>
    <w:rsid w:val="00B628CF"/>
    <w:rsid w:val="00B6318F"/>
    <w:rsid w:val="00B63393"/>
    <w:rsid w:val="00B635B0"/>
    <w:rsid w:val="00B63E21"/>
    <w:rsid w:val="00B64382"/>
    <w:rsid w:val="00B648C8"/>
    <w:rsid w:val="00B64BEF"/>
    <w:rsid w:val="00B64F60"/>
    <w:rsid w:val="00B654F3"/>
    <w:rsid w:val="00B65595"/>
    <w:rsid w:val="00B65703"/>
    <w:rsid w:val="00B65E0C"/>
    <w:rsid w:val="00B65FDA"/>
    <w:rsid w:val="00B6644D"/>
    <w:rsid w:val="00B66450"/>
    <w:rsid w:val="00B6698F"/>
    <w:rsid w:val="00B66BAD"/>
    <w:rsid w:val="00B672AB"/>
    <w:rsid w:val="00B675E0"/>
    <w:rsid w:val="00B6797B"/>
    <w:rsid w:val="00B67C37"/>
    <w:rsid w:val="00B67CEA"/>
    <w:rsid w:val="00B67DA6"/>
    <w:rsid w:val="00B67EFC"/>
    <w:rsid w:val="00B67F2E"/>
    <w:rsid w:val="00B700C6"/>
    <w:rsid w:val="00B70515"/>
    <w:rsid w:val="00B70CB7"/>
    <w:rsid w:val="00B70E58"/>
    <w:rsid w:val="00B7117F"/>
    <w:rsid w:val="00B721BD"/>
    <w:rsid w:val="00B72404"/>
    <w:rsid w:val="00B72E6D"/>
    <w:rsid w:val="00B731B2"/>
    <w:rsid w:val="00B732D2"/>
    <w:rsid w:val="00B73399"/>
    <w:rsid w:val="00B74645"/>
    <w:rsid w:val="00B74657"/>
    <w:rsid w:val="00B74B39"/>
    <w:rsid w:val="00B74D39"/>
    <w:rsid w:val="00B74EB6"/>
    <w:rsid w:val="00B752DD"/>
    <w:rsid w:val="00B75A37"/>
    <w:rsid w:val="00B75DED"/>
    <w:rsid w:val="00B75ED2"/>
    <w:rsid w:val="00B767BE"/>
    <w:rsid w:val="00B7729A"/>
    <w:rsid w:val="00B77420"/>
    <w:rsid w:val="00B7743E"/>
    <w:rsid w:val="00B7755D"/>
    <w:rsid w:val="00B77A75"/>
    <w:rsid w:val="00B77D5B"/>
    <w:rsid w:val="00B80271"/>
    <w:rsid w:val="00B8028D"/>
    <w:rsid w:val="00B8037C"/>
    <w:rsid w:val="00B80551"/>
    <w:rsid w:val="00B8090B"/>
    <w:rsid w:val="00B80D86"/>
    <w:rsid w:val="00B814FF"/>
    <w:rsid w:val="00B822F0"/>
    <w:rsid w:val="00B827C5"/>
    <w:rsid w:val="00B83814"/>
    <w:rsid w:val="00B83986"/>
    <w:rsid w:val="00B83BCF"/>
    <w:rsid w:val="00B83E17"/>
    <w:rsid w:val="00B8402C"/>
    <w:rsid w:val="00B84296"/>
    <w:rsid w:val="00B84AE6"/>
    <w:rsid w:val="00B8591B"/>
    <w:rsid w:val="00B85943"/>
    <w:rsid w:val="00B85C9C"/>
    <w:rsid w:val="00B8658F"/>
    <w:rsid w:val="00B86656"/>
    <w:rsid w:val="00B874BE"/>
    <w:rsid w:val="00B877EB"/>
    <w:rsid w:val="00B878FF"/>
    <w:rsid w:val="00B90171"/>
    <w:rsid w:val="00B9127A"/>
    <w:rsid w:val="00B91336"/>
    <w:rsid w:val="00B917DF"/>
    <w:rsid w:val="00B91E03"/>
    <w:rsid w:val="00B92463"/>
    <w:rsid w:val="00B92981"/>
    <w:rsid w:val="00B92E6D"/>
    <w:rsid w:val="00B9302C"/>
    <w:rsid w:val="00B931D6"/>
    <w:rsid w:val="00B93302"/>
    <w:rsid w:val="00B9369E"/>
    <w:rsid w:val="00B93890"/>
    <w:rsid w:val="00B93ABF"/>
    <w:rsid w:val="00B93AE1"/>
    <w:rsid w:val="00B9455B"/>
    <w:rsid w:val="00B945B1"/>
    <w:rsid w:val="00B96577"/>
    <w:rsid w:val="00B967EA"/>
    <w:rsid w:val="00B96C07"/>
    <w:rsid w:val="00B97054"/>
    <w:rsid w:val="00B9755C"/>
    <w:rsid w:val="00B977E6"/>
    <w:rsid w:val="00B97986"/>
    <w:rsid w:val="00B97D63"/>
    <w:rsid w:val="00BA028B"/>
    <w:rsid w:val="00BA09A0"/>
    <w:rsid w:val="00BA09F9"/>
    <w:rsid w:val="00BA0C5D"/>
    <w:rsid w:val="00BA0E1E"/>
    <w:rsid w:val="00BA1860"/>
    <w:rsid w:val="00BA198D"/>
    <w:rsid w:val="00BA1F41"/>
    <w:rsid w:val="00BA2119"/>
    <w:rsid w:val="00BA2D6F"/>
    <w:rsid w:val="00BA3064"/>
    <w:rsid w:val="00BA36DC"/>
    <w:rsid w:val="00BA3C17"/>
    <w:rsid w:val="00BA411B"/>
    <w:rsid w:val="00BA4165"/>
    <w:rsid w:val="00BA4173"/>
    <w:rsid w:val="00BA42F8"/>
    <w:rsid w:val="00BA4356"/>
    <w:rsid w:val="00BA4713"/>
    <w:rsid w:val="00BA4828"/>
    <w:rsid w:val="00BA4D33"/>
    <w:rsid w:val="00BA4E9A"/>
    <w:rsid w:val="00BA55B3"/>
    <w:rsid w:val="00BA5883"/>
    <w:rsid w:val="00BA5987"/>
    <w:rsid w:val="00BA5E1A"/>
    <w:rsid w:val="00BA5F9A"/>
    <w:rsid w:val="00BA639A"/>
    <w:rsid w:val="00BA6431"/>
    <w:rsid w:val="00BA6AB8"/>
    <w:rsid w:val="00BA6CEE"/>
    <w:rsid w:val="00BA7A08"/>
    <w:rsid w:val="00BA7E8F"/>
    <w:rsid w:val="00BB0648"/>
    <w:rsid w:val="00BB0723"/>
    <w:rsid w:val="00BB0A06"/>
    <w:rsid w:val="00BB0A8A"/>
    <w:rsid w:val="00BB1A68"/>
    <w:rsid w:val="00BB1DF8"/>
    <w:rsid w:val="00BB2238"/>
    <w:rsid w:val="00BB309D"/>
    <w:rsid w:val="00BB36CD"/>
    <w:rsid w:val="00BB3D5F"/>
    <w:rsid w:val="00BB3D9A"/>
    <w:rsid w:val="00BB3F4E"/>
    <w:rsid w:val="00BB4689"/>
    <w:rsid w:val="00BB4B6C"/>
    <w:rsid w:val="00BB4B6F"/>
    <w:rsid w:val="00BB4D8E"/>
    <w:rsid w:val="00BB4E24"/>
    <w:rsid w:val="00BB4E5B"/>
    <w:rsid w:val="00BB5641"/>
    <w:rsid w:val="00BB6026"/>
    <w:rsid w:val="00BB6366"/>
    <w:rsid w:val="00BB6651"/>
    <w:rsid w:val="00BB67A7"/>
    <w:rsid w:val="00BB6FD3"/>
    <w:rsid w:val="00BB70DC"/>
    <w:rsid w:val="00BB768B"/>
    <w:rsid w:val="00BB7C6A"/>
    <w:rsid w:val="00BC0075"/>
    <w:rsid w:val="00BC03B3"/>
    <w:rsid w:val="00BC03BC"/>
    <w:rsid w:val="00BC0959"/>
    <w:rsid w:val="00BC0BD1"/>
    <w:rsid w:val="00BC0CBE"/>
    <w:rsid w:val="00BC0DED"/>
    <w:rsid w:val="00BC17BA"/>
    <w:rsid w:val="00BC1B8E"/>
    <w:rsid w:val="00BC3B4F"/>
    <w:rsid w:val="00BC3CA0"/>
    <w:rsid w:val="00BC3E63"/>
    <w:rsid w:val="00BC44C8"/>
    <w:rsid w:val="00BC4E34"/>
    <w:rsid w:val="00BC4EA9"/>
    <w:rsid w:val="00BC559F"/>
    <w:rsid w:val="00BC5734"/>
    <w:rsid w:val="00BC585F"/>
    <w:rsid w:val="00BC58C6"/>
    <w:rsid w:val="00BC60FF"/>
    <w:rsid w:val="00BC61AF"/>
    <w:rsid w:val="00BC62C8"/>
    <w:rsid w:val="00BC6896"/>
    <w:rsid w:val="00BC695E"/>
    <w:rsid w:val="00BC7877"/>
    <w:rsid w:val="00BC7B3D"/>
    <w:rsid w:val="00BC7B96"/>
    <w:rsid w:val="00BD06FA"/>
    <w:rsid w:val="00BD083B"/>
    <w:rsid w:val="00BD13AC"/>
    <w:rsid w:val="00BD192D"/>
    <w:rsid w:val="00BD1950"/>
    <w:rsid w:val="00BD1FDC"/>
    <w:rsid w:val="00BD24E9"/>
    <w:rsid w:val="00BD2526"/>
    <w:rsid w:val="00BD3797"/>
    <w:rsid w:val="00BD38EA"/>
    <w:rsid w:val="00BD436D"/>
    <w:rsid w:val="00BD4F10"/>
    <w:rsid w:val="00BD5F0C"/>
    <w:rsid w:val="00BD6B30"/>
    <w:rsid w:val="00BD71EE"/>
    <w:rsid w:val="00BD73F8"/>
    <w:rsid w:val="00BD754F"/>
    <w:rsid w:val="00BD7E50"/>
    <w:rsid w:val="00BD7EE9"/>
    <w:rsid w:val="00BD7F6A"/>
    <w:rsid w:val="00BE01E1"/>
    <w:rsid w:val="00BE0B09"/>
    <w:rsid w:val="00BE0C5A"/>
    <w:rsid w:val="00BE1215"/>
    <w:rsid w:val="00BE126D"/>
    <w:rsid w:val="00BE1ED1"/>
    <w:rsid w:val="00BE229B"/>
    <w:rsid w:val="00BE2758"/>
    <w:rsid w:val="00BE2956"/>
    <w:rsid w:val="00BE3484"/>
    <w:rsid w:val="00BE37C8"/>
    <w:rsid w:val="00BE37FF"/>
    <w:rsid w:val="00BE3A38"/>
    <w:rsid w:val="00BE3FC1"/>
    <w:rsid w:val="00BE4129"/>
    <w:rsid w:val="00BE493A"/>
    <w:rsid w:val="00BE4AEE"/>
    <w:rsid w:val="00BE4C00"/>
    <w:rsid w:val="00BE4F4A"/>
    <w:rsid w:val="00BE4FA5"/>
    <w:rsid w:val="00BE50AE"/>
    <w:rsid w:val="00BE59A8"/>
    <w:rsid w:val="00BE5AF3"/>
    <w:rsid w:val="00BE5D99"/>
    <w:rsid w:val="00BE610E"/>
    <w:rsid w:val="00BE6A01"/>
    <w:rsid w:val="00BE71DB"/>
    <w:rsid w:val="00BE73C8"/>
    <w:rsid w:val="00BE73FA"/>
    <w:rsid w:val="00BE76C4"/>
    <w:rsid w:val="00BE7A61"/>
    <w:rsid w:val="00BE7E1A"/>
    <w:rsid w:val="00BF037B"/>
    <w:rsid w:val="00BF03FB"/>
    <w:rsid w:val="00BF0A51"/>
    <w:rsid w:val="00BF0B4E"/>
    <w:rsid w:val="00BF17DC"/>
    <w:rsid w:val="00BF1A8C"/>
    <w:rsid w:val="00BF32E2"/>
    <w:rsid w:val="00BF3BD7"/>
    <w:rsid w:val="00BF4556"/>
    <w:rsid w:val="00BF46EC"/>
    <w:rsid w:val="00BF4B9B"/>
    <w:rsid w:val="00BF4FDE"/>
    <w:rsid w:val="00BF567B"/>
    <w:rsid w:val="00BF69B1"/>
    <w:rsid w:val="00BF6A4F"/>
    <w:rsid w:val="00BF6C9D"/>
    <w:rsid w:val="00BF7123"/>
    <w:rsid w:val="00BF736E"/>
    <w:rsid w:val="00BF764F"/>
    <w:rsid w:val="00C0020B"/>
    <w:rsid w:val="00C00319"/>
    <w:rsid w:val="00C00CCE"/>
    <w:rsid w:val="00C01234"/>
    <w:rsid w:val="00C01764"/>
    <w:rsid w:val="00C01CBA"/>
    <w:rsid w:val="00C01F6F"/>
    <w:rsid w:val="00C0202D"/>
    <w:rsid w:val="00C02086"/>
    <w:rsid w:val="00C02EF0"/>
    <w:rsid w:val="00C033CF"/>
    <w:rsid w:val="00C0370F"/>
    <w:rsid w:val="00C0393B"/>
    <w:rsid w:val="00C03956"/>
    <w:rsid w:val="00C03C98"/>
    <w:rsid w:val="00C0426A"/>
    <w:rsid w:val="00C0492C"/>
    <w:rsid w:val="00C04A75"/>
    <w:rsid w:val="00C04EFC"/>
    <w:rsid w:val="00C0504D"/>
    <w:rsid w:val="00C05072"/>
    <w:rsid w:val="00C051AC"/>
    <w:rsid w:val="00C05B37"/>
    <w:rsid w:val="00C05DCF"/>
    <w:rsid w:val="00C05FB5"/>
    <w:rsid w:val="00C06AB4"/>
    <w:rsid w:val="00C06B17"/>
    <w:rsid w:val="00C06D0C"/>
    <w:rsid w:val="00C06ED1"/>
    <w:rsid w:val="00C072E9"/>
    <w:rsid w:val="00C073B4"/>
    <w:rsid w:val="00C07A90"/>
    <w:rsid w:val="00C07A9E"/>
    <w:rsid w:val="00C10C39"/>
    <w:rsid w:val="00C11070"/>
    <w:rsid w:val="00C11381"/>
    <w:rsid w:val="00C125F1"/>
    <w:rsid w:val="00C12BE6"/>
    <w:rsid w:val="00C1310F"/>
    <w:rsid w:val="00C131D7"/>
    <w:rsid w:val="00C1389A"/>
    <w:rsid w:val="00C13CE9"/>
    <w:rsid w:val="00C13EDC"/>
    <w:rsid w:val="00C14270"/>
    <w:rsid w:val="00C14691"/>
    <w:rsid w:val="00C14845"/>
    <w:rsid w:val="00C1488F"/>
    <w:rsid w:val="00C154BF"/>
    <w:rsid w:val="00C16729"/>
    <w:rsid w:val="00C16904"/>
    <w:rsid w:val="00C17802"/>
    <w:rsid w:val="00C179DD"/>
    <w:rsid w:val="00C179E5"/>
    <w:rsid w:val="00C17EBA"/>
    <w:rsid w:val="00C200D5"/>
    <w:rsid w:val="00C2058A"/>
    <w:rsid w:val="00C205FD"/>
    <w:rsid w:val="00C20B6A"/>
    <w:rsid w:val="00C20FC7"/>
    <w:rsid w:val="00C21D4C"/>
    <w:rsid w:val="00C21D8F"/>
    <w:rsid w:val="00C21F2C"/>
    <w:rsid w:val="00C22279"/>
    <w:rsid w:val="00C22475"/>
    <w:rsid w:val="00C22A95"/>
    <w:rsid w:val="00C22DA5"/>
    <w:rsid w:val="00C23744"/>
    <w:rsid w:val="00C23C51"/>
    <w:rsid w:val="00C243A2"/>
    <w:rsid w:val="00C24861"/>
    <w:rsid w:val="00C24CB5"/>
    <w:rsid w:val="00C24D58"/>
    <w:rsid w:val="00C24D67"/>
    <w:rsid w:val="00C25185"/>
    <w:rsid w:val="00C251D3"/>
    <w:rsid w:val="00C25531"/>
    <w:rsid w:val="00C25DB1"/>
    <w:rsid w:val="00C2607A"/>
    <w:rsid w:val="00C2621F"/>
    <w:rsid w:val="00C27C95"/>
    <w:rsid w:val="00C30AEE"/>
    <w:rsid w:val="00C31563"/>
    <w:rsid w:val="00C31A91"/>
    <w:rsid w:val="00C31B77"/>
    <w:rsid w:val="00C31D37"/>
    <w:rsid w:val="00C325C3"/>
    <w:rsid w:val="00C329C4"/>
    <w:rsid w:val="00C330C4"/>
    <w:rsid w:val="00C3367B"/>
    <w:rsid w:val="00C33C79"/>
    <w:rsid w:val="00C33D5E"/>
    <w:rsid w:val="00C33E08"/>
    <w:rsid w:val="00C3423B"/>
    <w:rsid w:val="00C34416"/>
    <w:rsid w:val="00C34AC7"/>
    <w:rsid w:val="00C34BD0"/>
    <w:rsid w:val="00C3515C"/>
    <w:rsid w:val="00C35968"/>
    <w:rsid w:val="00C35D99"/>
    <w:rsid w:val="00C36528"/>
    <w:rsid w:val="00C3665C"/>
    <w:rsid w:val="00C36B32"/>
    <w:rsid w:val="00C37B63"/>
    <w:rsid w:val="00C40051"/>
    <w:rsid w:val="00C406A9"/>
    <w:rsid w:val="00C407DE"/>
    <w:rsid w:val="00C41200"/>
    <w:rsid w:val="00C412C1"/>
    <w:rsid w:val="00C418BF"/>
    <w:rsid w:val="00C418DA"/>
    <w:rsid w:val="00C41E32"/>
    <w:rsid w:val="00C41F86"/>
    <w:rsid w:val="00C421D0"/>
    <w:rsid w:val="00C42587"/>
    <w:rsid w:val="00C42A2B"/>
    <w:rsid w:val="00C42D13"/>
    <w:rsid w:val="00C4325E"/>
    <w:rsid w:val="00C43EA9"/>
    <w:rsid w:val="00C44656"/>
    <w:rsid w:val="00C4482E"/>
    <w:rsid w:val="00C4489B"/>
    <w:rsid w:val="00C448A5"/>
    <w:rsid w:val="00C44BA6"/>
    <w:rsid w:val="00C44DD9"/>
    <w:rsid w:val="00C44FFF"/>
    <w:rsid w:val="00C45869"/>
    <w:rsid w:val="00C45A77"/>
    <w:rsid w:val="00C46017"/>
    <w:rsid w:val="00C46173"/>
    <w:rsid w:val="00C4664C"/>
    <w:rsid w:val="00C4679E"/>
    <w:rsid w:val="00C47343"/>
    <w:rsid w:val="00C5038D"/>
    <w:rsid w:val="00C5112B"/>
    <w:rsid w:val="00C51137"/>
    <w:rsid w:val="00C5163F"/>
    <w:rsid w:val="00C517F9"/>
    <w:rsid w:val="00C519E9"/>
    <w:rsid w:val="00C51E9A"/>
    <w:rsid w:val="00C52014"/>
    <w:rsid w:val="00C52500"/>
    <w:rsid w:val="00C5286D"/>
    <w:rsid w:val="00C52960"/>
    <w:rsid w:val="00C52ADC"/>
    <w:rsid w:val="00C52E86"/>
    <w:rsid w:val="00C534D9"/>
    <w:rsid w:val="00C542DC"/>
    <w:rsid w:val="00C5431A"/>
    <w:rsid w:val="00C54EF3"/>
    <w:rsid w:val="00C556D1"/>
    <w:rsid w:val="00C5613C"/>
    <w:rsid w:val="00C56711"/>
    <w:rsid w:val="00C56904"/>
    <w:rsid w:val="00C56ED2"/>
    <w:rsid w:val="00C57176"/>
    <w:rsid w:val="00C6060A"/>
    <w:rsid w:val="00C60998"/>
    <w:rsid w:val="00C60DD2"/>
    <w:rsid w:val="00C60E48"/>
    <w:rsid w:val="00C61405"/>
    <w:rsid w:val="00C61412"/>
    <w:rsid w:val="00C62648"/>
    <w:rsid w:val="00C62805"/>
    <w:rsid w:val="00C62C74"/>
    <w:rsid w:val="00C635A3"/>
    <w:rsid w:val="00C63F45"/>
    <w:rsid w:val="00C647E0"/>
    <w:rsid w:val="00C655E9"/>
    <w:rsid w:val="00C65C13"/>
    <w:rsid w:val="00C65DF4"/>
    <w:rsid w:val="00C6608C"/>
    <w:rsid w:val="00C660A9"/>
    <w:rsid w:val="00C6628F"/>
    <w:rsid w:val="00C668C7"/>
    <w:rsid w:val="00C67044"/>
    <w:rsid w:val="00C67356"/>
    <w:rsid w:val="00C675E2"/>
    <w:rsid w:val="00C6768E"/>
    <w:rsid w:val="00C6786C"/>
    <w:rsid w:val="00C678CE"/>
    <w:rsid w:val="00C70CA5"/>
    <w:rsid w:val="00C715DD"/>
    <w:rsid w:val="00C716D8"/>
    <w:rsid w:val="00C717D5"/>
    <w:rsid w:val="00C72498"/>
    <w:rsid w:val="00C72CED"/>
    <w:rsid w:val="00C741ED"/>
    <w:rsid w:val="00C74BFE"/>
    <w:rsid w:val="00C74ECF"/>
    <w:rsid w:val="00C754F3"/>
    <w:rsid w:val="00C75748"/>
    <w:rsid w:val="00C76083"/>
    <w:rsid w:val="00C76396"/>
    <w:rsid w:val="00C763B7"/>
    <w:rsid w:val="00C76A99"/>
    <w:rsid w:val="00C7783B"/>
    <w:rsid w:val="00C77A22"/>
    <w:rsid w:val="00C77B00"/>
    <w:rsid w:val="00C77BF6"/>
    <w:rsid w:val="00C801F7"/>
    <w:rsid w:val="00C80612"/>
    <w:rsid w:val="00C80677"/>
    <w:rsid w:val="00C80C09"/>
    <w:rsid w:val="00C80DD9"/>
    <w:rsid w:val="00C80E1C"/>
    <w:rsid w:val="00C8115B"/>
    <w:rsid w:val="00C81580"/>
    <w:rsid w:val="00C8188E"/>
    <w:rsid w:val="00C819E3"/>
    <w:rsid w:val="00C82604"/>
    <w:rsid w:val="00C82BDE"/>
    <w:rsid w:val="00C82C32"/>
    <w:rsid w:val="00C82DC2"/>
    <w:rsid w:val="00C83442"/>
    <w:rsid w:val="00C83EF2"/>
    <w:rsid w:val="00C84442"/>
    <w:rsid w:val="00C845C9"/>
    <w:rsid w:val="00C848F1"/>
    <w:rsid w:val="00C84A46"/>
    <w:rsid w:val="00C85058"/>
    <w:rsid w:val="00C8525C"/>
    <w:rsid w:val="00C852A5"/>
    <w:rsid w:val="00C85578"/>
    <w:rsid w:val="00C857E9"/>
    <w:rsid w:val="00C85A53"/>
    <w:rsid w:val="00C85ACA"/>
    <w:rsid w:val="00C86307"/>
    <w:rsid w:val="00C864CB"/>
    <w:rsid w:val="00C86582"/>
    <w:rsid w:val="00C86A52"/>
    <w:rsid w:val="00C870CF"/>
    <w:rsid w:val="00C8765A"/>
    <w:rsid w:val="00C87F52"/>
    <w:rsid w:val="00C90AD7"/>
    <w:rsid w:val="00C90B8C"/>
    <w:rsid w:val="00C90C48"/>
    <w:rsid w:val="00C90E85"/>
    <w:rsid w:val="00C90F7F"/>
    <w:rsid w:val="00C915E8"/>
    <w:rsid w:val="00C9170D"/>
    <w:rsid w:val="00C9183C"/>
    <w:rsid w:val="00C9189F"/>
    <w:rsid w:val="00C92082"/>
    <w:rsid w:val="00C9275F"/>
    <w:rsid w:val="00C92D32"/>
    <w:rsid w:val="00C93299"/>
    <w:rsid w:val="00C9398E"/>
    <w:rsid w:val="00C93A29"/>
    <w:rsid w:val="00C93C7A"/>
    <w:rsid w:val="00C9456E"/>
    <w:rsid w:val="00C94E2E"/>
    <w:rsid w:val="00C94F74"/>
    <w:rsid w:val="00C9518C"/>
    <w:rsid w:val="00C964FF"/>
    <w:rsid w:val="00C96523"/>
    <w:rsid w:val="00C96699"/>
    <w:rsid w:val="00C969BC"/>
    <w:rsid w:val="00C96A29"/>
    <w:rsid w:val="00C96B6F"/>
    <w:rsid w:val="00C972D1"/>
    <w:rsid w:val="00C97408"/>
    <w:rsid w:val="00C97807"/>
    <w:rsid w:val="00C97D87"/>
    <w:rsid w:val="00C97F64"/>
    <w:rsid w:val="00CA03F9"/>
    <w:rsid w:val="00CA0827"/>
    <w:rsid w:val="00CA08E3"/>
    <w:rsid w:val="00CA156C"/>
    <w:rsid w:val="00CA17FF"/>
    <w:rsid w:val="00CA1AFC"/>
    <w:rsid w:val="00CA1D9B"/>
    <w:rsid w:val="00CA210B"/>
    <w:rsid w:val="00CA21C3"/>
    <w:rsid w:val="00CA28DB"/>
    <w:rsid w:val="00CA323E"/>
    <w:rsid w:val="00CA32CC"/>
    <w:rsid w:val="00CA4065"/>
    <w:rsid w:val="00CA41B9"/>
    <w:rsid w:val="00CA41BE"/>
    <w:rsid w:val="00CA5678"/>
    <w:rsid w:val="00CA5F3B"/>
    <w:rsid w:val="00CA65E8"/>
    <w:rsid w:val="00CA66CD"/>
    <w:rsid w:val="00CA6E44"/>
    <w:rsid w:val="00CA7385"/>
    <w:rsid w:val="00CB0238"/>
    <w:rsid w:val="00CB03A2"/>
    <w:rsid w:val="00CB0CA2"/>
    <w:rsid w:val="00CB1086"/>
    <w:rsid w:val="00CB11F9"/>
    <w:rsid w:val="00CB17C3"/>
    <w:rsid w:val="00CB18EB"/>
    <w:rsid w:val="00CB1DE8"/>
    <w:rsid w:val="00CB1F3B"/>
    <w:rsid w:val="00CB1FAA"/>
    <w:rsid w:val="00CB241B"/>
    <w:rsid w:val="00CB244F"/>
    <w:rsid w:val="00CB323E"/>
    <w:rsid w:val="00CB362E"/>
    <w:rsid w:val="00CB36DE"/>
    <w:rsid w:val="00CB41C3"/>
    <w:rsid w:val="00CB48CD"/>
    <w:rsid w:val="00CB5073"/>
    <w:rsid w:val="00CB5223"/>
    <w:rsid w:val="00CB54BD"/>
    <w:rsid w:val="00CB55C9"/>
    <w:rsid w:val="00CB5942"/>
    <w:rsid w:val="00CB5AA0"/>
    <w:rsid w:val="00CB5BE5"/>
    <w:rsid w:val="00CB5BEA"/>
    <w:rsid w:val="00CB60EB"/>
    <w:rsid w:val="00CB682B"/>
    <w:rsid w:val="00CB69EB"/>
    <w:rsid w:val="00CB6C1A"/>
    <w:rsid w:val="00CB6CC1"/>
    <w:rsid w:val="00CB7A1F"/>
    <w:rsid w:val="00CB7B9F"/>
    <w:rsid w:val="00CB7F78"/>
    <w:rsid w:val="00CC0085"/>
    <w:rsid w:val="00CC00D7"/>
    <w:rsid w:val="00CC0E5F"/>
    <w:rsid w:val="00CC0EDC"/>
    <w:rsid w:val="00CC11CE"/>
    <w:rsid w:val="00CC19A1"/>
    <w:rsid w:val="00CC19D7"/>
    <w:rsid w:val="00CC1A60"/>
    <w:rsid w:val="00CC223E"/>
    <w:rsid w:val="00CC22A6"/>
    <w:rsid w:val="00CC2406"/>
    <w:rsid w:val="00CC27E9"/>
    <w:rsid w:val="00CC2AAD"/>
    <w:rsid w:val="00CC3086"/>
    <w:rsid w:val="00CC396E"/>
    <w:rsid w:val="00CC3D1F"/>
    <w:rsid w:val="00CC3E7B"/>
    <w:rsid w:val="00CC430F"/>
    <w:rsid w:val="00CC4913"/>
    <w:rsid w:val="00CC4A15"/>
    <w:rsid w:val="00CC4A8F"/>
    <w:rsid w:val="00CC4D2B"/>
    <w:rsid w:val="00CC50B2"/>
    <w:rsid w:val="00CC51B9"/>
    <w:rsid w:val="00CC55D7"/>
    <w:rsid w:val="00CC5A34"/>
    <w:rsid w:val="00CC5D24"/>
    <w:rsid w:val="00CC5D65"/>
    <w:rsid w:val="00CC601B"/>
    <w:rsid w:val="00CC660A"/>
    <w:rsid w:val="00CC66C6"/>
    <w:rsid w:val="00CC67AA"/>
    <w:rsid w:val="00CC6BF0"/>
    <w:rsid w:val="00CC7058"/>
    <w:rsid w:val="00CC78C4"/>
    <w:rsid w:val="00CC78FF"/>
    <w:rsid w:val="00CC79B3"/>
    <w:rsid w:val="00CC7B6F"/>
    <w:rsid w:val="00CC7EAC"/>
    <w:rsid w:val="00CD008B"/>
    <w:rsid w:val="00CD01AC"/>
    <w:rsid w:val="00CD0E4F"/>
    <w:rsid w:val="00CD14ED"/>
    <w:rsid w:val="00CD15FC"/>
    <w:rsid w:val="00CD1A86"/>
    <w:rsid w:val="00CD24DF"/>
    <w:rsid w:val="00CD25DE"/>
    <w:rsid w:val="00CD2811"/>
    <w:rsid w:val="00CD2CEF"/>
    <w:rsid w:val="00CD33A8"/>
    <w:rsid w:val="00CD4EA0"/>
    <w:rsid w:val="00CD4F89"/>
    <w:rsid w:val="00CD5545"/>
    <w:rsid w:val="00CD639D"/>
    <w:rsid w:val="00CD7256"/>
    <w:rsid w:val="00CD7811"/>
    <w:rsid w:val="00CD7907"/>
    <w:rsid w:val="00CE0110"/>
    <w:rsid w:val="00CE03EA"/>
    <w:rsid w:val="00CE05C0"/>
    <w:rsid w:val="00CE06E0"/>
    <w:rsid w:val="00CE152A"/>
    <w:rsid w:val="00CE19B9"/>
    <w:rsid w:val="00CE1C22"/>
    <w:rsid w:val="00CE1ED7"/>
    <w:rsid w:val="00CE1FE9"/>
    <w:rsid w:val="00CE2171"/>
    <w:rsid w:val="00CE22A4"/>
    <w:rsid w:val="00CE2776"/>
    <w:rsid w:val="00CE2804"/>
    <w:rsid w:val="00CE2D19"/>
    <w:rsid w:val="00CE2FA1"/>
    <w:rsid w:val="00CE2FD4"/>
    <w:rsid w:val="00CE34C3"/>
    <w:rsid w:val="00CE3A8A"/>
    <w:rsid w:val="00CE3C4B"/>
    <w:rsid w:val="00CE418A"/>
    <w:rsid w:val="00CE42B2"/>
    <w:rsid w:val="00CE47C6"/>
    <w:rsid w:val="00CE5A5A"/>
    <w:rsid w:val="00CE6222"/>
    <w:rsid w:val="00CE631C"/>
    <w:rsid w:val="00CE6BD1"/>
    <w:rsid w:val="00CE74A9"/>
    <w:rsid w:val="00CE773C"/>
    <w:rsid w:val="00CE7A0C"/>
    <w:rsid w:val="00CF034D"/>
    <w:rsid w:val="00CF0370"/>
    <w:rsid w:val="00CF047F"/>
    <w:rsid w:val="00CF0862"/>
    <w:rsid w:val="00CF0872"/>
    <w:rsid w:val="00CF0F3C"/>
    <w:rsid w:val="00CF19B7"/>
    <w:rsid w:val="00CF1D1C"/>
    <w:rsid w:val="00CF2130"/>
    <w:rsid w:val="00CF2A87"/>
    <w:rsid w:val="00CF2B51"/>
    <w:rsid w:val="00CF38E3"/>
    <w:rsid w:val="00CF39E4"/>
    <w:rsid w:val="00CF3E26"/>
    <w:rsid w:val="00CF4296"/>
    <w:rsid w:val="00CF44B6"/>
    <w:rsid w:val="00CF46BF"/>
    <w:rsid w:val="00CF46D4"/>
    <w:rsid w:val="00CF48DF"/>
    <w:rsid w:val="00CF4A1B"/>
    <w:rsid w:val="00CF4AB9"/>
    <w:rsid w:val="00CF5DD6"/>
    <w:rsid w:val="00CF5E15"/>
    <w:rsid w:val="00CF5E36"/>
    <w:rsid w:val="00CF62E6"/>
    <w:rsid w:val="00CF6A8D"/>
    <w:rsid w:val="00CF7150"/>
    <w:rsid w:val="00CF77F7"/>
    <w:rsid w:val="00CF7BD8"/>
    <w:rsid w:val="00D00231"/>
    <w:rsid w:val="00D00257"/>
    <w:rsid w:val="00D00535"/>
    <w:rsid w:val="00D009B2"/>
    <w:rsid w:val="00D0143A"/>
    <w:rsid w:val="00D01DEF"/>
    <w:rsid w:val="00D021E2"/>
    <w:rsid w:val="00D02618"/>
    <w:rsid w:val="00D02770"/>
    <w:rsid w:val="00D02973"/>
    <w:rsid w:val="00D02B36"/>
    <w:rsid w:val="00D0313F"/>
    <w:rsid w:val="00D03702"/>
    <w:rsid w:val="00D03BD4"/>
    <w:rsid w:val="00D03C0F"/>
    <w:rsid w:val="00D03E56"/>
    <w:rsid w:val="00D042EE"/>
    <w:rsid w:val="00D04C45"/>
    <w:rsid w:val="00D0511F"/>
    <w:rsid w:val="00D057DD"/>
    <w:rsid w:val="00D0586A"/>
    <w:rsid w:val="00D05931"/>
    <w:rsid w:val="00D06806"/>
    <w:rsid w:val="00D068FA"/>
    <w:rsid w:val="00D06CFB"/>
    <w:rsid w:val="00D07946"/>
    <w:rsid w:val="00D07989"/>
    <w:rsid w:val="00D104CF"/>
    <w:rsid w:val="00D1074A"/>
    <w:rsid w:val="00D11086"/>
    <w:rsid w:val="00D117CC"/>
    <w:rsid w:val="00D11925"/>
    <w:rsid w:val="00D12265"/>
    <w:rsid w:val="00D127EB"/>
    <w:rsid w:val="00D12EEC"/>
    <w:rsid w:val="00D1367A"/>
    <w:rsid w:val="00D13B03"/>
    <w:rsid w:val="00D150F0"/>
    <w:rsid w:val="00D15F22"/>
    <w:rsid w:val="00D15F7E"/>
    <w:rsid w:val="00D169AC"/>
    <w:rsid w:val="00D16DF6"/>
    <w:rsid w:val="00D16EB5"/>
    <w:rsid w:val="00D16FD8"/>
    <w:rsid w:val="00D17229"/>
    <w:rsid w:val="00D17667"/>
    <w:rsid w:val="00D17D85"/>
    <w:rsid w:val="00D20191"/>
    <w:rsid w:val="00D2024D"/>
    <w:rsid w:val="00D206BB"/>
    <w:rsid w:val="00D20831"/>
    <w:rsid w:val="00D208A2"/>
    <w:rsid w:val="00D20A82"/>
    <w:rsid w:val="00D21367"/>
    <w:rsid w:val="00D215E4"/>
    <w:rsid w:val="00D21AB6"/>
    <w:rsid w:val="00D21C08"/>
    <w:rsid w:val="00D22201"/>
    <w:rsid w:val="00D222CF"/>
    <w:rsid w:val="00D2257F"/>
    <w:rsid w:val="00D22720"/>
    <w:rsid w:val="00D2288E"/>
    <w:rsid w:val="00D22E68"/>
    <w:rsid w:val="00D237F6"/>
    <w:rsid w:val="00D24785"/>
    <w:rsid w:val="00D24B04"/>
    <w:rsid w:val="00D25553"/>
    <w:rsid w:val="00D25E85"/>
    <w:rsid w:val="00D26094"/>
    <w:rsid w:val="00D2691C"/>
    <w:rsid w:val="00D269A3"/>
    <w:rsid w:val="00D26B62"/>
    <w:rsid w:val="00D26F5E"/>
    <w:rsid w:val="00D27711"/>
    <w:rsid w:val="00D27814"/>
    <w:rsid w:val="00D27BDB"/>
    <w:rsid w:val="00D27C9D"/>
    <w:rsid w:val="00D27ECA"/>
    <w:rsid w:val="00D3068A"/>
    <w:rsid w:val="00D31527"/>
    <w:rsid w:val="00D321F8"/>
    <w:rsid w:val="00D327D9"/>
    <w:rsid w:val="00D32BAA"/>
    <w:rsid w:val="00D32CCA"/>
    <w:rsid w:val="00D32D0F"/>
    <w:rsid w:val="00D32D54"/>
    <w:rsid w:val="00D32F1B"/>
    <w:rsid w:val="00D33072"/>
    <w:rsid w:val="00D336E8"/>
    <w:rsid w:val="00D3373B"/>
    <w:rsid w:val="00D339BA"/>
    <w:rsid w:val="00D33DDC"/>
    <w:rsid w:val="00D3489D"/>
    <w:rsid w:val="00D34ADE"/>
    <w:rsid w:val="00D35C6E"/>
    <w:rsid w:val="00D367BC"/>
    <w:rsid w:val="00D36EA4"/>
    <w:rsid w:val="00D371ED"/>
    <w:rsid w:val="00D3721C"/>
    <w:rsid w:val="00D37914"/>
    <w:rsid w:val="00D37BF0"/>
    <w:rsid w:val="00D37EE2"/>
    <w:rsid w:val="00D40C2F"/>
    <w:rsid w:val="00D40FBA"/>
    <w:rsid w:val="00D41880"/>
    <w:rsid w:val="00D41CF1"/>
    <w:rsid w:val="00D426F1"/>
    <w:rsid w:val="00D42ADA"/>
    <w:rsid w:val="00D42B54"/>
    <w:rsid w:val="00D42FB3"/>
    <w:rsid w:val="00D43568"/>
    <w:rsid w:val="00D435B1"/>
    <w:rsid w:val="00D43C4F"/>
    <w:rsid w:val="00D43CA7"/>
    <w:rsid w:val="00D44106"/>
    <w:rsid w:val="00D44131"/>
    <w:rsid w:val="00D44966"/>
    <w:rsid w:val="00D44988"/>
    <w:rsid w:val="00D44A3C"/>
    <w:rsid w:val="00D44EF7"/>
    <w:rsid w:val="00D45527"/>
    <w:rsid w:val="00D45871"/>
    <w:rsid w:val="00D45AE9"/>
    <w:rsid w:val="00D45CB2"/>
    <w:rsid w:val="00D46CF1"/>
    <w:rsid w:val="00D46D86"/>
    <w:rsid w:val="00D47447"/>
    <w:rsid w:val="00D474CE"/>
    <w:rsid w:val="00D477A0"/>
    <w:rsid w:val="00D4781F"/>
    <w:rsid w:val="00D47D1A"/>
    <w:rsid w:val="00D500C6"/>
    <w:rsid w:val="00D509B8"/>
    <w:rsid w:val="00D50A49"/>
    <w:rsid w:val="00D50C4C"/>
    <w:rsid w:val="00D50C98"/>
    <w:rsid w:val="00D51B5E"/>
    <w:rsid w:val="00D52159"/>
    <w:rsid w:val="00D52892"/>
    <w:rsid w:val="00D52A18"/>
    <w:rsid w:val="00D5362D"/>
    <w:rsid w:val="00D54031"/>
    <w:rsid w:val="00D54108"/>
    <w:rsid w:val="00D54287"/>
    <w:rsid w:val="00D550CF"/>
    <w:rsid w:val="00D5519F"/>
    <w:rsid w:val="00D557D0"/>
    <w:rsid w:val="00D55968"/>
    <w:rsid w:val="00D55AA7"/>
    <w:rsid w:val="00D55BD2"/>
    <w:rsid w:val="00D55F90"/>
    <w:rsid w:val="00D5644E"/>
    <w:rsid w:val="00D5684E"/>
    <w:rsid w:val="00D56909"/>
    <w:rsid w:val="00D56EF5"/>
    <w:rsid w:val="00D573DD"/>
    <w:rsid w:val="00D57A40"/>
    <w:rsid w:val="00D60471"/>
    <w:rsid w:val="00D60E8F"/>
    <w:rsid w:val="00D613A4"/>
    <w:rsid w:val="00D6158A"/>
    <w:rsid w:val="00D617D9"/>
    <w:rsid w:val="00D624BA"/>
    <w:rsid w:val="00D6250A"/>
    <w:rsid w:val="00D626B3"/>
    <w:rsid w:val="00D62E83"/>
    <w:rsid w:val="00D63107"/>
    <w:rsid w:val="00D63262"/>
    <w:rsid w:val="00D634A4"/>
    <w:rsid w:val="00D64782"/>
    <w:rsid w:val="00D65C18"/>
    <w:rsid w:val="00D65D1E"/>
    <w:rsid w:val="00D65D2E"/>
    <w:rsid w:val="00D662C6"/>
    <w:rsid w:val="00D662F0"/>
    <w:rsid w:val="00D66458"/>
    <w:rsid w:val="00D664C9"/>
    <w:rsid w:val="00D66A9E"/>
    <w:rsid w:val="00D67008"/>
    <w:rsid w:val="00D67055"/>
    <w:rsid w:val="00D6707E"/>
    <w:rsid w:val="00D67286"/>
    <w:rsid w:val="00D677FB"/>
    <w:rsid w:val="00D67CD8"/>
    <w:rsid w:val="00D70889"/>
    <w:rsid w:val="00D70D79"/>
    <w:rsid w:val="00D70DC5"/>
    <w:rsid w:val="00D70FB9"/>
    <w:rsid w:val="00D71827"/>
    <w:rsid w:val="00D71A95"/>
    <w:rsid w:val="00D722A8"/>
    <w:rsid w:val="00D723F3"/>
    <w:rsid w:val="00D725BB"/>
    <w:rsid w:val="00D72859"/>
    <w:rsid w:val="00D72A1C"/>
    <w:rsid w:val="00D73007"/>
    <w:rsid w:val="00D736D2"/>
    <w:rsid w:val="00D73736"/>
    <w:rsid w:val="00D73A27"/>
    <w:rsid w:val="00D73AF2"/>
    <w:rsid w:val="00D744D4"/>
    <w:rsid w:val="00D7514A"/>
    <w:rsid w:val="00D75259"/>
    <w:rsid w:val="00D75850"/>
    <w:rsid w:val="00D75BF6"/>
    <w:rsid w:val="00D75D68"/>
    <w:rsid w:val="00D76146"/>
    <w:rsid w:val="00D7633B"/>
    <w:rsid w:val="00D767F7"/>
    <w:rsid w:val="00D77CC4"/>
    <w:rsid w:val="00D8007A"/>
    <w:rsid w:val="00D804D8"/>
    <w:rsid w:val="00D8109C"/>
    <w:rsid w:val="00D817FA"/>
    <w:rsid w:val="00D81BC6"/>
    <w:rsid w:val="00D820B6"/>
    <w:rsid w:val="00D82566"/>
    <w:rsid w:val="00D82ECE"/>
    <w:rsid w:val="00D83348"/>
    <w:rsid w:val="00D83D1E"/>
    <w:rsid w:val="00D8513A"/>
    <w:rsid w:val="00D85A03"/>
    <w:rsid w:val="00D85C7F"/>
    <w:rsid w:val="00D85DB9"/>
    <w:rsid w:val="00D8769E"/>
    <w:rsid w:val="00D87EF5"/>
    <w:rsid w:val="00D90B84"/>
    <w:rsid w:val="00D90FB8"/>
    <w:rsid w:val="00D91D35"/>
    <w:rsid w:val="00D91F49"/>
    <w:rsid w:val="00D924B4"/>
    <w:rsid w:val="00D92AC8"/>
    <w:rsid w:val="00D92BA0"/>
    <w:rsid w:val="00D92D7F"/>
    <w:rsid w:val="00D93388"/>
    <w:rsid w:val="00D938E0"/>
    <w:rsid w:val="00D93C30"/>
    <w:rsid w:val="00D93CE3"/>
    <w:rsid w:val="00D93D0A"/>
    <w:rsid w:val="00D93D1C"/>
    <w:rsid w:val="00D93D98"/>
    <w:rsid w:val="00D94142"/>
    <w:rsid w:val="00D9453F"/>
    <w:rsid w:val="00D9490F"/>
    <w:rsid w:val="00D95F40"/>
    <w:rsid w:val="00D969F4"/>
    <w:rsid w:val="00D96AB7"/>
    <w:rsid w:val="00D9727B"/>
    <w:rsid w:val="00D9784E"/>
    <w:rsid w:val="00DA01C8"/>
    <w:rsid w:val="00DA033C"/>
    <w:rsid w:val="00DA0DE6"/>
    <w:rsid w:val="00DA14EF"/>
    <w:rsid w:val="00DA18CD"/>
    <w:rsid w:val="00DA1C8C"/>
    <w:rsid w:val="00DA1C92"/>
    <w:rsid w:val="00DA22AA"/>
    <w:rsid w:val="00DA377A"/>
    <w:rsid w:val="00DA45B6"/>
    <w:rsid w:val="00DA4A27"/>
    <w:rsid w:val="00DA4C7D"/>
    <w:rsid w:val="00DA5131"/>
    <w:rsid w:val="00DA5261"/>
    <w:rsid w:val="00DA5665"/>
    <w:rsid w:val="00DA5758"/>
    <w:rsid w:val="00DA5A24"/>
    <w:rsid w:val="00DA5A27"/>
    <w:rsid w:val="00DA5AFA"/>
    <w:rsid w:val="00DA6002"/>
    <w:rsid w:val="00DA61FD"/>
    <w:rsid w:val="00DA64CA"/>
    <w:rsid w:val="00DA6DEB"/>
    <w:rsid w:val="00DA72B4"/>
    <w:rsid w:val="00DB0498"/>
    <w:rsid w:val="00DB04E8"/>
    <w:rsid w:val="00DB0A07"/>
    <w:rsid w:val="00DB0A2A"/>
    <w:rsid w:val="00DB103B"/>
    <w:rsid w:val="00DB149E"/>
    <w:rsid w:val="00DB15A9"/>
    <w:rsid w:val="00DB1846"/>
    <w:rsid w:val="00DB1D52"/>
    <w:rsid w:val="00DB2174"/>
    <w:rsid w:val="00DB2854"/>
    <w:rsid w:val="00DB2EBA"/>
    <w:rsid w:val="00DB4355"/>
    <w:rsid w:val="00DB436C"/>
    <w:rsid w:val="00DB452A"/>
    <w:rsid w:val="00DB455A"/>
    <w:rsid w:val="00DB45E1"/>
    <w:rsid w:val="00DB4BFF"/>
    <w:rsid w:val="00DB4E36"/>
    <w:rsid w:val="00DB505F"/>
    <w:rsid w:val="00DB5208"/>
    <w:rsid w:val="00DB5464"/>
    <w:rsid w:val="00DB5747"/>
    <w:rsid w:val="00DB6627"/>
    <w:rsid w:val="00DB6651"/>
    <w:rsid w:val="00DB66DC"/>
    <w:rsid w:val="00DB70B6"/>
    <w:rsid w:val="00DB721C"/>
    <w:rsid w:val="00DB72BC"/>
    <w:rsid w:val="00DB7B00"/>
    <w:rsid w:val="00DB7F5C"/>
    <w:rsid w:val="00DC01A5"/>
    <w:rsid w:val="00DC0369"/>
    <w:rsid w:val="00DC0848"/>
    <w:rsid w:val="00DC0893"/>
    <w:rsid w:val="00DC134A"/>
    <w:rsid w:val="00DC164D"/>
    <w:rsid w:val="00DC1C4C"/>
    <w:rsid w:val="00DC1CEB"/>
    <w:rsid w:val="00DC28E3"/>
    <w:rsid w:val="00DC2CB8"/>
    <w:rsid w:val="00DC2D64"/>
    <w:rsid w:val="00DC2FCB"/>
    <w:rsid w:val="00DC306D"/>
    <w:rsid w:val="00DC33C0"/>
    <w:rsid w:val="00DC382A"/>
    <w:rsid w:val="00DC414D"/>
    <w:rsid w:val="00DC44B8"/>
    <w:rsid w:val="00DC4B8C"/>
    <w:rsid w:val="00DC53A7"/>
    <w:rsid w:val="00DC544F"/>
    <w:rsid w:val="00DC5BBD"/>
    <w:rsid w:val="00DC5EB5"/>
    <w:rsid w:val="00DC6CEB"/>
    <w:rsid w:val="00DC7076"/>
    <w:rsid w:val="00DC7250"/>
    <w:rsid w:val="00DC749C"/>
    <w:rsid w:val="00DC7624"/>
    <w:rsid w:val="00DC7693"/>
    <w:rsid w:val="00DC792B"/>
    <w:rsid w:val="00DC7A30"/>
    <w:rsid w:val="00DD0041"/>
    <w:rsid w:val="00DD00CB"/>
    <w:rsid w:val="00DD12C6"/>
    <w:rsid w:val="00DD1802"/>
    <w:rsid w:val="00DD181A"/>
    <w:rsid w:val="00DD1B9A"/>
    <w:rsid w:val="00DD227E"/>
    <w:rsid w:val="00DD2316"/>
    <w:rsid w:val="00DD3039"/>
    <w:rsid w:val="00DD4D91"/>
    <w:rsid w:val="00DD4E25"/>
    <w:rsid w:val="00DD5023"/>
    <w:rsid w:val="00DD548D"/>
    <w:rsid w:val="00DD5D18"/>
    <w:rsid w:val="00DD61B3"/>
    <w:rsid w:val="00DD6721"/>
    <w:rsid w:val="00DD73AF"/>
    <w:rsid w:val="00DD7473"/>
    <w:rsid w:val="00DD779B"/>
    <w:rsid w:val="00DD793B"/>
    <w:rsid w:val="00DE05C8"/>
    <w:rsid w:val="00DE08EB"/>
    <w:rsid w:val="00DE0AD7"/>
    <w:rsid w:val="00DE0F23"/>
    <w:rsid w:val="00DE19A6"/>
    <w:rsid w:val="00DE1AE4"/>
    <w:rsid w:val="00DE1CFB"/>
    <w:rsid w:val="00DE1D55"/>
    <w:rsid w:val="00DE2177"/>
    <w:rsid w:val="00DE2202"/>
    <w:rsid w:val="00DE2703"/>
    <w:rsid w:val="00DE2E38"/>
    <w:rsid w:val="00DE2E75"/>
    <w:rsid w:val="00DE2F70"/>
    <w:rsid w:val="00DE3301"/>
    <w:rsid w:val="00DE3458"/>
    <w:rsid w:val="00DE381F"/>
    <w:rsid w:val="00DE4B51"/>
    <w:rsid w:val="00DE524A"/>
    <w:rsid w:val="00DE564A"/>
    <w:rsid w:val="00DE5A34"/>
    <w:rsid w:val="00DE5D20"/>
    <w:rsid w:val="00DE5E6C"/>
    <w:rsid w:val="00DE6606"/>
    <w:rsid w:val="00DE6856"/>
    <w:rsid w:val="00DE7273"/>
    <w:rsid w:val="00DE7762"/>
    <w:rsid w:val="00DE7C78"/>
    <w:rsid w:val="00DF02D9"/>
    <w:rsid w:val="00DF0C76"/>
    <w:rsid w:val="00DF128A"/>
    <w:rsid w:val="00DF14D4"/>
    <w:rsid w:val="00DF1EEB"/>
    <w:rsid w:val="00DF2CDA"/>
    <w:rsid w:val="00DF2F37"/>
    <w:rsid w:val="00DF2FCF"/>
    <w:rsid w:val="00DF3278"/>
    <w:rsid w:val="00DF3970"/>
    <w:rsid w:val="00DF398E"/>
    <w:rsid w:val="00DF3B09"/>
    <w:rsid w:val="00DF3C76"/>
    <w:rsid w:val="00DF4305"/>
    <w:rsid w:val="00DF4590"/>
    <w:rsid w:val="00DF5AAD"/>
    <w:rsid w:val="00DF65DA"/>
    <w:rsid w:val="00DF6BC1"/>
    <w:rsid w:val="00DF6F7E"/>
    <w:rsid w:val="00E001BA"/>
    <w:rsid w:val="00E00289"/>
    <w:rsid w:val="00E00937"/>
    <w:rsid w:val="00E00CCC"/>
    <w:rsid w:val="00E00E50"/>
    <w:rsid w:val="00E0138F"/>
    <w:rsid w:val="00E01885"/>
    <w:rsid w:val="00E027F1"/>
    <w:rsid w:val="00E028C4"/>
    <w:rsid w:val="00E0299A"/>
    <w:rsid w:val="00E02D2F"/>
    <w:rsid w:val="00E02E9B"/>
    <w:rsid w:val="00E0351B"/>
    <w:rsid w:val="00E03823"/>
    <w:rsid w:val="00E050C3"/>
    <w:rsid w:val="00E05441"/>
    <w:rsid w:val="00E05546"/>
    <w:rsid w:val="00E061C4"/>
    <w:rsid w:val="00E06376"/>
    <w:rsid w:val="00E071E0"/>
    <w:rsid w:val="00E079E0"/>
    <w:rsid w:val="00E07D3F"/>
    <w:rsid w:val="00E102CC"/>
    <w:rsid w:val="00E10475"/>
    <w:rsid w:val="00E10501"/>
    <w:rsid w:val="00E10A90"/>
    <w:rsid w:val="00E10B1F"/>
    <w:rsid w:val="00E10E89"/>
    <w:rsid w:val="00E10F9F"/>
    <w:rsid w:val="00E113DE"/>
    <w:rsid w:val="00E11444"/>
    <w:rsid w:val="00E12069"/>
    <w:rsid w:val="00E1209F"/>
    <w:rsid w:val="00E1248B"/>
    <w:rsid w:val="00E1284F"/>
    <w:rsid w:val="00E12988"/>
    <w:rsid w:val="00E12D82"/>
    <w:rsid w:val="00E13317"/>
    <w:rsid w:val="00E13A8D"/>
    <w:rsid w:val="00E13E5D"/>
    <w:rsid w:val="00E13F6B"/>
    <w:rsid w:val="00E1408E"/>
    <w:rsid w:val="00E149E9"/>
    <w:rsid w:val="00E1563C"/>
    <w:rsid w:val="00E15840"/>
    <w:rsid w:val="00E15C1E"/>
    <w:rsid w:val="00E15CC7"/>
    <w:rsid w:val="00E15D5D"/>
    <w:rsid w:val="00E164B7"/>
    <w:rsid w:val="00E16533"/>
    <w:rsid w:val="00E16554"/>
    <w:rsid w:val="00E169B3"/>
    <w:rsid w:val="00E1736F"/>
    <w:rsid w:val="00E173DC"/>
    <w:rsid w:val="00E1761C"/>
    <w:rsid w:val="00E206D3"/>
    <w:rsid w:val="00E209A1"/>
    <w:rsid w:val="00E20D40"/>
    <w:rsid w:val="00E2105F"/>
    <w:rsid w:val="00E2117D"/>
    <w:rsid w:val="00E2150A"/>
    <w:rsid w:val="00E2267F"/>
    <w:rsid w:val="00E2351A"/>
    <w:rsid w:val="00E235FE"/>
    <w:rsid w:val="00E23848"/>
    <w:rsid w:val="00E23EF8"/>
    <w:rsid w:val="00E24B6C"/>
    <w:rsid w:val="00E24D33"/>
    <w:rsid w:val="00E2508B"/>
    <w:rsid w:val="00E258F1"/>
    <w:rsid w:val="00E25CB8"/>
    <w:rsid w:val="00E25D5D"/>
    <w:rsid w:val="00E2634D"/>
    <w:rsid w:val="00E264B0"/>
    <w:rsid w:val="00E2740F"/>
    <w:rsid w:val="00E300D8"/>
    <w:rsid w:val="00E30A3C"/>
    <w:rsid w:val="00E31020"/>
    <w:rsid w:val="00E31379"/>
    <w:rsid w:val="00E31691"/>
    <w:rsid w:val="00E3193B"/>
    <w:rsid w:val="00E31C24"/>
    <w:rsid w:val="00E32060"/>
    <w:rsid w:val="00E326F8"/>
    <w:rsid w:val="00E3284F"/>
    <w:rsid w:val="00E32A31"/>
    <w:rsid w:val="00E32E3C"/>
    <w:rsid w:val="00E32E9D"/>
    <w:rsid w:val="00E336B8"/>
    <w:rsid w:val="00E3389C"/>
    <w:rsid w:val="00E34120"/>
    <w:rsid w:val="00E34258"/>
    <w:rsid w:val="00E34991"/>
    <w:rsid w:val="00E34EC3"/>
    <w:rsid w:val="00E359DA"/>
    <w:rsid w:val="00E35BE6"/>
    <w:rsid w:val="00E35C06"/>
    <w:rsid w:val="00E35C57"/>
    <w:rsid w:val="00E35E13"/>
    <w:rsid w:val="00E369F6"/>
    <w:rsid w:val="00E376E5"/>
    <w:rsid w:val="00E408A9"/>
    <w:rsid w:val="00E40BFF"/>
    <w:rsid w:val="00E41AA5"/>
    <w:rsid w:val="00E4300B"/>
    <w:rsid w:val="00E43409"/>
    <w:rsid w:val="00E43552"/>
    <w:rsid w:val="00E43832"/>
    <w:rsid w:val="00E44027"/>
    <w:rsid w:val="00E44786"/>
    <w:rsid w:val="00E452DB"/>
    <w:rsid w:val="00E45CFE"/>
    <w:rsid w:val="00E46A4B"/>
    <w:rsid w:val="00E4705E"/>
    <w:rsid w:val="00E478CB"/>
    <w:rsid w:val="00E47930"/>
    <w:rsid w:val="00E47B9E"/>
    <w:rsid w:val="00E50817"/>
    <w:rsid w:val="00E50F92"/>
    <w:rsid w:val="00E51710"/>
    <w:rsid w:val="00E517B1"/>
    <w:rsid w:val="00E51FD1"/>
    <w:rsid w:val="00E52893"/>
    <w:rsid w:val="00E52CB6"/>
    <w:rsid w:val="00E53081"/>
    <w:rsid w:val="00E5312B"/>
    <w:rsid w:val="00E53253"/>
    <w:rsid w:val="00E536A3"/>
    <w:rsid w:val="00E54012"/>
    <w:rsid w:val="00E54450"/>
    <w:rsid w:val="00E54A79"/>
    <w:rsid w:val="00E5505B"/>
    <w:rsid w:val="00E550E1"/>
    <w:rsid w:val="00E552B7"/>
    <w:rsid w:val="00E5595F"/>
    <w:rsid w:val="00E55C51"/>
    <w:rsid w:val="00E55CB5"/>
    <w:rsid w:val="00E5617B"/>
    <w:rsid w:val="00E563BE"/>
    <w:rsid w:val="00E566AE"/>
    <w:rsid w:val="00E566FF"/>
    <w:rsid w:val="00E5688E"/>
    <w:rsid w:val="00E56E3A"/>
    <w:rsid w:val="00E56FB9"/>
    <w:rsid w:val="00E573F8"/>
    <w:rsid w:val="00E601AA"/>
    <w:rsid w:val="00E6028A"/>
    <w:rsid w:val="00E610CB"/>
    <w:rsid w:val="00E6154C"/>
    <w:rsid w:val="00E6160B"/>
    <w:rsid w:val="00E61699"/>
    <w:rsid w:val="00E618DF"/>
    <w:rsid w:val="00E61BAE"/>
    <w:rsid w:val="00E62506"/>
    <w:rsid w:val="00E629D5"/>
    <w:rsid w:val="00E630EF"/>
    <w:rsid w:val="00E631D1"/>
    <w:rsid w:val="00E63D91"/>
    <w:rsid w:val="00E6411E"/>
    <w:rsid w:val="00E64EFB"/>
    <w:rsid w:val="00E65BC5"/>
    <w:rsid w:val="00E6630B"/>
    <w:rsid w:val="00E6635C"/>
    <w:rsid w:val="00E66420"/>
    <w:rsid w:val="00E6721C"/>
    <w:rsid w:val="00E6741A"/>
    <w:rsid w:val="00E67490"/>
    <w:rsid w:val="00E678F8"/>
    <w:rsid w:val="00E70268"/>
    <w:rsid w:val="00E709D8"/>
    <w:rsid w:val="00E71301"/>
    <w:rsid w:val="00E71425"/>
    <w:rsid w:val="00E71B10"/>
    <w:rsid w:val="00E72169"/>
    <w:rsid w:val="00E725D3"/>
    <w:rsid w:val="00E73B47"/>
    <w:rsid w:val="00E742F9"/>
    <w:rsid w:val="00E7488D"/>
    <w:rsid w:val="00E74AAE"/>
    <w:rsid w:val="00E74C6A"/>
    <w:rsid w:val="00E75B22"/>
    <w:rsid w:val="00E75E46"/>
    <w:rsid w:val="00E76A7E"/>
    <w:rsid w:val="00E76EFA"/>
    <w:rsid w:val="00E77787"/>
    <w:rsid w:val="00E8119C"/>
    <w:rsid w:val="00E8219E"/>
    <w:rsid w:val="00E822FF"/>
    <w:rsid w:val="00E825A8"/>
    <w:rsid w:val="00E82CBB"/>
    <w:rsid w:val="00E82D33"/>
    <w:rsid w:val="00E83032"/>
    <w:rsid w:val="00E8361F"/>
    <w:rsid w:val="00E83BD8"/>
    <w:rsid w:val="00E83C1A"/>
    <w:rsid w:val="00E85F40"/>
    <w:rsid w:val="00E86652"/>
    <w:rsid w:val="00E8683D"/>
    <w:rsid w:val="00E86A15"/>
    <w:rsid w:val="00E86C2C"/>
    <w:rsid w:val="00E86F90"/>
    <w:rsid w:val="00E8743F"/>
    <w:rsid w:val="00E9098F"/>
    <w:rsid w:val="00E91959"/>
    <w:rsid w:val="00E92A6F"/>
    <w:rsid w:val="00E94D73"/>
    <w:rsid w:val="00E956DF"/>
    <w:rsid w:val="00E95718"/>
    <w:rsid w:val="00E95870"/>
    <w:rsid w:val="00E95E2D"/>
    <w:rsid w:val="00E96069"/>
    <w:rsid w:val="00E96140"/>
    <w:rsid w:val="00E964DC"/>
    <w:rsid w:val="00E96DC1"/>
    <w:rsid w:val="00E96E7D"/>
    <w:rsid w:val="00E96EE8"/>
    <w:rsid w:val="00E96FDA"/>
    <w:rsid w:val="00E97763"/>
    <w:rsid w:val="00E97A2A"/>
    <w:rsid w:val="00E97ACB"/>
    <w:rsid w:val="00E97EED"/>
    <w:rsid w:val="00EA1488"/>
    <w:rsid w:val="00EA16CD"/>
    <w:rsid w:val="00EA1B67"/>
    <w:rsid w:val="00EA27C4"/>
    <w:rsid w:val="00EA28AA"/>
    <w:rsid w:val="00EA2E86"/>
    <w:rsid w:val="00EA3CFD"/>
    <w:rsid w:val="00EA41AE"/>
    <w:rsid w:val="00EA4A58"/>
    <w:rsid w:val="00EA539F"/>
    <w:rsid w:val="00EA571A"/>
    <w:rsid w:val="00EA5C5E"/>
    <w:rsid w:val="00EA5F08"/>
    <w:rsid w:val="00EA6025"/>
    <w:rsid w:val="00EA64EC"/>
    <w:rsid w:val="00EA6B6C"/>
    <w:rsid w:val="00EA7E69"/>
    <w:rsid w:val="00EB0975"/>
    <w:rsid w:val="00EB0FA4"/>
    <w:rsid w:val="00EB18BB"/>
    <w:rsid w:val="00EB230F"/>
    <w:rsid w:val="00EB2C9B"/>
    <w:rsid w:val="00EB3415"/>
    <w:rsid w:val="00EB3570"/>
    <w:rsid w:val="00EB36A3"/>
    <w:rsid w:val="00EB38BD"/>
    <w:rsid w:val="00EB3B28"/>
    <w:rsid w:val="00EB3F1D"/>
    <w:rsid w:val="00EB459E"/>
    <w:rsid w:val="00EB4CAA"/>
    <w:rsid w:val="00EB5180"/>
    <w:rsid w:val="00EB52B5"/>
    <w:rsid w:val="00EB54AB"/>
    <w:rsid w:val="00EB5538"/>
    <w:rsid w:val="00EB5C63"/>
    <w:rsid w:val="00EB6053"/>
    <w:rsid w:val="00EB6A0C"/>
    <w:rsid w:val="00EB6F0E"/>
    <w:rsid w:val="00EB7078"/>
    <w:rsid w:val="00EB71F2"/>
    <w:rsid w:val="00EB780B"/>
    <w:rsid w:val="00EB7E59"/>
    <w:rsid w:val="00EB7E7F"/>
    <w:rsid w:val="00EB7F92"/>
    <w:rsid w:val="00EC14E5"/>
    <w:rsid w:val="00EC1525"/>
    <w:rsid w:val="00EC1536"/>
    <w:rsid w:val="00EC2589"/>
    <w:rsid w:val="00EC2F24"/>
    <w:rsid w:val="00EC2F5B"/>
    <w:rsid w:val="00EC3009"/>
    <w:rsid w:val="00EC3AC2"/>
    <w:rsid w:val="00EC40C5"/>
    <w:rsid w:val="00EC40CF"/>
    <w:rsid w:val="00EC42AF"/>
    <w:rsid w:val="00EC436D"/>
    <w:rsid w:val="00EC48A5"/>
    <w:rsid w:val="00EC501B"/>
    <w:rsid w:val="00EC56F1"/>
    <w:rsid w:val="00EC60F4"/>
    <w:rsid w:val="00EC6E79"/>
    <w:rsid w:val="00EC7549"/>
    <w:rsid w:val="00EC7D61"/>
    <w:rsid w:val="00ED0359"/>
    <w:rsid w:val="00ED08D3"/>
    <w:rsid w:val="00ED0EAB"/>
    <w:rsid w:val="00ED113D"/>
    <w:rsid w:val="00ED14D3"/>
    <w:rsid w:val="00ED1623"/>
    <w:rsid w:val="00ED1AA0"/>
    <w:rsid w:val="00ED1AD0"/>
    <w:rsid w:val="00ED2534"/>
    <w:rsid w:val="00ED2C83"/>
    <w:rsid w:val="00ED2E11"/>
    <w:rsid w:val="00ED3465"/>
    <w:rsid w:val="00ED3CF2"/>
    <w:rsid w:val="00ED41DB"/>
    <w:rsid w:val="00ED5BB7"/>
    <w:rsid w:val="00ED633C"/>
    <w:rsid w:val="00ED63E1"/>
    <w:rsid w:val="00ED670D"/>
    <w:rsid w:val="00ED6C5A"/>
    <w:rsid w:val="00ED6D08"/>
    <w:rsid w:val="00ED6ED0"/>
    <w:rsid w:val="00ED737D"/>
    <w:rsid w:val="00ED7679"/>
    <w:rsid w:val="00ED7925"/>
    <w:rsid w:val="00EE00B7"/>
    <w:rsid w:val="00EE0274"/>
    <w:rsid w:val="00EE0A24"/>
    <w:rsid w:val="00EE0ADC"/>
    <w:rsid w:val="00EE0D06"/>
    <w:rsid w:val="00EE1558"/>
    <w:rsid w:val="00EE16BB"/>
    <w:rsid w:val="00EE1AF2"/>
    <w:rsid w:val="00EE1FC1"/>
    <w:rsid w:val="00EE2AEE"/>
    <w:rsid w:val="00EE2F91"/>
    <w:rsid w:val="00EE328A"/>
    <w:rsid w:val="00EE35B9"/>
    <w:rsid w:val="00EE391F"/>
    <w:rsid w:val="00EE3E81"/>
    <w:rsid w:val="00EE400E"/>
    <w:rsid w:val="00EE46D9"/>
    <w:rsid w:val="00EE487E"/>
    <w:rsid w:val="00EE50D7"/>
    <w:rsid w:val="00EE53C3"/>
    <w:rsid w:val="00EE5589"/>
    <w:rsid w:val="00EE5778"/>
    <w:rsid w:val="00EE5C7D"/>
    <w:rsid w:val="00EE5CE5"/>
    <w:rsid w:val="00EE627D"/>
    <w:rsid w:val="00EE7091"/>
    <w:rsid w:val="00EE7859"/>
    <w:rsid w:val="00EE7B5A"/>
    <w:rsid w:val="00EF0C69"/>
    <w:rsid w:val="00EF0E20"/>
    <w:rsid w:val="00EF148B"/>
    <w:rsid w:val="00EF15A8"/>
    <w:rsid w:val="00EF166D"/>
    <w:rsid w:val="00EF180E"/>
    <w:rsid w:val="00EF1CC5"/>
    <w:rsid w:val="00EF3081"/>
    <w:rsid w:val="00EF32B4"/>
    <w:rsid w:val="00EF371B"/>
    <w:rsid w:val="00EF3B67"/>
    <w:rsid w:val="00EF3E3E"/>
    <w:rsid w:val="00EF4EDA"/>
    <w:rsid w:val="00EF4EE4"/>
    <w:rsid w:val="00EF4F20"/>
    <w:rsid w:val="00EF563D"/>
    <w:rsid w:val="00EF5A2A"/>
    <w:rsid w:val="00EF661A"/>
    <w:rsid w:val="00EF67F0"/>
    <w:rsid w:val="00EF6CFF"/>
    <w:rsid w:val="00EF6F11"/>
    <w:rsid w:val="00EF771C"/>
    <w:rsid w:val="00F0015A"/>
    <w:rsid w:val="00F01480"/>
    <w:rsid w:val="00F01856"/>
    <w:rsid w:val="00F01EF5"/>
    <w:rsid w:val="00F02310"/>
    <w:rsid w:val="00F02422"/>
    <w:rsid w:val="00F024BE"/>
    <w:rsid w:val="00F0262A"/>
    <w:rsid w:val="00F02685"/>
    <w:rsid w:val="00F029A6"/>
    <w:rsid w:val="00F035BF"/>
    <w:rsid w:val="00F035D7"/>
    <w:rsid w:val="00F037EC"/>
    <w:rsid w:val="00F038E0"/>
    <w:rsid w:val="00F03E15"/>
    <w:rsid w:val="00F042A7"/>
    <w:rsid w:val="00F042AE"/>
    <w:rsid w:val="00F05660"/>
    <w:rsid w:val="00F05820"/>
    <w:rsid w:val="00F05DB1"/>
    <w:rsid w:val="00F0651C"/>
    <w:rsid w:val="00F06CC6"/>
    <w:rsid w:val="00F06FC3"/>
    <w:rsid w:val="00F07049"/>
    <w:rsid w:val="00F070FC"/>
    <w:rsid w:val="00F07207"/>
    <w:rsid w:val="00F0775D"/>
    <w:rsid w:val="00F07D21"/>
    <w:rsid w:val="00F10458"/>
    <w:rsid w:val="00F10F1B"/>
    <w:rsid w:val="00F114AF"/>
    <w:rsid w:val="00F116F2"/>
    <w:rsid w:val="00F11809"/>
    <w:rsid w:val="00F118C8"/>
    <w:rsid w:val="00F1259E"/>
    <w:rsid w:val="00F13367"/>
    <w:rsid w:val="00F137FF"/>
    <w:rsid w:val="00F13D61"/>
    <w:rsid w:val="00F13FB3"/>
    <w:rsid w:val="00F1403A"/>
    <w:rsid w:val="00F150FA"/>
    <w:rsid w:val="00F15138"/>
    <w:rsid w:val="00F151B8"/>
    <w:rsid w:val="00F152CB"/>
    <w:rsid w:val="00F154CD"/>
    <w:rsid w:val="00F159EE"/>
    <w:rsid w:val="00F15A61"/>
    <w:rsid w:val="00F16607"/>
    <w:rsid w:val="00F16DD3"/>
    <w:rsid w:val="00F17345"/>
    <w:rsid w:val="00F178E5"/>
    <w:rsid w:val="00F20200"/>
    <w:rsid w:val="00F20569"/>
    <w:rsid w:val="00F20780"/>
    <w:rsid w:val="00F20E04"/>
    <w:rsid w:val="00F21067"/>
    <w:rsid w:val="00F2112B"/>
    <w:rsid w:val="00F2122E"/>
    <w:rsid w:val="00F21A2C"/>
    <w:rsid w:val="00F21AA6"/>
    <w:rsid w:val="00F22F86"/>
    <w:rsid w:val="00F234B9"/>
    <w:rsid w:val="00F23576"/>
    <w:rsid w:val="00F23D8B"/>
    <w:rsid w:val="00F24291"/>
    <w:rsid w:val="00F24B57"/>
    <w:rsid w:val="00F25013"/>
    <w:rsid w:val="00F25661"/>
    <w:rsid w:val="00F2606E"/>
    <w:rsid w:val="00F26208"/>
    <w:rsid w:val="00F26D10"/>
    <w:rsid w:val="00F277D3"/>
    <w:rsid w:val="00F278D7"/>
    <w:rsid w:val="00F27BD2"/>
    <w:rsid w:val="00F27F70"/>
    <w:rsid w:val="00F305A7"/>
    <w:rsid w:val="00F30B16"/>
    <w:rsid w:val="00F30B82"/>
    <w:rsid w:val="00F30DBC"/>
    <w:rsid w:val="00F30E4F"/>
    <w:rsid w:val="00F30E8B"/>
    <w:rsid w:val="00F311C5"/>
    <w:rsid w:val="00F31E5B"/>
    <w:rsid w:val="00F328C1"/>
    <w:rsid w:val="00F328C6"/>
    <w:rsid w:val="00F32E15"/>
    <w:rsid w:val="00F332AC"/>
    <w:rsid w:val="00F338E7"/>
    <w:rsid w:val="00F33C17"/>
    <w:rsid w:val="00F33ECD"/>
    <w:rsid w:val="00F3428E"/>
    <w:rsid w:val="00F35183"/>
    <w:rsid w:val="00F35355"/>
    <w:rsid w:val="00F35D0E"/>
    <w:rsid w:val="00F363B6"/>
    <w:rsid w:val="00F37160"/>
    <w:rsid w:val="00F3777E"/>
    <w:rsid w:val="00F403E5"/>
    <w:rsid w:val="00F412EC"/>
    <w:rsid w:val="00F41427"/>
    <w:rsid w:val="00F4154D"/>
    <w:rsid w:val="00F416B4"/>
    <w:rsid w:val="00F42680"/>
    <w:rsid w:val="00F42CB9"/>
    <w:rsid w:val="00F42CBA"/>
    <w:rsid w:val="00F42D5D"/>
    <w:rsid w:val="00F42EF6"/>
    <w:rsid w:val="00F4306D"/>
    <w:rsid w:val="00F442AE"/>
    <w:rsid w:val="00F44485"/>
    <w:rsid w:val="00F44748"/>
    <w:rsid w:val="00F44847"/>
    <w:rsid w:val="00F44861"/>
    <w:rsid w:val="00F44C24"/>
    <w:rsid w:val="00F450F7"/>
    <w:rsid w:val="00F45952"/>
    <w:rsid w:val="00F45B79"/>
    <w:rsid w:val="00F4683D"/>
    <w:rsid w:val="00F50969"/>
    <w:rsid w:val="00F50A53"/>
    <w:rsid w:val="00F510E2"/>
    <w:rsid w:val="00F51141"/>
    <w:rsid w:val="00F511CB"/>
    <w:rsid w:val="00F512DB"/>
    <w:rsid w:val="00F51A09"/>
    <w:rsid w:val="00F524EC"/>
    <w:rsid w:val="00F52E09"/>
    <w:rsid w:val="00F53752"/>
    <w:rsid w:val="00F53994"/>
    <w:rsid w:val="00F53C11"/>
    <w:rsid w:val="00F53E87"/>
    <w:rsid w:val="00F54DA5"/>
    <w:rsid w:val="00F55193"/>
    <w:rsid w:val="00F551FA"/>
    <w:rsid w:val="00F55766"/>
    <w:rsid w:val="00F55A5F"/>
    <w:rsid w:val="00F5698E"/>
    <w:rsid w:val="00F570D1"/>
    <w:rsid w:val="00F572D1"/>
    <w:rsid w:val="00F57A2E"/>
    <w:rsid w:val="00F57B79"/>
    <w:rsid w:val="00F57EFD"/>
    <w:rsid w:val="00F57FBA"/>
    <w:rsid w:val="00F6088E"/>
    <w:rsid w:val="00F61372"/>
    <w:rsid w:val="00F6256C"/>
    <w:rsid w:val="00F62795"/>
    <w:rsid w:val="00F62CA8"/>
    <w:rsid w:val="00F62F92"/>
    <w:rsid w:val="00F6329E"/>
    <w:rsid w:val="00F633D6"/>
    <w:rsid w:val="00F638A1"/>
    <w:rsid w:val="00F646B8"/>
    <w:rsid w:val="00F64D66"/>
    <w:rsid w:val="00F64ECD"/>
    <w:rsid w:val="00F65030"/>
    <w:rsid w:val="00F65340"/>
    <w:rsid w:val="00F653EB"/>
    <w:rsid w:val="00F656B9"/>
    <w:rsid w:val="00F6579F"/>
    <w:rsid w:val="00F65A52"/>
    <w:rsid w:val="00F65D61"/>
    <w:rsid w:val="00F65EAD"/>
    <w:rsid w:val="00F66167"/>
    <w:rsid w:val="00F67AE1"/>
    <w:rsid w:val="00F7077C"/>
    <w:rsid w:val="00F70A27"/>
    <w:rsid w:val="00F70AC7"/>
    <w:rsid w:val="00F715D1"/>
    <w:rsid w:val="00F71EA2"/>
    <w:rsid w:val="00F725E3"/>
    <w:rsid w:val="00F72D9C"/>
    <w:rsid w:val="00F7305D"/>
    <w:rsid w:val="00F7341D"/>
    <w:rsid w:val="00F73449"/>
    <w:rsid w:val="00F7431C"/>
    <w:rsid w:val="00F74ABC"/>
    <w:rsid w:val="00F74D35"/>
    <w:rsid w:val="00F74F9E"/>
    <w:rsid w:val="00F74FEB"/>
    <w:rsid w:val="00F75388"/>
    <w:rsid w:val="00F75567"/>
    <w:rsid w:val="00F764A3"/>
    <w:rsid w:val="00F766FA"/>
    <w:rsid w:val="00F76D41"/>
    <w:rsid w:val="00F76EBA"/>
    <w:rsid w:val="00F772DF"/>
    <w:rsid w:val="00F773DE"/>
    <w:rsid w:val="00F7764F"/>
    <w:rsid w:val="00F807B3"/>
    <w:rsid w:val="00F80F75"/>
    <w:rsid w:val="00F81598"/>
    <w:rsid w:val="00F81E90"/>
    <w:rsid w:val="00F82426"/>
    <w:rsid w:val="00F83025"/>
    <w:rsid w:val="00F84201"/>
    <w:rsid w:val="00F84ADF"/>
    <w:rsid w:val="00F84BB7"/>
    <w:rsid w:val="00F85084"/>
    <w:rsid w:val="00F85495"/>
    <w:rsid w:val="00F85508"/>
    <w:rsid w:val="00F85C8F"/>
    <w:rsid w:val="00F85E64"/>
    <w:rsid w:val="00F86200"/>
    <w:rsid w:val="00F8665C"/>
    <w:rsid w:val="00F866E5"/>
    <w:rsid w:val="00F86874"/>
    <w:rsid w:val="00F86924"/>
    <w:rsid w:val="00F869CE"/>
    <w:rsid w:val="00F86B66"/>
    <w:rsid w:val="00F86F55"/>
    <w:rsid w:val="00F87623"/>
    <w:rsid w:val="00F877DC"/>
    <w:rsid w:val="00F87979"/>
    <w:rsid w:val="00F87AF5"/>
    <w:rsid w:val="00F9010A"/>
    <w:rsid w:val="00F909EC"/>
    <w:rsid w:val="00F90CB5"/>
    <w:rsid w:val="00F91F5A"/>
    <w:rsid w:val="00F92258"/>
    <w:rsid w:val="00F92289"/>
    <w:rsid w:val="00F928A0"/>
    <w:rsid w:val="00F92DB8"/>
    <w:rsid w:val="00F9313B"/>
    <w:rsid w:val="00F93173"/>
    <w:rsid w:val="00F937F3"/>
    <w:rsid w:val="00F93B72"/>
    <w:rsid w:val="00F94061"/>
    <w:rsid w:val="00F94235"/>
    <w:rsid w:val="00F945D6"/>
    <w:rsid w:val="00F94A90"/>
    <w:rsid w:val="00F94DAF"/>
    <w:rsid w:val="00F9512F"/>
    <w:rsid w:val="00F961C6"/>
    <w:rsid w:val="00F96324"/>
    <w:rsid w:val="00F96822"/>
    <w:rsid w:val="00F96B5D"/>
    <w:rsid w:val="00F974D5"/>
    <w:rsid w:val="00F97583"/>
    <w:rsid w:val="00F976B0"/>
    <w:rsid w:val="00F97CFD"/>
    <w:rsid w:val="00FA007B"/>
    <w:rsid w:val="00FA0780"/>
    <w:rsid w:val="00FA0D64"/>
    <w:rsid w:val="00FA1083"/>
    <w:rsid w:val="00FA1672"/>
    <w:rsid w:val="00FA1859"/>
    <w:rsid w:val="00FA19C7"/>
    <w:rsid w:val="00FA1A61"/>
    <w:rsid w:val="00FA1C7F"/>
    <w:rsid w:val="00FA1E80"/>
    <w:rsid w:val="00FA23A5"/>
    <w:rsid w:val="00FA2EAB"/>
    <w:rsid w:val="00FA2FE7"/>
    <w:rsid w:val="00FA34B4"/>
    <w:rsid w:val="00FA34DC"/>
    <w:rsid w:val="00FA354F"/>
    <w:rsid w:val="00FA380D"/>
    <w:rsid w:val="00FA4E39"/>
    <w:rsid w:val="00FA5E11"/>
    <w:rsid w:val="00FA609B"/>
    <w:rsid w:val="00FA61DB"/>
    <w:rsid w:val="00FA69D3"/>
    <w:rsid w:val="00FA6ECA"/>
    <w:rsid w:val="00FA77B1"/>
    <w:rsid w:val="00FA78DE"/>
    <w:rsid w:val="00FA7954"/>
    <w:rsid w:val="00FB0C73"/>
    <w:rsid w:val="00FB1070"/>
    <w:rsid w:val="00FB1787"/>
    <w:rsid w:val="00FB19E7"/>
    <w:rsid w:val="00FB2426"/>
    <w:rsid w:val="00FB26CA"/>
    <w:rsid w:val="00FB351D"/>
    <w:rsid w:val="00FB3527"/>
    <w:rsid w:val="00FB355D"/>
    <w:rsid w:val="00FB35E9"/>
    <w:rsid w:val="00FB3889"/>
    <w:rsid w:val="00FB3A1B"/>
    <w:rsid w:val="00FB480A"/>
    <w:rsid w:val="00FB5997"/>
    <w:rsid w:val="00FB5AA6"/>
    <w:rsid w:val="00FB5EB8"/>
    <w:rsid w:val="00FB5ECA"/>
    <w:rsid w:val="00FB61C0"/>
    <w:rsid w:val="00FB6309"/>
    <w:rsid w:val="00FB6F8E"/>
    <w:rsid w:val="00FB77F3"/>
    <w:rsid w:val="00FB7846"/>
    <w:rsid w:val="00FB7945"/>
    <w:rsid w:val="00FB7EDA"/>
    <w:rsid w:val="00FC00C9"/>
    <w:rsid w:val="00FC027B"/>
    <w:rsid w:val="00FC0630"/>
    <w:rsid w:val="00FC0F6A"/>
    <w:rsid w:val="00FC1A65"/>
    <w:rsid w:val="00FC1E13"/>
    <w:rsid w:val="00FC2A30"/>
    <w:rsid w:val="00FC3003"/>
    <w:rsid w:val="00FC368B"/>
    <w:rsid w:val="00FC36D5"/>
    <w:rsid w:val="00FC46C2"/>
    <w:rsid w:val="00FC48B8"/>
    <w:rsid w:val="00FC4EB2"/>
    <w:rsid w:val="00FC4FC6"/>
    <w:rsid w:val="00FC50C6"/>
    <w:rsid w:val="00FC5229"/>
    <w:rsid w:val="00FC530C"/>
    <w:rsid w:val="00FC5B51"/>
    <w:rsid w:val="00FC5B63"/>
    <w:rsid w:val="00FC7099"/>
    <w:rsid w:val="00FC7714"/>
    <w:rsid w:val="00FD0111"/>
    <w:rsid w:val="00FD0202"/>
    <w:rsid w:val="00FD0801"/>
    <w:rsid w:val="00FD0A7D"/>
    <w:rsid w:val="00FD11F1"/>
    <w:rsid w:val="00FD15D2"/>
    <w:rsid w:val="00FD1798"/>
    <w:rsid w:val="00FD2963"/>
    <w:rsid w:val="00FD2CE5"/>
    <w:rsid w:val="00FD2E8F"/>
    <w:rsid w:val="00FD2FEE"/>
    <w:rsid w:val="00FD343D"/>
    <w:rsid w:val="00FD3468"/>
    <w:rsid w:val="00FD37A0"/>
    <w:rsid w:val="00FD38AF"/>
    <w:rsid w:val="00FD3C5A"/>
    <w:rsid w:val="00FD3FB1"/>
    <w:rsid w:val="00FD419A"/>
    <w:rsid w:val="00FD4531"/>
    <w:rsid w:val="00FD4642"/>
    <w:rsid w:val="00FD4884"/>
    <w:rsid w:val="00FD4FEB"/>
    <w:rsid w:val="00FD5CF2"/>
    <w:rsid w:val="00FD5DFB"/>
    <w:rsid w:val="00FD5FC1"/>
    <w:rsid w:val="00FD625C"/>
    <w:rsid w:val="00FD6574"/>
    <w:rsid w:val="00FD70B4"/>
    <w:rsid w:val="00FD7283"/>
    <w:rsid w:val="00FD736A"/>
    <w:rsid w:val="00FD73A8"/>
    <w:rsid w:val="00FD756E"/>
    <w:rsid w:val="00FD7588"/>
    <w:rsid w:val="00FE019B"/>
    <w:rsid w:val="00FE03BE"/>
    <w:rsid w:val="00FE03E4"/>
    <w:rsid w:val="00FE054E"/>
    <w:rsid w:val="00FE0869"/>
    <w:rsid w:val="00FE0ACB"/>
    <w:rsid w:val="00FE1A7F"/>
    <w:rsid w:val="00FE1B9B"/>
    <w:rsid w:val="00FE202F"/>
    <w:rsid w:val="00FE24AE"/>
    <w:rsid w:val="00FE24E0"/>
    <w:rsid w:val="00FE27CE"/>
    <w:rsid w:val="00FE31C4"/>
    <w:rsid w:val="00FE43EC"/>
    <w:rsid w:val="00FE46A9"/>
    <w:rsid w:val="00FE4724"/>
    <w:rsid w:val="00FE4747"/>
    <w:rsid w:val="00FE5544"/>
    <w:rsid w:val="00FE569C"/>
    <w:rsid w:val="00FE5720"/>
    <w:rsid w:val="00FE5828"/>
    <w:rsid w:val="00FE6B00"/>
    <w:rsid w:val="00FE6CD0"/>
    <w:rsid w:val="00FE783B"/>
    <w:rsid w:val="00FE7BBD"/>
    <w:rsid w:val="00FF0127"/>
    <w:rsid w:val="00FF0390"/>
    <w:rsid w:val="00FF058E"/>
    <w:rsid w:val="00FF218B"/>
    <w:rsid w:val="00FF2FC8"/>
    <w:rsid w:val="00FF3252"/>
    <w:rsid w:val="00FF382B"/>
    <w:rsid w:val="00FF3B3D"/>
    <w:rsid w:val="00FF3E6E"/>
    <w:rsid w:val="00FF4348"/>
    <w:rsid w:val="00FF456D"/>
    <w:rsid w:val="00FF4DE6"/>
    <w:rsid w:val="00FF5576"/>
    <w:rsid w:val="00FF5A2F"/>
    <w:rsid w:val="00FF6191"/>
    <w:rsid w:val="00FF6967"/>
    <w:rsid w:val="00FF6A2F"/>
    <w:rsid w:val="00FF706D"/>
    <w:rsid w:val="00FF73C7"/>
    <w:rsid w:val="00FF7478"/>
    <w:rsid w:val="00FF7B8D"/>
    <w:rsid w:val="00FF7BCF"/>
    <w:rsid w:val="02672D80"/>
    <w:rsid w:val="02890D36"/>
    <w:rsid w:val="029E5458"/>
    <w:rsid w:val="02FF7A7B"/>
    <w:rsid w:val="03820F4E"/>
    <w:rsid w:val="03B77229"/>
    <w:rsid w:val="046702C7"/>
    <w:rsid w:val="07485E01"/>
    <w:rsid w:val="07F730C3"/>
    <w:rsid w:val="080055AF"/>
    <w:rsid w:val="08161CD1"/>
    <w:rsid w:val="08822685"/>
    <w:rsid w:val="091B377D"/>
    <w:rsid w:val="0ABF3E2E"/>
    <w:rsid w:val="0B441E89"/>
    <w:rsid w:val="0C362716"/>
    <w:rsid w:val="0D4C603B"/>
    <w:rsid w:val="0D6B2B13"/>
    <w:rsid w:val="12160F3D"/>
    <w:rsid w:val="1217313B"/>
    <w:rsid w:val="14C3401F"/>
    <w:rsid w:val="14EE06E6"/>
    <w:rsid w:val="15930E74"/>
    <w:rsid w:val="16232CE1"/>
    <w:rsid w:val="16324384"/>
    <w:rsid w:val="165F72C3"/>
    <w:rsid w:val="17394A28"/>
    <w:rsid w:val="17442DB9"/>
    <w:rsid w:val="17BA1AFE"/>
    <w:rsid w:val="18A93985"/>
    <w:rsid w:val="19EF621A"/>
    <w:rsid w:val="1A4E0334"/>
    <w:rsid w:val="1A722F70"/>
    <w:rsid w:val="1ABE55EE"/>
    <w:rsid w:val="1AE2543D"/>
    <w:rsid w:val="1AE81CB5"/>
    <w:rsid w:val="1AED613D"/>
    <w:rsid w:val="2046778D"/>
    <w:rsid w:val="20D14264"/>
    <w:rsid w:val="214F03B6"/>
    <w:rsid w:val="21B26DD5"/>
    <w:rsid w:val="222316BD"/>
    <w:rsid w:val="22B60C01"/>
    <w:rsid w:val="22D41FE3"/>
    <w:rsid w:val="23906366"/>
    <w:rsid w:val="24485B15"/>
    <w:rsid w:val="254B1EBF"/>
    <w:rsid w:val="25EF714A"/>
    <w:rsid w:val="26307BB3"/>
    <w:rsid w:val="26505EEA"/>
    <w:rsid w:val="272A364F"/>
    <w:rsid w:val="27357461"/>
    <w:rsid w:val="27991704"/>
    <w:rsid w:val="28B121D1"/>
    <w:rsid w:val="297E60A1"/>
    <w:rsid w:val="2A012DF7"/>
    <w:rsid w:val="2A110E94"/>
    <w:rsid w:val="2A583806"/>
    <w:rsid w:val="2A621B97"/>
    <w:rsid w:val="2AF8590E"/>
    <w:rsid w:val="2BEA0719"/>
    <w:rsid w:val="2C773801"/>
    <w:rsid w:val="2CD825A0"/>
    <w:rsid w:val="2CFF72D3"/>
    <w:rsid w:val="2D254C1E"/>
    <w:rsid w:val="2D7675C9"/>
    <w:rsid w:val="2D996648"/>
    <w:rsid w:val="2DC74427"/>
    <w:rsid w:val="2DFD4901"/>
    <w:rsid w:val="2E616BA4"/>
    <w:rsid w:val="2F643AC0"/>
    <w:rsid w:val="2F797671"/>
    <w:rsid w:val="2F9959A7"/>
    <w:rsid w:val="2FF16036"/>
    <w:rsid w:val="30A957E4"/>
    <w:rsid w:val="318E12DA"/>
    <w:rsid w:val="325B51AB"/>
    <w:rsid w:val="325B752F"/>
    <w:rsid w:val="347A0A28"/>
    <w:rsid w:val="34BC1492"/>
    <w:rsid w:val="35284044"/>
    <w:rsid w:val="353D6568"/>
    <w:rsid w:val="35C31BEF"/>
    <w:rsid w:val="35F863D8"/>
    <w:rsid w:val="36A46DB4"/>
    <w:rsid w:val="38145D11"/>
    <w:rsid w:val="3861258D"/>
    <w:rsid w:val="38621869"/>
    <w:rsid w:val="3B227B92"/>
    <w:rsid w:val="3C3C60E0"/>
    <w:rsid w:val="3C535D05"/>
    <w:rsid w:val="3D98059B"/>
    <w:rsid w:val="3ECA2BC7"/>
    <w:rsid w:val="3F135889"/>
    <w:rsid w:val="40A5279C"/>
    <w:rsid w:val="40BA2742"/>
    <w:rsid w:val="41741B70"/>
    <w:rsid w:val="41E06CA1"/>
    <w:rsid w:val="426339F7"/>
    <w:rsid w:val="431B31A5"/>
    <w:rsid w:val="437C64A6"/>
    <w:rsid w:val="452B6409"/>
    <w:rsid w:val="471E2FCB"/>
    <w:rsid w:val="479358FE"/>
    <w:rsid w:val="47D01EDF"/>
    <w:rsid w:val="4A4F0FFA"/>
    <w:rsid w:val="4B745559"/>
    <w:rsid w:val="4CE40C32"/>
    <w:rsid w:val="4E5B2D9E"/>
    <w:rsid w:val="4E98737F"/>
    <w:rsid w:val="4FDD1C15"/>
    <w:rsid w:val="516F6B28"/>
    <w:rsid w:val="52AA302D"/>
    <w:rsid w:val="534863AE"/>
    <w:rsid w:val="5357444A"/>
    <w:rsid w:val="54A41CF4"/>
    <w:rsid w:val="559E46B7"/>
    <w:rsid w:val="55ED318A"/>
    <w:rsid w:val="560378AC"/>
    <w:rsid w:val="567A0417"/>
    <w:rsid w:val="57B74F34"/>
    <w:rsid w:val="580C7901"/>
    <w:rsid w:val="582278A6"/>
    <w:rsid w:val="58427DDB"/>
    <w:rsid w:val="5843585C"/>
    <w:rsid w:val="58A545FC"/>
    <w:rsid w:val="5906339C"/>
    <w:rsid w:val="593D5A74"/>
    <w:rsid w:val="59723D50"/>
    <w:rsid w:val="5AE97F9E"/>
    <w:rsid w:val="5AEF0CBE"/>
    <w:rsid w:val="5B705D94"/>
    <w:rsid w:val="5CCC49CC"/>
    <w:rsid w:val="5D6F7A58"/>
    <w:rsid w:val="5DE6679D"/>
    <w:rsid w:val="5E277206"/>
    <w:rsid w:val="5E3D71AC"/>
    <w:rsid w:val="5EB34228"/>
    <w:rsid w:val="60260817"/>
    <w:rsid w:val="60E96A0A"/>
    <w:rsid w:val="61813705"/>
    <w:rsid w:val="61B6615E"/>
    <w:rsid w:val="6511265D"/>
    <w:rsid w:val="652512FD"/>
    <w:rsid w:val="663F0B50"/>
    <w:rsid w:val="669811DF"/>
    <w:rsid w:val="66EF1BEE"/>
    <w:rsid w:val="68823A6F"/>
    <w:rsid w:val="691163F0"/>
    <w:rsid w:val="69C61397"/>
    <w:rsid w:val="6A7E0B45"/>
    <w:rsid w:val="6A935267"/>
    <w:rsid w:val="6B410883"/>
    <w:rsid w:val="6B5862AA"/>
    <w:rsid w:val="6C25217A"/>
    <w:rsid w:val="6C3A2120"/>
    <w:rsid w:val="6CCD6D38"/>
    <w:rsid w:val="7105557C"/>
    <w:rsid w:val="72F90EAF"/>
    <w:rsid w:val="73707BF4"/>
    <w:rsid w:val="74030796"/>
    <w:rsid w:val="7475039B"/>
    <w:rsid w:val="74F71DB0"/>
    <w:rsid w:val="758F436B"/>
    <w:rsid w:val="75D00657"/>
    <w:rsid w:val="76286AE8"/>
    <w:rsid w:val="76936197"/>
    <w:rsid w:val="78A06277"/>
    <w:rsid w:val="78DD2859"/>
    <w:rsid w:val="79C11BD2"/>
    <w:rsid w:val="7A385094"/>
    <w:rsid w:val="7A795AFD"/>
    <w:rsid w:val="7A905722"/>
    <w:rsid w:val="7B063163"/>
    <w:rsid w:val="7CC321BF"/>
    <w:rsid w:val="7CEF6506"/>
    <w:rsid w:val="7CF03F88"/>
    <w:rsid w:val="7DA75CB5"/>
    <w:rsid w:val="7FF83F00"/>
  </w:rsids>
  <m:mathPr>
    <m:mathFont m:val="Cambria Math"/>
    <m:brkBin m:val="before"/>
    <m:brkBinSub m:val="--"/>
    <m:smallFrac m:val="0"/>
    <m:dispDef/>
    <m:lMargin m:val="432"/>
    <m:rMargin m:val="0"/>
    <m:defJc m:val="left"/>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99"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0" w:semiHidden="0" w:name="Date"/>
    <w:lsdException w:uiPriority="0" w:name="Body Text First Indent"/>
    <w:lsdException w:uiPriority="0" w:name="Body Text First Indent 2"/>
    <w:lsdException w:uiPriority="0" w:name="Note Heading"/>
    <w:lsdException w:qFormat="1" w:uiPriority="99" w:semiHidden="0" w:name="Body Text 2"/>
    <w:lsdException w:uiPriority="0" w:name="Body Text 3"/>
    <w:lsdException w:qFormat="1" w:uiPriority="99"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宋体"/>
      <w:kern w:val="2"/>
      <w:sz w:val="24"/>
      <w:szCs w:val="22"/>
      <w:lang w:val="en-US" w:eastAsia="zh-CN" w:bidi="ar-SA"/>
    </w:rPr>
  </w:style>
  <w:style w:type="paragraph" w:styleId="2">
    <w:name w:val="heading 1"/>
    <w:basedOn w:val="1"/>
    <w:next w:val="1"/>
    <w:link w:val="86"/>
    <w:qFormat/>
    <w:uiPriority w:val="0"/>
    <w:pPr>
      <w:keepNext/>
      <w:keepLines/>
      <w:ind w:firstLine="0" w:firstLineChars="0"/>
      <w:jc w:val="center"/>
      <w:outlineLvl w:val="0"/>
    </w:pPr>
    <w:rPr>
      <w:b/>
      <w:bCs/>
      <w:kern w:val="44"/>
      <w:sz w:val="32"/>
      <w:szCs w:val="44"/>
    </w:rPr>
  </w:style>
  <w:style w:type="paragraph" w:styleId="3">
    <w:name w:val="heading 2"/>
    <w:basedOn w:val="1"/>
    <w:next w:val="1"/>
    <w:link w:val="81"/>
    <w:qFormat/>
    <w:uiPriority w:val="9"/>
    <w:pPr>
      <w:keepNext/>
      <w:keepLines/>
      <w:ind w:firstLine="0" w:firstLineChars="0"/>
      <w:outlineLvl w:val="1"/>
    </w:pPr>
    <w:rPr>
      <w:b/>
      <w:bCs/>
      <w:sz w:val="28"/>
      <w:szCs w:val="32"/>
    </w:rPr>
  </w:style>
  <w:style w:type="paragraph" w:styleId="4">
    <w:name w:val="heading 3"/>
    <w:basedOn w:val="1"/>
    <w:next w:val="1"/>
    <w:link w:val="88"/>
    <w:qFormat/>
    <w:uiPriority w:val="0"/>
    <w:pPr>
      <w:keepNext/>
      <w:keepLines/>
      <w:ind w:firstLine="0" w:firstLineChars="0"/>
      <w:outlineLvl w:val="2"/>
    </w:pPr>
    <w:rPr>
      <w:b/>
      <w:bCs/>
      <w:szCs w:val="32"/>
    </w:rPr>
  </w:style>
  <w:style w:type="paragraph" w:styleId="5">
    <w:name w:val="heading 4"/>
    <w:basedOn w:val="1"/>
    <w:next w:val="1"/>
    <w:link w:val="90"/>
    <w:qFormat/>
    <w:uiPriority w:val="0"/>
    <w:pPr>
      <w:keepNext/>
      <w:keepLines/>
      <w:spacing w:before="30" w:after="30" w:line="377" w:lineRule="auto"/>
      <w:ind w:firstLine="0" w:firstLineChars="0"/>
      <w:outlineLvl w:val="3"/>
    </w:pPr>
    <w:rPr>
      <w:bCs/>
      <w:szCs w:val="28"/>
    </w:rPr>
  </w:style>
  <w:style w:type="paragraph" w:styleId="6">
    <w:name w:val="heading 5"/>
    <w:basedOn w:val="1"/>
    <w:next w:val="1"/>
    <w:link w:val="91"/>
    <w:qFormat/>
    <w:uiPriority w:val="9"/>
    <w:pPr>
      <w:keepNext/>
      <w:keepLines/>
      <w:ind w:firstLine="0" w:firstLineChars="0"/>
      <w:outlineLvl w:val="4"/>
    </w:pPr>
    <w:rPr>
      <w:bCs/>
      <w:szCs w:val="28"/>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unhideWhenUsed/>
    <w:qFormat/>
    <w:uiPriority w:val="39"/>
    <w:pPr>
      <w:ind w:left="1440"/>
      <w:jc w:val="left"/>
    </w:pPr>
    <w:rPr>
      <w:rFonts w:ascii="Calibri" w:hAnsi="Calibri"/>
      <w:sz w:val="18"/>
      <w:szCs w:val="18"/>
    </w:rPr>
  </w:style>
  <w:style w:type="paragraph" w:styleId="8">
    <w:name w:val="Normal Indent"/>
    <w:basedOn w:val="1"/>
    <w:link w:val="113"/>
    <w:qFormat/>
    <w:uiPriority w:val="0"/>
    <w:pPr>
      <w:spacing w:line="240" w:lineRule="auto"/>
      <w:ind w:firstLine="420"/>
    </w:pPr>
    <w:rPr>
      <w:rFonts w:cs="Times New Roman"/>
      <w:sz w:val="28"/>
      <w:szCs w:val="24"/>
    </w:rPr>
  </w:style>
  <w:style w:type="paragraph" w:styleId="9">
    <w:name w:val="caption"/>
    <w:basedOn w:val="1"/>
    <w:next w:val="1"/>
    <w:qFormat/>
    <w:uiPriority w:val="0"/>
    <w:pPr>
      <w:spacing w:line="240" w:lineRule="auto"/>
      <w:ind w:firstLine="0" w:firstLineChars="0"/>
    </w:pPr>
    <w:rPr>
      <w:rFonts w:ascii="Arial" w:hAnsi="Arial" w:eastAsia="黑体" w:cs="Arial"/>
      <w:sz w:val="20"/>
      <w:szCs w:val="20"/>
    </w:rPr>
  </w:style>
  <w:style w:type="paragraph" w:styleId="10">
    <w:name w:val="Document Map"/>
    <w:basedOn w:val="1"/>
    <w:link w:val="162"/>
    <w:semiHidden/>
    <w:qFormat/>
    <w:uiPriority w:val="0"/>
    <w:pPr>
      <w:shd w:val="clear" w:color="auto" w:fill="000080"/>
    </w:pPr>
  </w:style>
  <w:style w:type="paragraph" w:styleId="11">
    <w:name w:val="annotation text"/>
    <w:basedOn w:val="1"/>
    <w:link w:val="151"/>
    <w:qFormat/>
    <w:uiPriority w:val="0"/>
    <w:pPr>
      <w:autoSpaceDE w:val="0"/>
      <w:autoSpaceDN w:val="0"/>
      <w:spacing w:line="240" w:lineRule="auto"/>
      <w:ind w:firstLine="0" w:firstLineChars="0"/>
      <w:jc w:val="left"/>
    </w:pPr>
    <w:rPr>
      <w:rFonts w:ascii="宋体" w:hAnsi="宋体"/>
      <w:kern w:val="0"/>
      <w:sz w:val="22"/>
      <w:lang w:val="zh-CN" w:bidi="zh-CN"/>
    </w:rPr>
  </w:style>
  <w:style w:type="paragraph" w:styleId="12">
    <w:name w:val="Body Text"/>
    <w:basedOn w:val="1"/>
    <w:link w:val="83"/>
    <w:unhideWhenUsed/>
    <w:qFormat/>
    <w:uiPriority w:val="99"/>
    <w:pPr>
      <w:spacing w:after="120"/>
    </w:pPr>
  </w:style>
  <w:style w:type="paragraph" w:styleId="13">
    <w:name w:val="Body Text Indent"/>
    <w:basedOn w:val="1"/>
    <w:link w:val="94"/>
    <w:qFormat/>
    <w:uiPriority w:val="0"/>
    <w:pPr>
      <w:spacing w:beforeLines="100" w:line="480" w:lineRule="exact"/>
      <w:ind w:firstLine="560"/>
    </w:pPr>
    <w:rPr>
      <w:sz w:val="28"/>
      <w:szCs w:val="24"/>
    </w:rPr>
  </w:style>
  <w:style w:type="paragraph" w:styleId="14">
    <w:name w:val="Block Text"/>
    <w:basedOn w:val="1"/>
    <w:qFormat/>
    <w:uiPriority w:val="0"/>
    <w:pPr>
      <w:adjustRightInd w:val="0"/>
      <w:ind w:firstLine="567" w:firstLineChars="0"/>
      <w:textAlignment w:val="bottom"/>
    </w:pPr>
    <w:rPr>
      <w:kern w:val="0"/>
      <w:szCs w:val="20"/>
    </w:rPr>
  </w:style>
  <w:style w:type="paragraph" w:styleId="15">
    <w:name w:val="toc 5"/>
    <w:basedOn w:val="1"/>
    <w:next w:val="1"/>
    <w:unhideWhenUsed/>
    <w:qFormat/>
    <w:uiPriority w:val="39"/>
    <w:pPr>
      <w:ind w:left="960"/>
      <w:jc w:val="left"/>
    </w:pPr>
    <w:rPr>
      <w:rFonts w:ascii="Calibri" w:hAnsi="Calibri"/>
      <w:sz w:val="18"/>
      <w:szCs w:val="18"/>
    </w:rPr>
  </w:style>
  <w:style w:type="paragraph" w:styleId="16">
    <w:name w:val="toc 3"/>
    <w:basedOn w:val="1"/>
    <w:next w:val="1"/>
    <w:unhideWhenUsed/>
    <w:qFormat/>
    <w:uiPriority w:val="39"/>
    <w:pPr>
      <w:ind w:left="480"/>
      <w:jc w:val="left"/>
    </w:pPr>
    <w:rPr>
      <w:rFonts w:ascii="Calibri" w:hAnsi="Calibri"/>
      <w:i/>
      <w:iCs/>
      <w:sz w:val="20"/>
      <w:szCs w:val="20"/>
    </w:rPr>
  </w:style>
  <w:style w:type="paragraph" w:styleId="17">
    <w:name w:val="Plain Text"/>
    <w:basedOn w:val="1"/>
    <w:link w:val="93"/>
    <w:qFormat/>
    <w:uiPriority w:val="0"/>
    <w:pPr>
      <w:spacing w:line="240" w:lineRule="auto"/>
      <w:ind w:firstLine="0" w:firstLineChars="0"/>
    </w:pPr>
    <w:rPr>
      <w:rFonts w:ascii="宋体" w:hAnsi="Courier New" w:cs="Courier New"/>
      <w:sz w:val="21"/>
      <w:szCs w:val="21"/>
    </w:rPr>
  </w:style>
  <w:style w:type="paragraph" w:styleId="18">
    <w:name w:val="toc 8"/>
    <w:basedOn w:val="1"/>
    <w:next w:val="1"/>
    <w:unhideWhenUsed/>
    <w:qFormat/>
    <w:uiPriority w:val="39"/>
    <w:pPr>
      <w:ind w:left="1680"/>
      <w:jc w:val="left"/>
    </w:pPr>
    <w:rPr>
      <w:rFonts w:ascii="Calibri" w:hAnsi="Calibri"/>
      <w:sz w:val="18"/>
      <w:szCs w:val="18"/>
    </w:rPr>
  </w:style>
  <w:style w:type="paragraph" w:styleId="19">
    <w:name w:val="Date"/>
    <w:basedOn w:val="1"/>
    <w:next w:val="1"/>
    <w:link w:val="84"/>
    <w:unhideWhenUsed/>
    <w:qFormat/>
    <w:uiPriority w:val="0"/>
    <w:pPr>
      <w:ind w:left="100" w:leftChars="2500"/>
    </w:pPr>
  </w:style>
  <w:style w:type="paragraph" w:styleId="20">
    <w:name w:val="Body Text Indent 2"/>
    <w:basedOn w:val="1"/>
    <w:link w:val="95"/>
    <w:unhideWhenUsed/>
    <w:qFormat/>
    <w:uiPriority w:val="99"/>
    <w:pPr>
      <w:spacing w:after="120" w:line="480" w:lineRule="auto"/>
      <w:ind w:left="420" w:leftChars="200"/>
    </w:pPr>
  </w:style>
  <w:style w:type="paragraph" w:styleId="21">
    <w:name w:val="Balloon Text"/>
    <w:basedOn w:val="1"/>
    <w:link w:val="101"/>
    <w:unhideWhenUsed/>
    <w:qFormat/>
    <w:uiPriority w:val="99"/>
    <w:pPr>
      <w:spacing w:line="240" w:lineRule="auto"/>
    </w:pPr>
    <w:rPr>
      <w:sz w:val="18"/>
      <w:szCs w:val="18"/>
    </w:rPr>
  </w:style>
  <w:style w:type="paragraph" w:styleId="22">
    <w:name w:val="footer"/>
    <w:basedOn w:val="1"/>
    <w:link w:val="92"/>
    <w:unhideWhenUsed/>
    <w:qFormat/>
    <w:uiPriority w:val="99"/>
    <w:pPr>
      <w:tabs>
        <w:tab w:val="center" w:pos="4153"/>
        <w:tab w:val="right" w:pos="8306"/>
      </w:tabs>
      <w:snapToGrid w:val="0"/>
      <w:jc w:val="left"/>
    </w:pPr>
    <w:rPr>
      <w:sz w:val="18"/>
      <w:szCs w:val="18"/>
    </w:rPr>
  </w:style>
  <w:style w:type="paragraph" w:styleId="23">
    <w:name w:val="header"/>
    <w:basedOn w:val="1"/>
    <w:link w:val="163"/>
    <w:qFormat/>
    <w:uiPriority w:val="0"/>
    <w:pPr>
      <w:pBdr>
        <w:bottom w:val="thinThickSmallGap" w:color="auto" w:sz="24" w:space="1"/>
      </w:pBdr>
      <w:tabs>
        <w:tab w:val="center" w:pos="4153"/>
        <w:tab w:val="right" w:pos="8306"/>
      </w:tabs>
      <w:snapToGrid w:val="0"/>
      <w:spacing w:line="240" w:lineRule="auto"/>
      <w:jc w:val="center"/>
    </w:pPr>
    <w:rPr>
      <w:sz w:val="18"/>
      <w:szCs w:val="18"/>
    </w:rPr>
  </w:style>
  <w:style w:type="paragraph" w:styleId="24">
    <w:name w:val="toc 1"/>
    <w:basedOn w:val="1"/>
    <w:next w:val="1"/>
    <w:unhideWhenUsed/>
    <w:qFormat/>
    <w:uiPriority w:val="39"/>
    <w:pPr>
      <w:jc w:val="left"/>
    </w:pPr>
    <w:rPr>
      <w:b/>
      <w:bCs/>
      <w:caps/>
      <w:szCs w:val="20"/>
    </w:rPr>
  </w:style>
  <w:style w:type="paragraph" w:styleId="25">
    <w:name w:val="toc 4"/>
    <w:basedOn w:val="1"/>
    <w:next w:val="1"/>
    <w:unhideWhenUsed/>
    <w:qFormat/>
    <w:uiPriority w:val="39"/>
    <w:pPr>
      <w:ind w:left="720"/>
      <w:jc w:val="left"/>
    </w:pPr>
    <w:rPr>
      <w:rFonts w:ascii="Calibri" w:hAnsi="Calibri"/>
      <w:sz w:val="18"/>
      <w:szCs w:val="18"/>
    </w:rPr>
  </w:style>
  <w:style w:type="paragraph" w:styleId="26">
    <w:name w:val="toc 6"/>
    <w:basedOn w:val="1"/>
    <w:next w:val="1"/>
    <w:unhideWhenUsed/>
    <w:qFormat/>
    <w:uiPriority w:val="39"/>
    <w:pPr>
      <w:ind w:left="1200"/>
      <w:jc w:val="left"/>
    </w:pPr>
    <w:rPr>
      <w:rFonts w:ascii="Calibri" w:hAnsi="Calibri"/>
      <w:sz w:val="18"/>
      <w:szCs w:val="18"/>
    </w:rPr>
  </w:style>
  <w:style w:type="paragraph" w:styleId="27">
    <w:name w:val="Body Text Indent 3"/>
    <w:basedOn w:val="1"/>
    <w:link w:val="79"/>
    <w:qFormat/>
    <w:uiPriority w:val="0"/>
    <w:pPr>
      <w:spacing w:line="240" w:lineRule="auto"/>
      <w:ind w:left="420" w:leftChars="200" w:firstLine="0" w:firstLineChars="0"/>
    </w:pPr>
    <w:rPr>
      <w:sz w:val="16"/>
      <w:szCs w:val="16"/>
    </w:rPr>
  </w:style>
  <w:style w:type="paragraph" w:styleId="28">
    <w:name w:val="toc 2"/>
    <w:basedOn w:val="1"/>
    <w:next w:val="1"/>
    <w:unhideWhenUsed/>
    <w:qFormat/>
    <w:uiPriority w:val="39"/>
    <w:pPr>
      <w:tabs>
        <w:tab w:val="right" w:leader="dot" w:pos="8302"/>
      </w:tabs>
      <w:spacing w:before="62" w:after="62"/>
      <w:ind w:left="240" w:firstLine="480"/>
      <w:jc w:val="left"/>
    </w:pPr>
    <w:rPr>
      <w:smallCaps/>
      <w:szCs w:val="20"/>
    </w:rPr>
  </w:style>
  <w:style w:type="paragraph" w:styleId="29">
    <w:name w:val="toc 9"/>
    <w:basedOn w:val="1"/>
    <w:next w:val="1"/>
    <w:unhideWhenUsed/>
    <w:qFormat/>
    <w:uiPriority w:val="39"/>
    <w:pPr>
      <w:ind w:left="1920"/>
      <w:jc w:val="left"/>
    </w:pPr>
    <w:rPr>
      <w:rFonts w:ascii="Calibri" w:hAnsi="Calibri"/>
      <w:sz w:val="18"/>
      <w:szCs w:val="18"/>
    </w:rPr>
  </w:style>
  <w:style w:type="paragraph" w:styleId="30">
    <w:name w:val="Body Text 2"/>
    <w:basedOn w:val="1"/>
    <w:link w:val="98"/>
    <w:unhideWhenUsed/>
    <w:qFormat/>
    <w:uiPriority w:val="99"/>
    <w:pPr>
      <w:spacing w:after="120" w:line="480" w:lineRule="auto"/>
    </w:pPr>
  </w:style>
  <w:style w:type="paragraph" w:styleId="31">
    <w:name w:val="Normal (Web)"/>
    <w:basedOn w:val="1"/>
    <w:qFormat/>
    <w:uiPriority w:val="99"/>
    <w:pPr>
      <w:widowControl/>
      <w:spacing w:beforeAutospacing="1" w:afterAutospacing="1" w:line="240" w:lineRule="auto"/>
      <w:ind w:firstLine="0" w:firstLineChars="0"/>
      <w:jc w:val="left"/>
    </w:pPr>
    <w:rPr>
      <w:rFonts w:ascii="宋体" w:hAnsi="宋体"/>
      <w:kern w:val="0"/>
      <w:szCs w:val="24"/>
    </w:rPr>
  </w:style>
  <w:style w:type="paragraph" w:styleId="32">
    <w:name w:val="Title"/>
    <w:basedOn w:val="1"/>
    <w:next w:val="1"/>
    <w:link w:val="87"/>
    <w:qFormat/>
    <w:uiPriority w:val="10"/>
    <w:pPr>
      <w:spacing w:before="60" w:after="60"/>
      <w:jc w:val="left"/>
      <w:outlineLvl w:val="2"/>
    </w:pPr>
    <w:rPr>
      <w:b/>
      <w:bCs/>
      <w:sz w:val="32"/>
      <w:szCs w:val="32"/>
    </w:rPr>
  </w:style>
  <w:style w:type="table" w:styleId="34">
    <w:name w:val="Table Grid"/>
    <w:basedOn w:val="33"/>
    <w:qFormat/>
    <w:uiPriority w:val="59"/>
    <w:pPr>
      <w:widowControl w:val="0"/>
      <w:spacing w:beforeLines="30" w:afterLines="30"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page number"/>
    <w:basedOn w:val="35"/>
    <w:qFormat/>
    <w:uiPriority w:val="0"/>
  </w:style>
  <w:style w:type="character" w:styleId="37">
    <w:name w:val="Emphasis"/>
    <w:basedOn w:val="35"/>
    <w:qFormat/>
    <w:uiPriority w:val="20"/>
    <w:rPr>
      <w:i/>
      <w:iCs/>
    </w:rPr>
  </w:style>
  <w:style w:type="character" w:styleId="38">
    <w:name w:val="Hyperlink"/>
    <w:basedOn w:val="35"/>
    <w:unhideWhenUsed/>
    <w:qFormat/>
    <w:uiPriority w:val="99"/>
    <w:rPr>
      <w:color w:val="333333"/>
      <w:u w:val="none"/>
    </w:rPr>
  </w:style>
  <w:style w:type="paragraph" w:customStyle="1" w:styleId="39">
    <w:name w:val="表中文字"/>
    <w:qFormat/>
    <w:uiPriority w:val="0"/>
    <w:pPr>
      <w:adjustRightInd w:val="0"/>
      <w:snapToGrid w:val="0"/>
      <w:jc w:val="center"/>
    </w:pPr>
    <w:rPr>
      <w:rFonts w:ascii="宋体" w:hAnsi="宋体" w:eastAsia="宋体" w:cs="宋体"/>
      <w:sz w:val="18"/>
      <w:szCs w:val="21"/>
      <w:lang w:val="en-US" w:eastAsia="zh-CN" w:bidi="ar-SA"/>
    </w:rPr>
  </w:style>
  <w:style w:type="paragraph" w:customStyle="1" w:styleId="40">
    <w:name w:val="xl24"/>
    <w:basedOn w:val="1"/>
    <w:qFormat/>
    <w:uiPriority w:val="0"/>
    <w:pPr>
      <w:widowControl/>
      <w:spacing w:beforeAutospacing="1" w:afterAutospacing="1" w:line="240" w:lineRule="auto"/>
      <w:ind w:firstLine="0" w:firstLineChars="0"/>
      <w:jc w:val="center"/>
      <w:textAlignment w:val="center"/>
    </w:pPr>
    <w:rPr>
      <w:rFonts w:ascii="宋体" w:hAnsi="宋体"/>
      <w:kern w:val="0"/>
      <w:szCs w:val="24"/>
    </w:rPr>
  </w:style>
  <w:style w:type="paragraph" w:customStyle="1" w:styleId="41">
    <w:name w:val="0"/>
    <w:basedOn w:val="1"/>
    <w:qFormat/>
    <w:uiPriority w:val="0"/>
    <w:pPr>
      <w:widowControl/>
      <w:snapToGrid w:val="0"/>
      <w:spacing w:line="240" w:lineRule="auto"/>
      <w:ind w:firstLine="0" w:firstLineChars="0"/>
    </w:pPr>
    <w:rPr>
      <w:kern w:val="0"/>
      <w:sz w:val="20"/>
      <w:szCs w:val="20"/>
    </w:rPr>
  </w:style>
  <w:style w:type="paragraph" w:customStyle="1" w:styleId="42">
    <w:name w:val="标准正文"/>
    <w:basedOn w:val="1"/>
    <w:link w:val="99"/>
    <w:qFormat/>
    <w:uiPriority w:val="0"/>
    <w:pPr>
      <w:spacing w:line="480" w:lineRule="auto"/>
      <w:ind w:firstLine="560"/>
    </w:pPr>
    <w:rPr>
      <w:rFonts w:ascii="宋体" w:hAnsi="宋体"/>
      <w:sz w:val="28"/>
      <w:szCs w:val="24"/>
    </w:rPr>
  </w:style>
  <w:style w:type="paragraph" w:customStyle="1" w:styleId="43">
    <w:name w:val="正文g"/>
    <w:basedOn w:val="1"/>
    <w:link w:val="82"/>
    <w:qFormat/>
    <w:uiPriority w:val="0"/>
    <w:pPr>
      <w:ind w:firstLine="480"/>
      <w:jc w:val="center"/>
    </w:pPr>
    <w:rPr>
      <w:szCs w:val="24"/>
    </w:rPr>
  </w:style>
  <w:style w:type="paragraph" w:customStyle="1" w:styleId="44">
    <w:name w:val="样式 首行缩进:  2 字符"/>
    <w:basedOn w:val="1"/>
    <w:link w:val="118"/>
    <w:qFormat/>
    <w:uiPriority w:val="0"/>
    <w:pPr>
      <w:spacing w:line="480" w:lineRule="exact"/>
      <w:ind w:firstLine="480"/>
    </w:pPr>
    <w:rPr>
      <w:snapToGrid w:val="0"/>
      <w:szCs w:val="24"/>
    </w:rPr>
  </w:style>
  <w:style w:type="paragraph" w:customStyle="1" w:styleId="45">
    <w:name w:val="Char1"/>
    <w:basedOn w:val="1"/>
    <w:qFormat/>
    <w:uiPriority w:val="0"/>
    <w:pPr>
      <w:spacing w:line="240" w:lineRule="auto"/>
      <w:ind w:firstLine="0" w:firstLineChars="0"/>
    </w:pPr>
    <w:rPr>
      <w:rFonts w:cs="Times New Roman"/>
      <w:sz w:val="21"/>
      <w:szCs w:val="24"/>
    </w:rPr>
  </w:style>
  <w:style w:type="paragraph" w:customStyle="1" w:styleId="46">
    <w:name w:val="无间隔1"/>
    <w:qFormat/>
    <w:uiPriority w:val="1"/>
    <w:pPr>
      <w:widowControl w:val="0"/>
      <w:spacing w:beforeLines="30" w:afterLines="30"/>
      <w:ind w:firstLine="200" w:firstLineChars="200"/>
      <w:jc w:val="both"/>
    </w:pPr>
    <w:rPr>
      <w:rFonts w:ascii="Times New Roman" w:hAnsi="Times New Roman" w:eastAsia="宋体" w:cs="宋体"/>
      <w:kern w:val="2"/>
      <w:sz w:val="24"/>
      <w:szCs w:val="22"/>
      <w:lang w:val="en-US" w:eastAsia="zh-CN" w:bidi="ar-SA"/>
    </w:rPr>
  </w:style>
  <w:style w:type="paragraph" w:customStyle="1" w:styleId="47">
    <w:name w:val="段落1 Char"/>
    <w:basedOn w:val="1"/>
    <w:link w:val="78"/>
    <w:qFormat/>
    <w:uiPriority w:val="0"/>
    <w:pPr>
      <w:snapToGrid w:val="0"/>
      <w:spacing w:line="240" w:lineRule="auto"/>
      <w:ind w:firstLine="482"/>
      <w:jc w:val="right"/>
    </w:pPr>
    <w:rPr>
      <w:rFonts w:ascii="宋体" w:hAnsi="宋体"/>
      <w:b/>
      <w:szCs w:val="24"/>
    </w:rPr>
  </w:style>
  <w:style w:type="paragraph" w:customStyle="1" w:styleId="48">
    <w:name w:val="1 Char"/>
    <w:basedOn w:val="1"/>
    <w:qFormat/>
    <w:uiPriority w:val="0"/>
    <w:pPr>
      <w:spacing w:line="240" w:lineRule="auto"/>
      <w:ind w:firstLine="0" w:firstLineChars="0"/>
    </w:pPr>
    <w:rPr>
      <w:rFonts w:ascii="Tahoma" w:hAnsi="Tahoma"/>
      <w:szCs w:val="20"/>
    </w:rPr>
  </w:style>
  <w:style w:type="paragraph" w:customStyle="1" w:styleId="49">
    <w:name w:val="样式 首行缩进:  2 字符 段前: 0.3 行 段后: 0.3 行 行距: 1.5 倍行距"/>
    <w:basedOn w:val="1"/>
    <w:qFormat/>
    <w:uiPriority w:val="0"/>
    <w:pPr>
      <w:spacing w:beforeLines="30" w:afterLines="30"/>
      <w:ind w:firstLine="560"/>
    </w:pPr>
    <w:rPr>
      <w:sz w:val="28"/>
      <w:szCs w:val="20"/>
    </w:rPr>
  </w:style>
  <w:style w:type="paragraph" w:customStyle="1" w:styleId="50">
    <w:name w:val="p0"/>
    <w:basedOn w:val="1"/>
    <w:qFormat/>
    <w:uiPriority w:val="0"/>
    <w:pPr>
      <w:widowControl/>
      <w:ind w:firstLine="420" w:firstLineChars="0"/>
    </w:pPr>
    <w:rPr>
      <w:rFonts w:cs="Times New Roman"/>
      <w:kern w:val="0"/>
      <w:szCs w:val="24"/>
    </w:rPr>
  </w:style>
  <w:style w:type="paragraph" w:customStyle="1" w:styleId="51">
    <w:name w:val="注释文字"/>
    <w:qFormat/>
    <w:uiPriority w:val="0"/>
    <w:pPr>
      <w:widowControl w:val="0"/>
      <w:jc w:val="both"/>
    </w:pPr>
    <w:rPr>
      <w:rFonts w:ascii="Times New Roman" w:hAnsi="Times New Roman" w:eastAsia="宋体" w:cs="宋体"/>
      <w:kern w:val="2"/>
      <w:sz w:val="21"/>
      <w:szCs w:val="24"/>
      <w:lang w:val="en-US" w:eastAsia="zh-CN" w:bidi="ar-SA"/>
    </w:rPr>
  </w:style>
  <w:style w:type="paragraph" w:customStyle="1" w:styleId="52">
    <w:name w:val="样式 首行缩进:  2 字符 段前: 0.3 行 段后: 0.3 行"/>
    <w:basedOn w:val="1"/>
    <w:qFormat/>
    <w:uiPriority w:val="0"/>
    <w:pPr>
      <w:spacing w:before="93" w:after="93"/>
      <w:ind w:firstLine="480"/>
    </w:pPr>
    <w:rPr>
      <w:sz w:val="30"/>
      <w:szCs w:val="20"/>
    </w:rPr>
  </w:style>
  <w:style w:type="paragraph" w:customStyle="1" w:styleId="53">
    <w:name w:val="样式 样式 样式 正文 + 首行缩进:  2 字符 Char Char + 首行缩进:  2 字符 + 黑色 首行缩进:  2..."/>
    <w:basedOn w:val="1"/>
    <w:qFormat/>
    <w:uiPriority w:val="0"/>
    <w:pPr>
      <w:spacing w:line="180" w:lineRule="auto"/>
      <w:ind w:firstLine="512"/>
    </w:pPr>
    <w:rPr>
      <w:color w:val="000000"/>
      <w:spacing w:val="8"/>
      <w:szCs w:val="20"/>
    </w:rPr>
  </w:style>
  <w:style w:type="paragraph" w:customStyle="1" w:styleId="54">
    <w:name w:val="1"/>
    <w:basedOn w:val="1"/>
    <w:next w:val="13"/>
    <w:qFormat/>
    <w:uiPriority w:val="0"/>
    <w:pPr>
      <w:spacing w:line="240" w:lineRule="auto"/>
      <w:ind w:firstLine="805" w:firstLineChars="0"/>
    </w:pPr>
    <w:rPr>
      <w:rFonts w:ascii="仿宋_GB2312" w:eastAsia="仿宋_GB2312"/>
      <w:spacing w:val="40"/>
      <w:sz w:val="32"/>
      <w:szCs w:val="20"/>
    </w:rPr>
  </w:style>
  <w:style w:type="paragraph" w:customStyle="1" w:styleId="55">
    <w:name w:val="Char"/>
    <w:basedOn w:val="1"/>
    <w:qFormat/>
    <w:uiPriority w:val="0"/>
    <w:rPr>
      <w:rFonts w:ascii="宋体" w:hAnsi="宋体"/>
      <w:szCs w:val="24"/>
    </w:rPr>
  </w:style>
  <w:style w:type="paragraph" w:customStyle="1" w:styleId="56">
    <w:name w:val="段落"/>
    <w:basedOn w:val="1"/>
    <w:qFormat/>
    <w:uiPriority w:val="0"/>
    <w:pPr>
      <w:spacing w:line="240" w:lineRule="auto"/>
      <w:ind w:firstLine="643"/>
    </w:pPr>
    <w:rPr>
      <w:rFonts w:ascii="仿宋_GB2312" w:eastAsia="仿宋_GB2312"/>
      <w:b/>
      <w:sz w:val="32"/>
      <w:szCs w:val="24"/>
    </w:rPr>
  </w:style>
  <w:style w:type="paragraph" w:customStyle="1" w:styleId="57">
    <w:name w:val="样式 样式 首行缩进:  2 字符 段前: 0.3 行 段后: 0.3 行 + 首行缩进:  2 字符1"/>
    <w:basedOn w:val="1"/>
    <w:qFormat/>
    <w:uiPriority w:val="0"/>
    <w:rPr>
      <w:sz w:val="30"/>
      <w:szCs w:val="20"/>
    </w:rPr>
  </w:style>
  <w:style w:type="paragraph" w:customStyle="1" w:styleId="58">
    <w:name w:val="图中文字"/>
    <w:qFormat/>
    <w:uiPriority w:val="0"/>
    <w:pPr>
      <w:widowControl w:val="0"/>
      <w:snapToGrid w:val="0"/>
      <w:spacing w:line="340" w:lineRule="exact"/>
      <w:jc w:val="center"/>
    </w:pPr>
    <w:rPr>
      <w:rFonts w:ascii="宋体" w:hAnsi="Times New Roman" w:eastAsia="宋体" w:cs="宋体"/>
      <w:kern w:val="2"/>
      <w:sz w:val="21"/>
      <w:szCs w:val="21"/>
      <w:lang w:val="en-US" w:eastAsia="zh-CN" w:bidi="ar-SA"/>
    </w:rPr>
  </w:style>
  <w:style w:type="paragraph" w:customStyle="1" w:styleId="59">
    <w:name w:val="xl28"/>
    <w:basedOn w:val="1"/>
    <w:qFormat/>
    <w:uiPriority w:val="0"/>
    <w:pPr>
      <w:widowControl/>
      <w:pBdr>
        <w:bottom w:val="single" w:color="auto" w:sz="4" w:space="0"/>
      </w:pBdr>
      <w:spacing w:line="240" w:lineRule="auto"/>
      <w:ind w:firstLine="0" w:firstLineChars="0"/>
      <w:jc w:val="center"/>
    </w:pPr>
    <w:rPr>
      <w:rFonts w:ascii="宋体" w:hAnsi="宋体"/>
      <w:kern w:val="0"/>
      <w:sz w:val="28"/>
      <w:szCs w:val="20"/>
    </w:rPr>
  </w:style>
  <w:style w:type="paragraph" w:customStyle="1" w:styleId="60">
    <w:name w:val="样式 标题 2 + 段前: 0.3 行 段后: 0.3 行"/>
    <w:basedOn w:val="3"/>
    <w:qFormat/>
    <w:uiPriority w:val="0"/>
    <w:pPr>
      <w:spacing w:before="93" w:after="93"/>
    </w:pPr>
    <w:rPr>
      <w:sz w:val="32"/>
      <w:szCs w:val="20"/>
    </w:rPr>
  </w:style>
  <w:style w:type="paragraph" w:customStyle="1" w:styleId="61">
    <w:name w:val="样式 样式 样式 标题 3 + 四号 段前: 0.3 行 段后: 0.3 行 + 首行缩进:  2 字符 段前: 0.3 行 段..."/>
    <w:basedOn w:val="1"/>
    <w:qFormat/>
    <w:uiPriority w:val="0"/>
    <w:pPr>
      <w:keepNext/>
      <w:keepLines/>
      <w:ind w:firstLine="0" w:firstLineChars="0"/>
      <w:outlineLvl w:val="2"/>
    </w:pPr>
    <w:rPr>
      <w:b/>
      <w:bCs/>
      <w:sz w:val="30"/>
      <w:szCs w:val="20"/>
    </w:rPr>
  </w:style>
  <w:style w:type="paragraph" w:customStyle="1" w:styleId="62">
    <w:name w:val="正文终"/>
    <w:basedOn w:val="1"/>
    <w:link w:val="100"/>
    <w:qFormat/>
    <w:uiPriority w:val="0"/>
    <w:pPr>
      <w:spacing w:beforeLines="30"/>
      <w:contextualSpacing/>
    </w:pPr>
    <w:rPr>
      <w:rFonts w:ascii="宋体" w:hAnsi="宋体"/>
      <w:szCs w:val="20"/>
    </w:rPr>
  </w:style>
  <w:style w:type="paragraph" w:customStyle="1" w:styleId="63">
    <w:name w:val="样式 首行缩进:  2 字符1"/>
    <w:basedOn w:val="1"/>
    <w:semiHidden/>
    <w:qFormat/>
    <w:uiPriority w:val="0"/>
    <w:pPr>
      <w:spacing w:line="180" w:lineRule="auto"/>
      <w:ind w:firstLine="512"/>
    </w:pPr>
    <w:rPr>
      <w:spacing w:val="8"/>
      <w:szCs w:val="20"/>
    </w:rPr>
  </w:style>
  <w:style w:type="paragraph" w:customStyle="1" w:styleId="64">
    <w:name w:val="正文小四"/>
    <w:basedOn w:val="1"/>
    <w:link w:val="80"/>
    <w:qFormat/>
    <w:uiPriority w:val="0"/>
    <w:rPr>
      <w:szCs w:val="24"/>
    </w:rPr>
  </w:style>
  <w:style w:type="paragraph" w:customStyle="1" w:styleId="65">
    <w:name w:val="p15"/>
    <w:basedOn w:val="1"/>
    <w:qFormat/>
    <w:uiPriority w:val="0"/>
    <w:pPr>
      <w:widowControl/>
      <w:spacing w:line="480" w:lineRule="auto"/>
      <w:ind w:firstLine="420" w:firstLineChars="0"/>
    </w:pPr>
    <w:rPr>
      <w:rFonts w:ascii="宋体" w:hAnsi="宋体"/>
      <w:kern w:val="0"/>
      <w:sz w:val="28"/>
      <w:szCs w:val="28"/>
    </w:rPr>
  </w:style>
  <w:style w:type="paragraph" w:customStyle="1" w:styleId="66">
    <w:name w:val="样式 样式 样式 首行缩进:  2 字符 段前: 0.3 行 段后: 0.3 行 + 首行缩进:  2 字符1 + 首行缩进: ..."/>
    <w:basedOn w:val="57"/>
    <w:qFormat/>
    <w:uiPriority w:val="0"/>
    <w:rPr>
      <w:sz w:val="24"/>
    </w:rPr>
  </w:style>
  <w:style w:type="paragraph" w:customStyle="1" w:styleId="67">
    <w:name w:val="p16"/>
    <w:basedOn w:val="1"/>
    <w:qFormat/>
    <w:uiPriority w:val="0"/>
    <w:pPr>
      <w:widowControl/>
      <w:spacing w:beforeLines="30" w:afterLines="30"/>
      <w:ind w:firstLine="420" w:firstLineChars="0"/>
    </w:pPr>
    <w:rPr>
      <w:rFonts w:ascii="宋体" w:hAnsi="宋体"/>
      <w:kern w:val="0"/>
      <w:sz w:val="30"/>
      <w:szCs w:val="30"/>
    </w:rPr>
  </w:style>
  <w:style w:type="paragraph" w:customStyle="1" w:styleId="68">
    <w:name w:val="0郑伟（正文）"/>
    <w:basedOn w:val="1"/>
    <w:link w:val="112"/>
    <w:qFormat/>
    <w:uiPriority w:val="0"/>
    <w:pPr>
      <w:spacing w:line="480" w:lineRule="auto"/>
    </w:pPr>
    <w:rPr>
      <w:rFonts w:cs="Times New Roman"/>
      <w:kern w:val="16"/>
      <w:szCs w:val="30"/>
    </w:rPr>
  </w:style>
  <w:style w:type="paragraph" w:customStyle="1" w:styleId="69">
    <w:name w:val="样式 样式 样式 样式 样式 首行缩进:  2 字符 + 首行缩进:  2 字符1 + 首行缩进:  2 字符 + 首行缩进: ..."/>
    <w:basedOn w:val="1"/>
    <w:qFormat/>
    <w:uiPriority w:val="0"/>
    <w:pPr>
      <w:spacing w:line="500" w:lineRule="exact"/>
      <w:jc w:val="left"/>
    </w:pPr>
    <w:rPr>
      <w:szCs w:val="24"/>
    </w:rPr>
  </w:style>
  <w:style w:type="paragraph" w:customStyle="1" w:styleId="70">
    <w:name w:val="表格JL Char"/>
    <w:basedOn w:val="1"/>
    <w:link w:val="114"/>
    <w:qFormat/>
    <w:uiPriority w:val="0"/>
    <w:pPr>
      <w:spacing w:line="240" w:lineRule="auto"/>
      <w:ind w:firstLine="0" w:firstLineChars="0"/>
      <w:jc w:val="center"/>
    </w:pPr>
    <w:rPr>
      <w:rFonts w:cs="Times New Roman"/>
      <w:kern w:val="0"/>
      <w:szCs w:val="24"/>
    </w:rPr>
  </w:style>
  <w:style w:type="paragraph" w:customStyle="1" w:styleId="71">
    <w:name w:val="题注 + 居中"/>
    <w:basedOn w:val="9"/>
    <w:next w:val="1"/>
    <w:link w:val="115"/>
    <w:qFormat/>
    <w:uiPriority w:val="0"/>
    <w:pPr>
      <w:keepNext/>
      <w:spacing w:line="360" w:lineRule="auto"/>
      <w:jc w:val="center"/>
    </w:pPr>
    <w:rPr>
      <w:rFonts w:ascii="Times New Roman" w:hAnsi="Times New Roman" w:eastAsia="仿宋_GB2312" w:cs="Times New Roman"/>
      <w:b/>
      <w:bCs/>
      <w:sz w:val="24"/>
    </w:rPr>
  </w:style>
  <w:style w:type="paragraph" w:customStyle="1" w:styleId="72">
    <w:name w:val="表格JL"/>
    <w:basedOn w:val="1"/>
    <w:qFormat/>
    <w:uiPriority w:val="0"/>
    <w:pPr>
      <w:spacing w:line="240" w:lineRule="auto"/>
      <w:ind w:firstLine="0" w:firstLineChars="0"/>
      <w:jc w:val="center"/>
    </w:pPr>
    <w:rPr>
      <w:rFonts w:cs="Times New Roman"/>
      <w:kern w:val="0"/>
      <w:szCs w:val="24"/>
    </w:rPr>
  </w:style>
  <w:style w:type="paragraph" w:customStyle="1" w:styleId="73">
    <w:name w:val="样式 样式 样式 首行缩进:  2 字符 + 首行缩进:  2 字符1 + 首行缩进:  2 字符1"/>
    <w:basedOn w:val="1"/>
    <w:qFormat/>
    <w:uiPriority w:val="0"/>
    <w:pPr>
      <w:spacing w:line="500" w:lineRule="exact"/>
    </w:pPr>
    <w:rPr>
      <w:szCs w:val="20"/>
    </w:rPr>
  </w:style>
  <w:style w:type="paragraph" w:customStyle="1" w:styleId="74">
    <w:name w:val="样式 样式 首行缩进:  2 字符 + 首行缩进:  2 字符"/>
    <w:basedOn w:val="1"/>
    <w:next w:val="1"/>
    <w:link w:val="117"/>
    <w:qFormat/>
    <w:uiPriority w:val="0"/>
    <w:pPr>
      <w:ind w:firstLine="480" w:firstLineChars="0"/>
    </w:pPr>
    <w:rPr>
      <w:szCs w:val="28"/>
    </w:rPr>
  </w:style>
  <w:style w:type="paragraph" w:customStyle="1" w:styleId="75">
    <w:name w:val="正文文本缩进1"/>
    <w:basedOn w:val="1"/>
    <w:qFormat/>
    <w:uiPriority w:val="0"/>
    <w:pPr>
      <w:spacing w:after="120"/>
      <w:ind w:left="420" w:leftChars="200" w:firstLine="0" w:firstLineChars="0"/>
    </w:pPr>
    <w:rPr>
      <w:rFonts w:cs="Times New Roman"/>
      <w:szCs w:val="28"/>
    </w:rPr>
  </w:style>
  <w:style w:type="paragraph" w:customStyle="1" w:styleId="76">
    <w:name w:val="内容"/>
    <w:basedOn w:val="1"/>
    <w:link w:val="119"/>
    <w:qFormat/>
    <w:uiPriority w:val="0"/>
    <w:pPr>
      <w:ind w:firstLine="0" w:firstLineChars="0"/>
      <w:jc w:val="center"/>
    </w:pPr>
    <w:rPr>
      <w:rFonts w:ascii="宋体" w:hAnsi="宋体" w:cs="Times New Roman"/>
      <w:szCs w:val="21"/>
    </w:rPr>
  </w:style>
  <w:style w:type="paragraph" w:customStyle="1" w:styleId="77">
    <w:name w:val="样式 标题 2 + 黑色"/>
    <w:basedOn w:val="3"/>
    <w:qFormat/>
    <w:uiPriority w:val="0"/>
    <w:pPr>
      <w:snapToGrid w:val="0"/>
    </w:pPr>
    <w:rPr>
      <w:rFonts w:cs="Times New Roman"/>
      <w:color w:val="000000"/>
      <w:szCs w:val="30"/>
    </w:rPr>
  </w:style>
  <w:style w:type="character" w:customStyle="1" w:styleId="78">
    <w:name w:val="段落1 Char Char"/>
    <w:basedOn w:val="35"/>
    <w:link w:val="47"/>
    <w:qFormat/>
    <w:locked/>
    <w:uiPriority w:val="0"/>
    <w:rPr>
      <w:rFonts w:ascii="宋体" w:hAnsi="宋体" w:cs="宋体"/>
      <w:b/>
      <w:kern w:val="2"/>
      <w:sz w:val="24"/>
      <w:szCs w:val="24"/>
    </w:rPr>
  </w:style>
  <w:style w:type="character" w:customStyle="1" w:styleId="79">
    <w:name w:val="正文文本缩进 3 字符"/>
    <w:basedOn w:val="35"/>
    <w:link w:val="27"/>
    <w:qFormat/>
    <w:uiPriority w:val="0"/>
    <w:rPr>
      <w:rFonts w:ascii="Times New Roman" w:hAnsi="Times New Roman"/>
      <w:kern w:val="2"/>
      <w:sz w:val="16"/>
      <w:szCs w:val="16"/>
    </w:rPr>
  </w:style>
  <w:style w:type="character" w:customStyle="1" w:styleId="80">
    <w:name w:val="正文小四 Char"/>
    <w:basedOn w:val="35"/>
    <w:link w:val="64"/>
    <w:qFormat/>
    <w:uiPriority w:val="0"/>
    <w:rPr>
      <w:rFonts w:ascii="Times New Roman" w:hAnsi="Times New Roman"/>
      <w:kern w:val="2"/>
      <w:sz w:val="24"/>
      <w:szCs w:val="24"/>
    </w:rPr>
  </w:style>
  <w:style w:type="character" w:customStyle="1" w:styleId="81">
    <w:name w:val="标题 2 字符"/>
    <w:basedOn w:val="35"/>
    <w:link w:val="3"/>
    <w:qFormat/>
    <w:uiPriority w:val="9"/>
    <w:rPr>
      <w:rFonts w:ascii="Times New Roman" w:hAnsi="Times New Roman"/>
      <w:b/>
      <w:bCs/>
      <w:kern w:val="2"/>
      <w:sz w:val="28"/>
      <w:szCs w:val="32"/>
    </w:rPr>
  </w:style>
  <w:style w:type="character" w:customStyle="1" w:styleId="82">
    <w:name w:val="正文g Char Char"/>
    <w:basedOn w:val="35"/>
    <w:link w:val="43"/>
    <w:qFormat/>
    <w:uiPriority w:val="0"/>
    <w:rPr>
      <w:rFonts w:eastAsia="宋体"/>
      <w:kern w:val="2"/>
      <w:sz w:val="24"/>
      <w:szCs w:val="24"/>
      <w:lang w:val="en-US" w:eastAsia="zh-CN" w:bidi="ar-SA"/>
    </w:rPr>
  </w:style>
  <w:style w:type="character" w:customStyle="1" w:styleId="83">
    <w:name w:val="正文文本 字符"/>
    <w:basedOn w:val="35"/>
    <w:link w:val="12"/>
    <w:qFormat/>
    <w:uiPriority w:val="99"/>
    <w:rPr>
      <w:rFonts w:ascii="Times New Roman" w:hAnsi="Times New Roman"/>
      <w:kern w:val="2"/>
      <w:sz w:val="24"/>
      <w:szCs w:val="22"/>
    </w:rPr>
  </w:style>
  <w:style w:type="character" w:customStyle="1" w:styleId="84">
    <w:name w:val="日期 字符"/>
    <w:basedOn w:val="35"/>
    <w:link w:val="19"/>
    <w:qFormat/>
    <w:uiPriority w:val="0"/>
    <w:rPr>
      <w:rFonts w:ascii="Times New Roman" w:hAnsi="Times New Roman"/>
      <w:kern w:val="2"/>
      <w:sz w:val="24"/>
      <w:szCs w:val="22"/>
    </w:rPr>
  </w:style>
  <w:style w:type="character" w:customStyle="1" w:styleId="85">
    <w:name w:val="fileno1"/>
    <w:basedOn w:val="35"/>
    <w:qFormat/>
    <w:uiPriority w:val="0"/>
    <w:rPr>
      <w:color w:val="FF0000"/>
      <w:sz w:val="23"/>
      <w:szCs w:val="23"/>
    </w:rPr>
  </w:style>
  <w:style w:type="character" w:customStyle="1" w:styleId="86">
    <w:name w:val="标题 1 字符"/>
    <w:basedOn w:val="35"/>
    <w:link w:val="2"/>
    <w:qFormat/>
    <w:uiPriority w:val="0"/>
    <w:rPr>
      <w:rFonts w:ascii="Times New Roman" w:hAnsi="Times New Roman"/>
      <w:b/>
      <w:bCs/>
      <w:kern w:val="44"/>
      <w:sz w:val="32"/>
      <w:szCs w:val="44"/>
    </w:rPr>
  </w:style>
  <w:style w:type="character" w:customStyle="1" w:styleId="87">
    <w:name w:val="标题 字符"/>
    <w:basedOn w:val="35"/>
    <w:link w:val="32"/>
    <w:qFormat/>
    <w:uiPriority w:val="10"/>
    <w:rPr>
      <w:rFonts w:ascii="Times New Roman" w:hAnsi="Times New Roman" w:cs="Times New Roman"/>
      <w:b/>
      <w:bCs/>
      <w:kern w:val="2"/>
      <w:sz w:val="32"/>
      <w:szCs w:val="32"/>
    </w:rPr>
  </w:style>
  <w:style w:type="character" w:customStyle="1" w:styleId="88">
    <w:name w:val="标题 3 字符"/>
    <w:basedOn w:val="35"/>
    <w:link w:val="4"/>
    <w:qFormat/>
    <w:uiPriority w:val="0"/>
    <w:rPr>
      <w:rFonts w:cs="宋体"/>
      <w:b/>
      <w:bCs/>
      <w:kern w:val="2"/>
      <w:sz w:val="24"/>
      <w:szCs w:val="32"/>
    </w:rPr>
  </w:style>
  <w:style w:type="character" w:customStyle="1" w:styleId="89">
    <w:name w:val="style11"/>
    <w:basedOn w:val="35"/>
    <w:qFormat/>
    <w:uiPriority w:val="0"/>
    <w:rPr>
      <w:color w:val="000000"/>
    </w:rPr>
  </w:style>
  <w:style w:type="character" w:customStyle="1" w:styleId="90">
    <w:name w:val="标题 4 字符"/>
    <w:basedOn w:val="35"/>
    <w:link w:val="5"/>
    <w:qFormat/>
    <w:uiPriority w:val="0"/>
    <w:rPr>
      <w:rFonts w:ascii="Times New Roman" w:hAnsi="Times New Roman"/>
      <w:bCs/>
      <w:kern w:val="2"/>
      <w:sz w:val="24"/>
      <w:szCs w:val="28"/>
    </w:rPr>
  </w:style>
  <w:style w:type="character" w:customStyle="1" w:styleId="91">
    <w:name w:val="标题 5 字符"/>
    <w:basedOn w:val="35"/>
    <w:link w:val="6"/>
    <w:qFormat/>
    <w:uiPriority w:val="9"/>
    <w:rPr>
      <w:rFonts w:cs="宋体"/>
      <w:bCs/>
      <w:kern w:val="2"/>
      <w:sz w:val="24"/>
      <w:szCs w:val="28"/>
    </w:rPr>
  </w:style>
  <w:style w:type="character" w:customStyle="1" w:styleId="92">
    <w:name w:val="页脚 字符"/>
    <w:basedOn w:val="35"/>
    <w:link w:val="22"/>
    <w:qFormat/>
    <w:uiPriority w:val="99"/>
    <w:rPr>
      <w:sz w:val="18"/>
      <w:szCs w:val="18"/>
    </w:rPr>
  </w:style>
  <w:style w:type="character" w:customStyle="1" w:styleId="93">
    <w:name w:val="纯文本 字符"/>
    <w:basedOn w:val="35"/>
    <w:link w:val="17"/>
    <w:qFormat/>
    <w:uiPriority w:val="0"/>
    <w:rPr>
      <w:rFonts w:ascii="宋体" w:hAnsi="Courier New" w:cs="Courier New"/>
      <w:kern w:val="2"/>
      <w:sz w:val="21"/>
      <w:szCs w:val="21"/>
    </w:rPr>
  </w:style>
  <w:style w:type="character" w:customStyle="1" w:styleId="94">
    <w:name w:val="正文文本缩进 字符"/>
    <w:basedOn w:val="35"/>
    <w:link w:val="13"/>
    <w:qFormat/>
    <w:uiPriority w:val="0"/>
    <w:rPr>
      <w:rFonts w:ascii="Times New Roman" w:hAnsi="Times New Roman"/>
      <w:kern w:val="2"/>
      <w:sz w:val="28"/>
      <w:szCs w:val="24"/>
    </w:rPr>
  </w:style>
  <w:style w:type="character" w:customStyle="1" w:styleId="95">
    <w:name w:val="正文文本缩进 2 字符"/>
    <w:basedOn w:val="35"/>
    <w:link w:val="20"/>
    <w:qFormat/>
    <w:uiPriority w:val="99"/>
    <w:rPr>
      <w:rFonts w:ascii="Times New Roman" w:hAnsi="Times New Roman"/>
      <w:kern w:val="2"/>
      <w:sz w:val="24"/>
      <w:szCs w:val="22"/>
    </w:rPr>
  </w:style>
  <w:style w:type="character" w:customStyle="1" w:styleId="96">
    <w:name w:val="newscontent"/>
    <w:basedOn w:val="35"/>
    <w:qFormat/>
    <w:uiPriority w:val="0"/>
  </w:style>
  <w:style w:type="character" w:customStyle="1" w:styleId="97">
    <w:name w:val="13blk1"/>
    <w:basedOn w:val="35"/>
    <w:qFormat/>
    <w:uiPriority w:val="0"/>
    <w:rPr>
      <w:sz w:val="20"/>
      <w:szCs w:val="20"/>
    </w:rPr>
  </w:style>
  <w:style w:type="character" w:customStyle="1" w:styleId="98">
    <w:name w:val="正文文本 2 字符"/>
    <w:basedOn w:val="35"/>
    <w:link w:val="30"/>
    <w:qFormat/>
    <w:uiPriority w:val="99"/>
    <w:rPr>
      <w:rFonts w:ascii="Times New Roman" w:hAnsi="Times New Roman"/>
      <w:kern w:val="2"/>
      <w:sz w:val="24"/>
      <w:szCs w:val="22"/>
    </w:rPr>
  </w:style>
  <w:style w:type="character" w:customStyle="1" w:styleId="99">
    <w:name w:val="标准正文 Char"/>
    <w:basedOn w:val="35"/>
    <w:link w:val="42"/>
    <w:qFormat/>
    <w:uiPriority w:val="0"/>
    <w:rPr>
      <w:rFonts w:ascii="宋体" w:hAnsi="宋体"/>
      <w:kern w:val="2"/>
      <w:sz w:val="28"/>
      <w:szCs w:val="24"/>
    </w:rPr>
  </w:style>
  <w:style w:type="character" w:customStyle="1" w:styleId="100">
    <w:name w:val="正文终 Char"/>
    <w:basedOn w:val="35"/>
    <w:link w:val="62"/>
    <w:qFormat/>
    <w:locked/>
    <w:uiPriority w:val="0"/>
    <w:rPr>
      <w:rFonts w:ascii="宋体" w:hAnsi="宋体"/>
      <w:kern w:val="2"/>
      <w:sz w:val="24"/>
    </w:rPr>
  </w:style>
  <w:style w:type="character" w:customStyle="1" w:styleId="101">
    <w:name w:val="批注框文本 字符"/>
    <w:basedOn w:val="35"/>
    <w:link w:val="21"/>
    <w:qFormat/>
    <w:uiPriority w:val="99"/>
    <w:rPr>
      <w:rFonts w:ascii="Times New Roman" w:hAnsi="Times New Roman"/>
      <w:kern w:val="2"/>
      <w:sz w:val="18"/>
      <w:szCs w:val="18"/>
    </w:rPr>
  </w:style>
  <w:style w:type="character" w:customStyle="1" w:styleId="102">
    <w:name w:val="占位符文本1"/>
    <w:basedOn w:val="35"/>
    <w:unhideWhenUsed/>
    <w:qFormat/>
    <w:uiPriority w:val="99"/>
    <w:rPr>
      <w:color w:val="808080"/>
    </w:rPr>
  </w:style>
  <w:style w:type="character" w:customStyle="1" w:styleId="103">
    <w:name w:val="font41"/>
    <w:basedOn w:val="35"/>
    <w:qFormat/>
    <w:uiPriority w:val="0"/>
    <w:rPr>
      <w:rFonts w:hint="default" w:ascii="Times New Roman" w:hAnsi="Times New Roman" w:cs="Times New Roman"/>
      <w:color w:val="000000"/>
      <w:sz w:val="20"/>
      <w:szCs w:val="20"/>
      <w:u w:val="none"/>
    </w:rPr>
  </w:style>
  <w:style w:type="character" w:customStyle="1" w:styleId="104">
    <w:name w:val="font01"/>
    <w:basedOn w:val="35"/>
    <w:qFormat/>
    <w:uiPriority w:val="0"/>
    <w:rPr>
      <w:rFonts w:hint="eastAsia" w:ascii="宋体" w:hAnsi="宋体" w:eastAsia="宋体"/>
      <w:color w:val="000000"/>
      <w:sz w:val="20"/>
      <w:szCs w:val="20"/>
      <w:u w:val="none"/>
    </w:rPr>
  </w:style>
  <w:style w:type="character" w:customStyle="1" w:styleId="105">
    <w:name w:val="font31"/>
    <w:basedOn w:val="35"/>
    <w:qFormat/>
    <w:uiPriority w:val="0"/>
    <w:rPr>
      <w:rFonts w:hint="default" w:ascii="Times New Roman" w:hAnsi="Times New Roman" w:cs="Times New Roman"/>
      <w:color w:val="000000"/>
      <w:sz w:val="20"/>
      <w:szCs w:val="20"/>
      <w:u w:val="none"/>
    </w:rPr>
  </w:style>
  <w:style w:type="character" w:customStyle="1" w:styleId="106">
    <w:name w:val="font21"/>
    <w:basedOn w:val="35"/>
    <w:qFormat/>
    <w:uiPriority w:val="0"/>
    <w:rPr>
      <w:rFonts w:hint="eastAsia" w:ascii="宋体" w:hAnsi="宋体" w:eastAsia="宋体"/>
      <w:color w:val="000000"/>
      <w:sz w:val="20"/>
      <w:szCs w:val="20"/>
      <w:u w:val="none"/>
    </w:rPr>
  </w:style>
  <w:style w:type="character" w:customStyle="1" w:styleId="107">
    <w:name w:val="font11"/>
    <w:basedOn w:val="35"/>
    <w:qFormat/>
    <w:uiPriority w:val="0"/>
    <w:rPr>
      <w:rFonts w:hint="default" w:ascii="Times New Roman" w:hAnsi="Times New Roman" w:cs="Times New Roman"/>
      <w:color w:val="000000"/>
      <w:sz w:val="20"/>
      <w:szCs w:val="20"/>
      <w:u w:val="none"/>
    </w:rPr>
  </w:style>
  <w:style w:type="character" w:customStyle="1" w:styleId="108">
    <w:name w:val="font51"/>
    <w:basedOn w:val="35"/>
    <w:qFormat/>
    <w:uiPriority w:val="0"/>
    <w:rPr>
      <w:rFonts w:hint="default" w:ascii="Times New Roman" w:hAnsi="Times New Roman" w:cs="Times New Roman"/>
      <w:color w:val="000000"/>
      <w:sz w:val="20"/>
      <w:szCs w:val="20"/>
      <w:u w:val="none"/>
    </w:rPr>
  </w:style>
  <w:style w:type="character" w:customStyle="1" w:styleId="109">
    <w:name w:val="font61"/>
    <w:basedOn w:val="35"/>
    <w:qFormat/>
    <w:uiPriority w:val="0"/>
    <w:rPr>
      <w:rFonts w:hint="eastAsia" w:ascii="宋体" w:hAnsi="宋体" w:eastAsia="宋体"/>
      <w:color w:val="000000"/>
      <w:sz w:val="20"/>
      <w:szCs w:val="20"/>
      <w:u w:val="none"/>
    </w:rPr>
  </w:style>
  <w:style w:type="character" w:customStyle="1" w:styleId="110">
    <w:name w:val="font91"/>
    <w:basedOn w:val="35"/>
    <w:qFormat/>
    <w:uiPriority w:val="0"/>
    <w:rPr>
      <w:rFonts w:hint="eastAsia" w:ascii="宋体" w:hAnsi="宋体" w:eastAsia="宋体"/>
      <w:color w:val="000000"/>
      <w:sz w:val="20"/>
      <w:szCs w:val="20"/>
      <w:u w:val="none"/>
    </w:rPr>
  </w:style>
  <w:style w:type="character" w:customStyle="1" w:styleId="111">
    <w:name w:val="font81"/>
    <w:basedOn w:val="35"/>
    <w:qFormat/>
    <w:uiPriority w:val="0"/>
    <w:rPr>
      <w:rFonts w:hint="default" w:ascii="Times New Roman" w:hAnsi="Times New Roman" w:cs="Times New Roman"/>
      <w:color w:val="000000"/>
      <w:sz w:val="20"/>
      <w:szCs w:val="20"/>
      <w:u w:val="none"/>
    </w:rPr>
  </w:style>
  <w:style w:type="character" w:customStyle="1" w:styleId="112">
    <w:name w:val="0郑伟（正文） Char"/>
    <w:basedOn w:val="35"/>
    <w:link w:val="68"/>
    <w:qFormat/>
    <w:uiPriority w:val="0"/>
    <w:rPr>
      <w:kern w:val="16"/>
      <w:sz w:val="24"/>
      <w:szCs w:val="30"/>
    </w:rPr>
  </w:style>
  <w:style w:type="character" w:customStyle="1" w:styleId="113">
    <w:name w:val="正文缩进 字符"/>
    <w:link w:val="8"/>
    <w:qFormat/>
    <w:uiPriority w:val="0"/>
    <w:rPr>
      <w:rFonts w:cs="宋体"/>
      <w:kern w:val="2"/>
      <w:sz w:val="28"/>
      <w:szCs w:val="24"/>
    </w:rPr>
  </w:style>
  <w:style w:type="character" w:customStyle="1" w:styleId="114">
    <w:name w:val="表格JL Char Char"/>
    <w:link w:val="70"/>
    <w:qFormat/>
    <w:uiPriority w:val="0"/>
    <w:rPr>
      <w:sz w:val="24"/>
      <w:szCs w:val="24"/>
    </w:rPr>
  </w:style>
  <w:style w:type="character" w:customStyle="1" w:styleId="115">
    <w:name w:val="题注 + 居中 Char"/>
    <w:link w:val="71"/>
    <w:qFormat/>
    <w:uiPriority w:val="0"/>
    <w:rPr>
      <w:rFonts w:eastAsia="仿宋_GB2312"/>
      <w:b/>
      <w:bCs/>
      <w:kern w:val="2"/>
      <w:sz w:val="24"/>
    </w:rPr>
  </w:style>
  <w:style w:type="character" w:customStyle="1" w:styleId="116">
    <w:name w:val="apple-converted-space"/>
    <w:basedOn w:val="35"/>
    <w:qFormat/>
    <w:uiPriority w:val="0"/>
  </w:style>
  <w:style w:type="character" w:customStyle="1" w:styleId="117">
    <w:name w:val="样式 样式 首行缩进:  2 字符 + 首行缩进:  2 字符 Char"/>
    <w:basedOn w:val="35"/>
    <w:link w:val="74"/>
    <w:qFormat/>
    <w:uiPriority w:val="0"/>
    <w:rPr>
      <w:rFonts w:cs="宋体"/>
      <w:kern w:val="2"/>
      <w:sz w:val="24"/>
      <w:szCs w:val="28"/>
    </w:rPr>
  </w:style>
  <w:style w:type="character" w:customStyle="1" w:styleId="118">
    <w:name w:val="样式 首行缩进:  2 字符 Char Char Char"/>
    <w:basedOn w:val="35"/>
    <w:link w:val="44"/>
    <w:qFormat/>
    <w:uiPriority w:val="0"/>
    <w:rPr>
      <w:rFonts w:cs="宋体"/>
      <w:snapToGrid w:val="0"/>
      <w:kern w:val="2"/>
      <w:sz w:val="24"/>
      <w:szCs w:val="24"/>
    </w:rPr>
  </w:style>
  <w:style w:type="character" w:customStyle="1" w:styleId="119">
    <w:name w:val="内容 Char"/>
    <w:basedOn w:val="35"/>
    <w:link w:val="76"/>
    <w:qFormat/>
    <w:uiPriority w:val="0"/>
    <w:rPr>
      <w:rFonts w:ascii="宋体" w:hAnsi="宋体"/>
      <w:kern w:val="2"/>
      <w:sz w:val="24"/>
      <w:szCs w:val="21"/>
    </w:rPr>
  </w:style>
  <w:style w:type="character" w:customStyle="1" w:styleId="120">
    <w:name w:val="wym Char"/>
    <w:basedOn w:val="35"/>
    <w:link w:val="121"/>
    <w:qFormat/>
    <w:uiPriority w:val="0"/>
    <w:rPr>
      <w:rFonts w:cs="宋体"/>
      <w:kern w:val="2"/>
      <w:sz w:val="24"/>
    </w:rPr>
  </w:style>
  <w:style w:type="paragraph" w:customStyle="1" w:styleId="121">
    <w:name w:val="wym"/>
    <w:basedOn w:val="1"/>
    <w:link w:val="120"/>
    <w:qFormat/>
    <w:uiPriority w:val="0"/>
    <w:pPr>
      <w:widowControl/>
      <w:tabs>
        <w:tab w:val="left" w:pos="0"/>
      </w:tabs>
      <w:spacing w:line="600" w:lineRule="exact"/>
      <w:jc w:val="left"/>
    </w:pPr>
    <w:rPr>
      <w:szCs w:val="20"/>
    </w:rPr>
  </w:style>
  <w:style w:type="character" w:customStyle="1" w:styleId="122">
    <w:name w:val="样式 首行缩进:  2 字符 Char"/>
    <w:basedOn w:val="35"/>
    <w:qFormat/>
    <w:uiPriority w:val="0"/>
    <w:rPr>
      <w:rFonts w:ascii="Times New Roman" w:hAnsi="Times New Roman" w:eastAsia="宋体" w:cs="宋体"/>
      <w:sz w:val="24"/>
      <w:szCs w:val="20"/>
    </w:rPr>
  </w:style>
  <w:style w:type="paragraph" w:customStyle="1" w:styleId="123">
    <w:name w:val="Char Char Char1 Char"/>
    <w:basedOn w:val="1"/>
    <w:qFormat/>
    <w:uiPriority w:val="0"/>
    <w:pPr>
      <w:spacing w:line="240" w:lineRule="auto"/>
      <w:ind w:firstLine="0" w:firstLineChars="0"/>
    </w:pPr>
    <w:rPr>
      <w:rFonts w:cs="Times New Roman"/>
      <w:sz w:val="21"/>
      <w:szCs w:val="24"/>
    </w:rPr>
  </w:style>
  <w:style w:type="paragraph" w:customStyle="1" w:styleId="124">
    <w:name w:val="标题三（鳌山湾）"/>
    <w:basedOn w:val="1"/>
    <w:link w:val="126"/>
    <w:qFormat/>
    <w:uiPriority w:val="0"/>
    <w:pPr>
      <w:widowControl/>
      <w:tabs>
        <w:tab w:val="left" w:pos="0"/>
        <w:tab w:val="left" w:pos="720"/>
      </w:tabs>
      <w:spacing w:before="160" w:after="160" w:line="600" w:lineRule="exact"/>
      <w:ind w:left="720" w:hanging="720" w:firstLineChars="0"/>
      <w:jc w:val="left"/>
      <w:outlineLvl w:val="2"/>
    </w:pPr>
    <w:rPr>
      <w:rFonts w:eastAsia="黑体" w:cs="Times New Roman"/>
      <w:sz w:val="30"/>
      <w:szCs w:val="28"/>
    </w:rPr>
  </w:style>
  <w:style w:type="paragraph" w:customStyle="1" w:styleId="125">
    <w:name w:val="标题四（鳌山湾）"/>
    <w:basedOn w:val="1"/>
    <w:qFormat/>
    <w:uiPriority w:val="0"/>
    <w:pPr>
      <w:tabs>
        <w:tab w:val="left" w:pos="864"/>
      </w:tabs>
      <w:spacing w:before="156" w:after="156" w:line="600" w:lineRule="exact"/>
      <w:ind w:left="864" w:hanging="864" w:firstLineChars="0"/>
      <w:jc w:val="left"/>
      <w:outlineLvl w:val="3"/>
    </w:pPr>
    <w:rPr>
      <w:rFonts w:ascii="宋体" w:hAnsi="宋体" w:eastAsia="黑体" w:cs="Times New Roman"/>
      <w:sz w:val="28"/>
      <w:szCs w:val="28"/>
    </w:rPr>
  </w:style>
  <w:style w:type="character" w:customStyle="1" w:styleId="126">
    <w:name w:val="标题三（鳌山湾） Char Char"/>
    <w:basedOn w:val="35"/>
    <w:link w:val="124"/>
    <w:qFormat/>
    <w:uiPriority w:val="0"/>
    <w:rPr>
      <w:rFonts w:eastAsia="黑体"/>
      <w:kern w:val="2"/>
      <w:sz w:val="30"/>
      <w:szCs w:val="28"/>
    </w:rPr>
  </w:style>
  <w:style w:type="paragraph" w:customStyle="1" w:styleId="127">
    <w:name w:val="标题二（鳌山湾)"/>
    <w:basedOn w:val="3"/>
    <w:qFormat/>
    <w:uiPriority w:val="0"/>
    <w:pPr>
      <w:widowControl/>
      <w:tabs>
        <w:tab w:val="left" w:pos="0"/>
      </w:tabs>
      <w:spacing w:before="160" w:after="160" w:line="600" w:lineRule="exact"/>
      <w:jc w:val="left"/>
    </w:pPr>
    <w:rPr>
      <w:rFonts w:eastAsia="黑体" w:cs="Times New Roman"/>
      <w:b w:val="0"/>
      <w:sz w:val="32"/>
      <w:szCs w:val="30"/>
    </w:rPr>
  </w:style>
  <w:style w:type="paragraph" w:styleId="128">
    <w:name w:val="List Paragraph"/>
    <w:basedOn w:val="1"/>
    <w:qFormat/>
    <w:uiPriority w:val="34"/>
    <w:pPr>
      <w:widowControl/>
      <w:spacing w:line="500" w:lineRule="exact"/>
      <w:ind w:firstLine="420"/>
      <w:jc w:val="left"/>
    </w:pPr>
    <w:rPr>
      <w:rFonts w:cs="Times New Roman"/>
      <w:szCs w:val="24"/>
    </w:rPr>
  </w:style>
  <w:style w:type="paragraph" w:customStyle="1" w:styleId="129">
    <w:name w:val="样式 橡胶坝正文 + 首行缩进:  2 字符"/>
    <w:basedOn w:val="1"/>
    <w:qFormat/>
    <w:uiPriority w:val="0"/>
    <w:pPr>
      <w:ind w:firstLine="560"/>
    </w:pPr>
    <w:rPr>
      <w:sz w:val="28"/>
      <w:szCs w:val="20"/>
    </w:rPr>
  </w:style>
  <w:style w:type="character" w:customStyle="1" w:styleId="130">
    <w:name w:val="fontstyle11"/>
    <w:basedOn w:val="35"/>
    <w:qFormat/>
    <w:uiPriority w:val="0"/>
    <w:rPr>
      <w:rFonts w:hint="eastAsia" w:ascii="宋体" w:hAnsi="宋体" w:eastAsia="宋体"/>
      <w:color w:val="000000"/>
      <w:sz w:val="24"/>
      <w:szCs w:val="24"/>
    </w:rPr>
  </w:style>
  <w:style w:type="character" w:customStyle="1" w:styleId="131">
    <w:name w:val="fontstyle21"/>
    <w:basedOn w:val="35"/>
    <w:qFormat/>
    <w:uiPriority w:val="0"/>
    <w:rPr>
      <w:rFonts w:hint="eastAsia" w:ascii="新宋体" w:hAnsi="新宋体" w:eastAsia="新宋体"/>
      <w:color w:val="000000"/>
      <w:sz w:val="24"/>
      <w:szCs w:val="24"/>
    </w:rPr>
  </w:style>
  <w:style w:type="character" w:customStyle="1" w:styleId="132">
    <w:name w:val="fontstyle31"/>
    <w:basedOn w:val="35"/>
    <w:qFormat/>
    <w:uiPriority w:val="0"/>
    <w:rPr>
      <w:rFonts w:hint="default" w:ascii="TimesNewRoman" w:hAnsi="TimesNewRoman"/>
      <w:color w:val="000000"/>
      <w:sz w:val="24"/>
      <w:szCs w:val="24"/>
    </w:rPr>
  </w:style>
  <w:style w:type="character" w:customStyle="1" w:styleId="133">
    <w:name w:val="纯文本1"/>
    <w:basedOn w:val="35"/>
    <w:qFormat/>
    <w:uiPriority w:val="0"/>
    <w:rPr>
      <w:rFonts w:ascii="宋体" w:hAnsi="Courier New" w:eastAsia="宋体" w:cs="Courier New"/>
      <w:kern w:val="2"/>
      <w:sz w:val="21"/>
      <w:szCs w:val="21"/>
      <w:lang w:val="en-US" w:eastAsia="zh-CN" w:bidi="ar-SA"/>
    </w:rPr>
  </w:style>
  <w:style w:type="paragraph" w:customStyle="1" w:styleId="134">
    <w:name w:val="刘标题1"/>
    <w:basedOn w:val="1"/>
    <w:qFormat/>
    <w:uiPriority w:val="0"/>
    <w:pPr>
      <w:keepNext/>
      <w:keepLines/>
      <w:adjustRightInd w:val="0"/>
      <w:snapToGrid w:val="0"/>
      <w:spacing w:before="100" w:after="100" w:line="240" w:lineRule="auto"/>
      <w:ind w:left="432" w:hanging="432" w:firstLineChars="0"/>
      <w:jc w:val="left"/>
      <w:outlineLvl w:val="0"/>
    </w:pPr>
    <w:rPr>
      <w:rFonts w:cs="Times New Roman"/>
      <w:b/>
      <w:kern w:val="44"/>
      <w:sz w:val="32"/>
      <w:szCs w:val="32"/>
    </w:rPr>
  </w:style>
  <w:style w:type="paragraph" w:customStyle="1" w:styleId="135">
    <w:name w:val="表格hc"/>
    <w:basedOn w:val="1"/>
    <w:link w:val="136"/>
    <w:qFormat/>
    <w:uiPriority w:val="0"/>
    <w:pPr>
      <w:ind w:firstLine="0" w:firstLineChars="0"/>
      <w:jc w:val="center"/>
    </w:pPr>
    <w:rPr>
      <w:rFonts w:cs="Times New Roman"/>
      <w:sz w:val="21"/>
      <w:szCs w:val="24"/>
    </w:rPr>
  </w:style>
  <w:style w:type="character" w:customStyle="1" w:styleId="136">
    <w:name w:val="表格hc Char"/>
    <w:basedOn w:val="35"/>
    <w:link w:val="135"/>
    <w:qFormat/>
    <w:uiPriority w:val="0"/>
    <w:rPr>
      <w:kern w:val="2"/>
      <w:sz w:val="21"/>
      <w:szCs w:val="24"/>
    </w:rPr>
  </w:style>
  <w:style w:type="paragraph" w:customStyle="1" w:styleId="137">
    <w:name w:val="正文yyh"/>
    <w:link w:val="138"/>
    <w:qFormat/>
    <w:uiPriority w:val="0"/>
    <w:pPr>
      <w:widowControl w:val="0"/>
      <w:tabs>
        <w:tab w:val="left" w:pos="742"/>
      </w:tabs>
      <w:spacing w:line="360" w:lineRule="auto"/>
      <w:ind w:firstLine="480"/>
      <w:jc w:val="center"/>
    </w:pPr>
    <w:rPr>
      <w:rFonts w:ascii="Times New Roman" w:hAnsi="Times New Roman" w:eastAsia="宋体" w:cs="Times New Roman"/>
      <w:sz w:val="28"/>
      <w:szCs w:val="28"/>
      <w:lang w:val="en-US" w:eastAsia="zh-CN" w:bidi="ar-SA"/>
    </w:rPr>
  </w:style>
  <w:style w:type="character" w:customStyle="1" w:styleId="138">
    <w:name w:val="正文yyh Char"/>
    <w:link w:val="137"/>
    <w:qFormat/>
    <w:uiPriority w:val="0"/>
    <w:rPr>
      <w:sz w:val="28"/>
      <w:szCs w:val="28"/>
    </w:rPr>
  </w:style>
  <w:style w:type="paragraph" w:customStyle="1" w:styleId="139">
    <w:name w:val="首行缩进"/>
    <w:basedOn w:val="1"/>
    <w:next w:val="1"/>
    <w:link w:val="140"/>
    <w:qFormat/>
    <w:uiPriority w:val="0"/>
    <w:pPr>
      <w:spacing w:line="480" w:lineRule="auto"/>
      <w:ind w:firstLine="560"/>
    </w:pPr>
    <w:rPr>
      <w:rFonts w:cs="Times New Roman"/>
      <w:szCs w:val="20"/>
    </w:rPr>
  </w:style>
  <w:style w:type="character" w:customStyle="1" w:styleId="140">
    <w:name w:val="首行缩进 Char"/>
    <w:link w:val="139"/>
    <w:qFormat/>
    <w:locked/>
    <w:uiPriority w:val="0"/>
    <w:rPr>
      <w:kern w:val="2"/>
      <w:sz w:val="24"/>
    </w:rPr>
  </w:style>
  <w:style w:type="character" w:customStyle="1" w:styleId="141">
    <w:name w:val="fontstyle01"/>
    <w:basedOn w:val="35"/>
    <w:qFormat/>
    <w:uiPriority w:val="0"/>
    <w:rPr>
      <w:rFonts w:hint="eastAsia" w:ascii="宋体" w:hAnsi="宋体" w:eastAsia="宋体"/>
      <w:color w:val="000000"/>
      <w:sz w:val="24"/>
      <w:szCs w:val="24"/>
    </w:rPr>
  </w:style>
  <w:style w:type="table" w:customStyle="1" w:styleId="142">
    <w:name w:val="网格型3"/>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3">
    <w:name w:val="季正文"/>
    <w:basedOn w:val="1"/>
    <w:link w:val="144"/>
    <w:qFormat/>
    <w:uiPriority w:val="0"/>
    <w:pPr>
      <w:spacing w:before="260" w:after="260" w:line="415" w:lineRule="auto"/>
      <w:ind w:firstLine="480" w:firstLineChars="0"/>
    </w:pPr>
    <w:rPr>
      <w:rFonts w:cs="Times New Roman"/>
      <w:bCs/>
      <w:szCs w:val="24"/>
    </w:rPr>
  </w:style>
  <w:style w:type="character" w:customStyle="1" w:styleId="144">
    <w:name w:val="季正文 Char"/>
    <w:link w:val="143"/>
    <w:qFormat/>
    <w:uiPriority w:val="0"/>
    <w:rPr>
      <w:bCs/>
      <w:kern w:val="2"/>
      <w:sz w:val="24"/>
      <w:szCs w:val="24"/>
    </w:rPr>
  </w:style>
  <w:style w:type="character" w:customStyle="1" w:styleId="145">
    <w:name w:val="Unresolved Mention"/>
    <w:basedOn w:val="35"/>
    <w:semiHidden/>
    <w:unhideWhenUsed/>
    <w:qFormat/>
    <w:uiPriority w:val="99"/>
    <w:rPr>
      <w:color w:val="605E5C"/>
      <w:shd w:val="clear" w:color="auto" w:fill="E1DFDD"/>
    </w:rPr>
  </w:style>
  <w:style w:type="character" w:customStyle="1" w:styleId="146">
    <w:name w:val="三级 Char"/>
    <w:link w:val="147"/>
    <w:qFormat/>
    <w:uiPriority w:val="0"/>
    <w:rPr>
      <w:rFonts w:eastAsia="仿宋_GB2312"/>
      <w:b/>
      <w:sz w:val="30"/>
    </w:rPr>
  </w:style>
  <w:style w:type="paragraph" w:customStyle="1" w:styleId="147">
    <w:name w:val="三级"/>
    <w:basedOn w:val="1"/>
    <w:link w:val="146"/>
    <w:qFormat/>
    <w:uiPriority w:val="0"/>
    <w:pPr>
      <w:spacing w:line="240" w:lineRule="auto"/>
      <w:ind w:firstLine="640"/>
      <w:jc w:val="left"/>
    </w:pPr>
    <w:rPr>
      <w:rFonts w:eastAsia="仿宋_GB2312" w:cs="Times New Roman"/>
      <w:b/>
      <w:kern w:val="0"/>
      <w:sz w:val="30"/>
      <w:szCs w:val="20"/>
    </w:rPr>
  </w:style>
  <w:style w:type="character" w:customStyle="1" w:styleId="148">
    <w:name w:val="正文正文正文 Char"/>
    <w:link w:val="149"/>
    <w:qFormat/>
    <w:uiPriority w:val="0"/>
    <w:rPr>
      <w:rFonts w:eastAsia="仿宋_GB2312"/>
      <w:sz w:val="30"/>
    </w:rPr>
  </w:style>
  <w:style w:type="paragraph" w:customStyle="1" w:styleId="149">
    <w:name w:val="正文正文正文"/>
    <w:basedOn w:val="1"/>
    <w:link w:val="148"/>
    <w:qFormat/>
    <w:uiPriority w:val="0"/>
    <w:pPr>
      <w:spacing w:line="240" w:lineRule="auto"/>
      <w:ind w:firstLine="880"/>
      <w:jc w:val="left"/>
    </w:pPr>
    <w:rPr>
      <w:rFonts w:eastAsia="仿宋_GB2312" w:cs="Times New Roman"/>
      <w:kern w:val="0"/>
      <w:sz w:val="30"/>
      <w:szCs w:val="20"/>
    </w:rPr>
  </w:style>
  <w:style w:type="paragraph" w:customStyle="1" w:styleId="150">
    <w:name w:val="+正文 Char Char"/>
    <w:basedOn w:val="1"/>
    <w:qFormat/>
    <w:uiPriority w:val="0"/>
    <w:rPr>
      <w:rFonts w:cs="Times New Roman"/>
      <w:szCs w:val="28"/>
    </w:rPr>
  </w:style>
  <w:style w:type="character" w:customStyle="1" w:styleId="151">
    <w:name w:val="批注文字 字符"/>
    <w:basedOn w:val="35"/>
    <w:link w:val="11"/>
    <w:qFormat/>
    <w:uiPriority w:val="0"/>
    <w:rPr>
      <w:rFonts w:ascii="宋体" w:hAnsi="宋体" w:cs="宋体"/>
      <w:sz w:val="22"/>
      <w:szCs w:val="22"/>
      <w:lang w:val="zh-CN" w:bidi="zh-CN"/>
    </w:rPr>
  </w:style>
  <w:style w:type="paragraph" w:customStyle="1" w:styleId="152">
    <w:name w:val="T 表头"/>
    <w:basedOn w:val="1"/>
    <w:link w:val="153"/>
    <w:qFormat/>
    <w:uiPriority w:val="0"/>
    <w:pPr>
      <w:spacing w:before="60" w:line="240" w:lineRule="auto"/>
      <w:ind w:firstLine="0" w:firstLineChars="0"/>
      <w:jc w:val="left"/>
    </w:pPr>
    <w:rPr>
      <w:rFonts w:ascii="等线" w:hAnsi="宋体" w:eastAsia="黑体" w:cs="Times New Roman"/>
      <w:bCs/>
      <w:color w:val="000000"/>
      <w:szCs w:val="24"/>
    </w:rPr>
  </w:style>
  <w:style w:type="character" w:customStyle="1" w:styleId="153">
    <w:name w:val="T 表头 Char"/>
    <w:link w:val="152"/>
    <w:qFormat/>
    <w:uiPriority w:val="0"/>
    <w:rPr>
      <w:rFonts w:ascii="等线" w:hAnsi="宋体" w:eastAsia="黑体"/>
      <w:bCs/>
      <w:color w:val="000000"/>
      <w:kern w:val="2"/>
      <w:sz w:val="24"/>
      <w:szCs w:val="24"/>
    </w:rPr>
  </w:style>
  <w:style w:type="paragraph" w:customStyle="1" w:styleId="154">
    <w:name w:val="正文格式"/>
    <w:basedOn w:val="1"/>
    <w:link w:val="155"/>
    <w:qFormat/>
    <w:uiPriority w:val="0"/>
    <w:pPr>
      <w:textAlignment w:val="baseline"/>
    </w:pPr>
    <w:rPr>
      <w:rFonts w:cs="Times New Roman"/>
      <w:kern w:val="0"/>
      <w:szCs w:val="20"/>
    </w:rPr>
  </w:style>
  <w:style w:type="character" w:customStyle="1" w:styleId="155">
    <w:name w:val="正文格式 Char"/>
    <w:link w:val="154"/>
    <w:qFormat/>
    <w:uiPriority w:val="0"/>
    <w:rPr>
      <w:sz w:val="24"/>
    </w:rPr>
  </w:style>
  <w:style w:type="paragraph" w:customStyle="1" w:styleId="156">
    <w:name w:val="表头"/>
    <w:basedOn w:val="1"/>
    <w:link w:val="157"/>
    <w:qFormat/>
    <w:uiPriority w:val="0"/>
    <w:pPr>
      <w:spacing w:line="240" w:lineRule="auto"/>
      <w:ind w:right="600" w:firstLine="0" w:firstLineChars="0"/>
      <w:jc w:val="center"/>
    </w:pPr>
    <w:rPr>
      <w:rFonts w:cs="Times New Roman"/>
      <w:b/>
      <w:szCs w:val="24"/>
    </w:rPr>
  </w:style>
  <w:style w:type="character" w:customStyle="1" w:styleId="157">
    <w:name w:val="表头 Char"/>
    <w:link w:val="156"/>
    <w:qFormat/>
    <w:uiPriority w:val="0"/>
    <w:rPr>
      <w:b/>
      <w:kern w:val="2"/>
      <w:sz w:val="24"/>
      <w:szCs w:val="24"/>
    </w:rPr>
  </w:style>
  <w:style w:type="paragraph" w:customStyle="1" w:styleId="158">
    <w:name w:val="表格文字"/>
    <w:basedOn w:val="1"/>
    <w:qFormat/>
    <w:uiPriority w:val="0"/>
    <w:pPr>
      <w:adjustRightInd w:val="0"/>
      <w:snapToGrid w:val="0"/>
      <w:spacing w:line="240" w:lineRule="auto"/>
      <w:ind w:right="-72" w:rightChars="-30" w:firstLine="0" w:firstLineChars="0"/>
      <w:jc w:val="center"/>
    </w:pPr>
    <w:rPr>
      <w:rFonts w:cs="Times New Roman"/>
      <w:kern w:val="0"/>
      <w:sz w:val="21"/>
    </w:rPr>
  </w:style>
  <w:style w:type="table" w:customStyle="1" w:styleId="159">
    <w:name w:val="Table Normal"/>
    <w:semiHidden/>
    <w:unhideWhenUsed/>
    <w:qFormat/>
    <w:uiPriority w:val="2"/>
    <w:pPr>
      <w:widowControl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160">
    <w:name w:val="Table Paragraph"/>
    <w:basedOn w:val="1"/>
    <w:qFormat/>
    <w:uiPriority w:val="1"/>
    <w:pPr>
      <w:spacing w:line="240" w:lineRule="auto"/>
      <w:ind w:firstLine="0" w:firstLineChars="0"/>
      <w:jc w:val="left"/>
    </w:pPr>
    <w:rPr>
      <w:rFonts w:asciiTheme="minorHAnsi" w:hAnsiTheme="minorHAnsi" w:eastAsiaTheme="minorEastAsia" w:cstheme="minorBidi"/>
      <w:kern w:val="0"/>
      <w:sz w:val="22"/>
      <w:lang w:eastAsia="en-US"/>
    </w:rPr>
  </w:style>
  <w:style w:type="table" w:customStyle="1" w:styleId="161">
    <w:name w:val="网格型1"/>
    <w:basedOn w:val="33"/>
    <w:qFormat/>
    <w:uiPriority w:val="0"/>
    <w:pPr>
      <w:widowControl w:val="0"/>
      <w:spacing w:beforeLines="30" w:line="360" w:lineRule="auto"/>
      <w:ind w:firstLine="200" w:firstLineChars="20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2">
    <w:name w:val="文档结构图 字符"/>
    <w:basedOn w:val="35"/>
    <w:link w:val="10"/>
    <w:semiHidden/>
    <w:qFormat/>
    <w:uiPriority w:val="0"/>
    <w:rPr>
      <w:rFonts w:cs="宋体"/>
      <w:kern w:val="2"/>
      <w:sz w:val="24"/>
      <w:szCs w:val="22"/>
      <w:shd w:val="clear" w:color="auto" w:fill="000080"/>
    </w:rPr>
  </w:style>
  <w:style w:type="character" w:customStyle="1" w:styleId="163">
    <w:name w:val="页眉 字符"/>
    <w:basedOn w:val="35"/>
    <w:link w:val="23"/>
    <w:qFormat/>
    <w:uiPriority w:val="0"/>
    <w:rPr>
      <w:rFonts w:cs="宋体"/>
      <w:kern w:val="2"/>
      <w:sz w:val="18"/>
      <w:szCs w:val="18"/>
    </w:rPr>
  </w:style>
  <w:style w:type="paragraph" w:customStyle="1" w:styleId="164">
    <w:name w:val="正文2"/>
    <w:qFormat/>
    <w:uiPriority w:val="0"/>
    <w:pPr>
      <w:adjustRightInd w:val="0"/>
      <w:snapToGrid w:val="0"/>
      <w:spacing w:line="360" w:lineRule="auto"/>
      <w:ind w:firstLine="200" w:firstLineChars="200"/>
      <w:jc w:val="both"/>
    </w:pPr>
    <w:rPr>
      <w:rFonts w:ascii="仿宋_GB2312" w:hAnsi="宋体" w:eastAsia="仿宋_GB2312" w:cs="Times New Roman"/>
      <w:sz w:val="28"/>
      <w:szCs w:val="28"/>
      <w:lang w:bidi="ar-SA"/>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30.bin"/><Relationship Id="rId98" Type="http://schemas.openxmlformats.org/officeDocument/2006/relationships/image" Target="media/image53.wmf"/><Relationship Id="rId97" Type="http://schemas.openxmlformats.org/officeDocument/2006/relationships/oleObject" Target="embeddings/oleObject29.bin"/><Relationship Id="rId96" Type="http://schemas.openxmlformats.org/officeDocument/2006/relationships/image" Target="media/image52.wmf"/><Relationship Id="rId95" Type="http://schemas.openxmlformats.org/officeDocument/2006/relationships/image" Target="media/image51.wmf"/><Relationship Id="rId94" Type="http://schemas.openxmlformats.org/officeDocument/2006/relationships/image" Target="media/image50.wmf"/><Relationship Id="rId93" Type="http://schemas.openxmlformats.org/officeDocument/2006/relationships/image" Target="media/image49.wmf"/><Relationship Id="rId92" Type="http://schemas.openxmlformats.org/officeDocument/2006/relationships/image" Target="media/image48.wmf"/><Relationship Id="rId91" Type="http://schemas.openxmlformats.org/officeDocument/2006/relationships/image" Target="media/image47.wmf"/><Relationship Id="rId90" Type="http://schemas.openxmlformats.org/officeDocument/2006/relationships/image" Target="media/image46.wmf"/><Relationship Id="rId9" Type="http://schemas.openxmlformats.org/officeDocument/2006/relationships/footer" Target="footer2.xml"/><Relationship Id="rId89" Type="http://schemas.openxmlformats.org/officeDocument/2006/relationships/image" Target="media/image45.wmf"/><Relationship Id="rId88" Type="http://schemas.openxmlformats.org/officeDocument/2006/relationships/oleObject" Target="embeddings/oleObject28.bin"/><Relationship Id="rId87" Type="http://schemas.openxmlformats.org/officeDocument/2006/relationships/oleObject" Target="embeddings/oleObject27.bin"/><Relationship Id="rId86" Type="http://schemas.openxmlformats.org/officeDocument/2006/relationships/image" Target="media/image44.wmf"/><Relationship Id="rId85" Type="http://schemas.openxmlformats.org/officeDocument/2006/relationships/oleObject" Target="embeddings/oleObject26.bin"/><Relationship Id="rId84" Type="http://schemas.openxmlformats.org/officeDocument/2006/relationships/image" Target="media/image43.wmf"/><Relationship Id="rId83" Type="http://schemas.openxmlformats.org/officeDocument/2006/relationships/oleObject" Target="embeddings/oleObject25.bin"/><Relationship Id="rId82" Type="http://schemas.openxmlformats.org/officeDocument/2006/relationships/image" Target="media/image42.wmf"/><Relationship Id="rId81" Type="http://schemas.openxmlformats.org/officeDocument/2006/relationships/oleObject" Target="embeddings/oleObject24.bin"/><Relationship Id="rId80" Type="http://schemas.openxmlformats.org/officeDocument/2006/relationships/image" Target="media/image41.wmf"/><Relationship Id="rId8" Type="http://schemas.openxmlformats.org/officeDocument/2006/relationships/footer" Target="footer1.xml"/><Relationship Id="rId79" Type="http://schemas.openxmlformats.org/officeDocument/2006/relationships/oleObject" Target="embeddings/oleObject23.bin"/><Relationship Id="rId78" Type="http://schemas.openxmlformats.org/officeDocument/2006/relationships/image" Target="media/image40.wmf"/><Relationship Id="rId77" Type="http://schemas.openxmlformats.org/officeDocument/2006/relationships/oleObject" Target="embeddings/oleObject22.bin"/><Relationship Id="rId76" Type="http://schemas.openxmlformats.org/officeDocument/2006/relationships/image" Target="media/image39.wmf"/><Relationship Id="rId75" Type="http://schemas.openxmlformats.org/officeDocument/2006/relationships/oleObject" Target="embeddings/oleObject21.bin"/><Relationship Id="rId74" Type="http://schemas.openxmlformats.org/officeDocument/2006/relationships/image" Target="media/image38.wmf"/><Relationship Id="rId73" Type="http://schemas.openxmlformats.org/officeDocument/2006/relationships/oleObject" Target="embeddings/oleObject20.bin"/><Relationship Id="rId72" Type="http://schemas.openxmlformats.org/officeDocument/2006/relationships/image" Target="media/image37.wmf"/><Relationship Id="rId71" Type="http://schemas.openxmlformats.org/officeDocument/2006/relationships/oleObject" Target="embeddings/oleObject19.bin"/><Relationship Id="rId70" Type="http://schemas.openxmlformats.org/officeDocument/2006/relationships/oleObject" Target="embeddings/oleObject18.bin"/><Relationship Id="rId7" Type="http://schemas.openxmlformats.org/officeDocument/2006/relationships/header" Target="header3.xml"/><Relationship Id="rId69" Type="http://schemas.openxmlformats.org/officeDocument/2006/relationships/oleObject" Target="embeddings/oleObject17.bin"/><Relationship Id="rId68" Type="http://schemas.openxmlformats.org/officeDocument/2006/relationships/oleObject" Target="embeddings/oleObject16.bin"/><Relationship Id="rId67" Type="http://schemas.openxmlformats.org/officeDocument/2006/relationships/oleObject" Target="embeddings/oleObject15.bin"/><Relationship Id="rId66" Type="http://schemas.openxmlformats.org/officeDocument/2006/relationships/image" Target="media/image36.wmf"/><Relationship Id="rId65" Type="http://schemas.openxmlformats.org/officeDocument/2006/relationships/oleObject" Target="embeddings/oleObject14.bin"/><Relationship Id="rId64" Type="http://schemas.openxmlformats.org/officeDocument/2006/relationships/image" Target="media/image35.wmf"/><Relationship Id="rId63" Type="http://schemas.openxmlformats.org/officeDocument/2006/relationships/oleObject" Target="embeddings/oleObject13.bin"/><Relationship Id="rId62" Type="http://schemas.openxmlformats.org/officeDocument/2006/relationships/image" Target="media/image34.wmf"/><Relationship Id="rId61" Type="http://schemas.openxmlformats.org/officeDocument/2006/relationships/oleObject" Target="embeddings/oleObject12.bin"/><Relationship Id="rId60" Type="http://schemas.openxmlformats.org/officeDocument/2006/relationships/image" Target="media/image33.wmf"/><Relationship Id="rId6" Type="http://schemas.openxmlformats.org/officeDocument/2006/relationships/header" Target="header2.xml"/><Relationship Id="rId59" Type="http://schemas.openxmlformats.org/officeDocument/2006/relationships/oleObject" Target="embeddings/oleObject11.bin"/><Relationship Id="rId58" Type="http://schemas.openxmlformats.org/officeDocument/2006/relationships/image" Target="media/image32.wmf"/><Relationship Id="rId57" Type="http://schemas.openxmlformats.org/officeDocument/2006/relationships/oleObject" Target="embeddings/oleObject10.bin"/><Relationship Id="rId56" Type="http://schemas.openxmlformats.org/officeDocument/2006/relationships/image" Target="media/image31.wmf"/><Relationship Id="rId55" Type="http://schemas.openxmlformats.org/officeDocument/2006/relationships/oleObject" Target="embeddings/oleObject9.bin"/><Relationship Id="rId54" Type="http://schemas.openxmlformats.org/officeDocument/2006/relationships/image" Target="media/image30.wmf"/><Relationship Id="rId53" Type="http://schemas.openxmlformats.org/officeDocument/2006/relationships/oleObject" Target="embeddings/oleObject8.bin"/><Relationship Id="rId52" Type="http://schemas.openxmlformats.org/officeDocument/2006/relationships/image" Target="media/image29.wmf"/><Relationship Id="rId51" Type="http://schemas.openxmlformats.org/officeDocument/2006/relationships/oleObject" Target="embeddings/oleObject7.bin"/><Relationship Id="rId50" Type="http://schemas.openxmlformats.org/officeDocument/2006/relationships/image" Target="media/image28.wmf"/><Relationship Id="rId5" Type="http://schemas.openxmlformats.org/officeDocument/2006/relationships/header" Target="header1.xml"/><Relationship Id="rId49" Type="http://schemas.openxmlformats.org/officeDocument/2006/relationships/oleObject" Target="embeddings/oleObject6.bin"/><Relationship Id="rId48" Type="http://schemas.openxmlformats.org/officeDocument/2006/relationships/image" Target="media/image27.wmf"/><Relationship Id="rId47" Type="http://schemas.openxmlformats.org/officeDocument/2006/relationships/oleObject" Target="embeddings/oleObject5.bin"/><Relationship Id="rId46" Type="http://schemas.openxmlformats.org/officeDocument/2006/relationships/image" Target="media/image26.wmf"/><Relationship Id="rId45" Type="http://schemas.openxmlformats.org/officeDocument/2006/relationships/oleObject" Target="embeddings/oleObject4.bin"/><Relationship Id="rId44" Type="http://schemas.openxmlformats.org/officeDocument/2006/relationships/image" Target="media/image25.wmf"/><Relationship Id="rId43" Type="http://schemas.openxmlformats.org/officeDocument/2006/relationships/oleObject" Target="embeddings/oleObject3.bin"/><Relationship Id="rId42" Type="http://schemas.openxmlformats.org/officeDocument/2006/relationships/image" Target="media/image24.emf"/><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endnotes" Target="endnotes.xml"/><Relationship Id="rId39" Type="http://schemas.openxmlformats.org/officeDocument/2006/relationships/image" Target="media/image21.jpeg"/><Relationship Id="rId38" Type="http://schemas.openxmlformats.org/officeDocument/2006/relationships/image" Target="media/image20.jpeg"/><Relationship Id="rId37" Type="http://schemas.openxmlformats.org/officeDocument/2006/relationships/image" Target="media/image19.png"/><Relationship Id="rId36" Type="http://schemas.openxmlformats.org/officeDocument/2006/relationships/image" Target="media/image18.jpe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emf"/><Relationship Id="rId32" Type="http://schemas.openxmlformats.org/officeDocument/2006/relationships/oleObject" Target="embeddings/oleObject2.bin"/><Relationship Id="rId31" Type="http://schemas.openxmlformats.org/officeDocument/2006/relationships/image" Target="media/image14.jpeg"/><Relationship Id="rId30" Type="http://schemas.openxmlformats.org/officeDocument/2006/relationships/image" Target="media/image13.jpeg"/><Relationship Id="rId3" Type="http://schemas.openxmlformats.org/officeDocument/2006/relationships/footnotes" Target="footnotes.xml"/><Relationship Id="rId29" Type="http://schemas.openxmlformats.org/officeDocument/2006/relationships/image" Target="media/image12.png"/><Relationship Id="rId28" Type="http://schemas.openxmlformats.org/officeDocument/2006/relationships/image" Target="media/image11.jpeg"/><Relationship Id="rId27" Type="http://schemas.openxmlformats.org/officeDocument/2006/relationships/image" Target="media/image10.png"/><Relationship Id="rId26" Type="http://schemas.openxmlformats.org/officeDocument/2006/relationships/image" Target="media/image9.emf"/><Relationship Id="rId25" Type="http://schemas.openxmlformats.org/officeDocument/2006/relationships/image" Target="media/image8.png"/><Relationship Id="rId24" Type="http://schemas.openxmlformats.org/officeDocument/2006/relationships/image" Target="media/image7.wmf"/><Relationship Id="rId23" Type="http://schemas.openxmlformats.org/officeDocument/2006/relationships/oleObject" Target="embeddings/oleObject1.bin"/><Relationship Id="rId22" Type="http://schemas.openxmlformats.org/officeDocument/2006/relationships/image" Target="media/image6.wmf"/><Relationship Id="rId21" Type="http://schemas.openxmlformats.org/officeDocument/2006/relationships/image" Target="media/image5.wmf"/><Relationship Id="rId20" Type="http://schemas.openxmlformats.org/officeDocument/2006/relationships/image" Target="media/image4.wmf"/><Relationship Id="rId2" Type="http://schemas.openxmlformats.org/officeDocument/2006/relationships/settings" Target="settings.xml"/><Relationship Id="rId19" Type="http://schemas.openxmlformats.org/officeDocument/2006/relationships/image" Target="media/image3.wmf"/><Relationship Id="rId18" Type="http://schemas.openxmlformats.org/officeDocument/2006/relationships/image" Target="media/image2.wmf"/><Relationship Id="rId17" Type="http://schemas.openxmlformats.org/officeDocument/2006/relationships/image" Target="media/image1.wmf"/><Relationship Id="rId16" Type="http://schemas.openxmlformats.org/officeDocument/2006/relationships/theme" Target="theme/theme1.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8" Type="http://schemas.openxmlformats.org/officeDocument/2006/relationships/fontTable" Target="fontTable.xml"/><Relationship Id="rId107" Type="http://schemas.openxmlformats.org/officeDocument/2006/relationships/customXml" Target="../customXml/item2.xml"/><Relationship Id="rId106" Type="http://schemas.openxmlformats.org/officeDocument/2006/relationships/numbering" Target="numbering.xml"/><Relationship Id="rId105" Type="http://schemas.openxmlformats.org/officeDocument/2006/relationships/customXml" Target="../customXml/item1.xml"/><Relationship Id="rId104" Type="http://schemas.openxmlformats.org/officeDocument/2006/relationships/image" Target="media/image57.png"/><Relationship Id="rId103" Type="http://schemas.openxmlformats.org/officeDocument/2006/relationships/image" Target="media/image56.png"/><Relationship Id="rId102" Type="http://schemas.openxmlformats.org/officeDocument/2006/relationships/image" Target="media/image55.wmf"/><Relationship Id="rId101" Type="http://schemas.openxmlformats.org/officeDocument/2006/relationships/oleObject" Target="embeddings/oleObject31.bin"/><Relationship Id="rId100" Type="http://schemas.openxmlformats.org/officeDocument/2006/relationships/image" Target="media/image54.wmf"/><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4D1615-0153-4319-88C8-D7FF02B1721A}">
  <ds:schemaRefs/>
</ds:datastoreItem>
</file>

<file path=docProps/app.xml><?xml version="1.0" encoding="utf-8"?>
<Properties xmlns="http://schemas.openxmlformats.org/officeDocument/2006/extended-properties" xmlns:vt="http://schemas.openxmlformats.org/officeDocument/2006/docPropsVTypes">
  <Template>Normal</Template>
  <Company>Lenovo (Beijing) Limited</Company>
  <Pages>211</Pages>
  <Words>23080</Words>
  <Characters>131556</Characters>
  <Lines>1096</Lines>
  <Paragraphs>308</Paragraphs>
  <TotalTime>0</TotalTime>
  <ScaleCrop>false</ScaleCrop>
  <LinksUpToDate>false</LinksUpToDate>
  <CharactersWithSpaces>154328</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2020-10-24T11:26:00Z</dcterms:created>
  <dc:creator>Lenovo User</dc:creator>
  <cp:lastModifiedBy>故书</cp:lastModifiedBy>
  <cp:lastPrinted>2020-04-19T11:13:00Z</cp:lastPrinted>
  <dcterms:modified xsi:type="dcterms:W3CDTF">2021-06-21T03:08:26Z</dcterms:modified>
  <dc:title>山东省胶州市农田水利建设规划</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C3C2B03D01EC4108A39F902FFD2BDB15</vt:lpwstr>
  </property>
</Properties>
</file>