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9DB5D">
      <w:pPr>
        <w:spacing w:before="101" w:line="230" w:lineRule="auto"/>
        <w:ind w:left="91"/>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58"/>
          <w:sz w:val="31"/>
          <w:szCs w:val="31"/>
        </w:rPr>
        <w:t xml:space="preserve"> </w:t>
      </w:r>
      <w:r>
        <w:rPr>
          <w:rFonts w:ascii="Times New Roman" w:hAnsi="Times New Roman" w:eastAsia="Times New Roman" w:cs="Times New Roman"/>
          <w:spacing w:val="-4"/>
          <w:sz w:val="31"/>
          <w:szCs w:val="31"/>
        </w:rPr>
        <w:t>5</w:t>
      </w:r>
    </w:p>
    <w:p w14:paraId="5E45E597">
      <w:pPr>
        <w:spacing w:before="215" w:line="502" w:lineRule="exact"/>
        <w:ind w:left="2769"/>
        <w:outlineLvl w:val="0"/>
        <w:rPr>
          <w:rFonts w:ascii="微软雅黑" w:hAnsi="微软雅黑" w:eastAsia="微软雅黑" w:cs="微软雅黑"/>
          <w:sz w:val="50"/>
          <w:szCs w:val="50"/>
        </w:rPr>
      </w:pPr>
      <w:r>
        <w:rPr>
          <w:rFonts w:ascii="微软雅黑" w:hAnsi="微软雅黑" w:eastAsia="微软雅黑" w:cs="微软雅黑"/>
          <w:spacing w:val="-12"/>
          <w:w w:val="91"/>
          <w:position w:val="-3"/>
          <w:sz w:val="50"/>
          <w:szCs w:val="50"/>
        </w:rPr>
        <w:t>枣庄市医疗保险协议定点医疗机构评估标准</w:t>
      </w:r>
    </w:p>
    <w:p w14:paraId="5F8A5D37">
      <w:pPr>
        <w:spacing w:line="298" w:lineRule="auto"/>
        <w:rPr>
          <w:rFonts w:ascii="Arial"/>
          <w:sz w:val="21"/>
        </w:rPr>
      </w:pPr>
    </w:p>
    <w:p w14:paraId="50261433">
      <w:pPr>
        <w:spacing w:before="91" w:line="222" w:lineRule="auto"/>
        <w:ind w:left="85"/>
        <w:rPr>
          <w:rFonts w:ascii="黑体" w:hAnsi="黑体" w:eastAsia="黑体" w:cs="黑体"/>
          <w:sz w:val="28"/>
          <w:szCs w:val="28"/>
        </w:rPr>
      </w:pPr>
      <w:r>
        <w:rPr>
          <w:rFonts w:ascii="黑体" w:hAnsi="黑体" w:eastAsia="黑体" w:cs="黑体"/>
          <w:spacing w:val="-2"/>
          <w:sz w:val="28"/>
          <w:szCs w:val="28"/>
        </w:rPr>
        <w:t>医疗机构名称：</w:t>
      </w:r>
      <w:r>
        <w:rPr>
          <w:rFonts w:ascii="黑体" w:hAnsi="黑体" w:eastAsia="黑体" w:cs="黑体"/>
          <w:spacing w:val="1"/>
          <w:sz w:val="28"/>
          <w:szCs w:val="28"/>
        </w:rPr>
        <w:t xml:space="preserve">                   </w:t>
      </w:r>
      <w:r>
        <w:rPr>
          <w:rFonts w:ascii="黑体" w:hAnsi="黑体" w:eastAsia="黑体" w:cs="黑体"/>
          <w:sz w:val="28"/>
          <w:szCs w:val="28"/>
        </w:rPr>
        <w:t xml:space="preserve">                                       </w:t>
      </w:r>
      <w:r>
        <w:rPr>
          <w:rFonts w:ascii="黑体" w:hAnsi="黑体" w:eastAsia="黑体" w:cs="黑体"/>
          <w:spacing w:val="-2"/>
          <w:sz w:val="28"/>
          <w:szCs w:val="28"/>
        </w:rPr>
        <w:t>评估日期：    年   月</w:t>
      </w:r>
      <w:r>
        <w:rPr>
          <w:rFonts w:ascii="黑体" w:hAnsi="黑体" w:eastAsia="黑体" w:cs="黑体"/>
          <w:spacing w:val="18"/>
          <w:sz w:val="28"/>
          <w:szCs w:val="28"/>
        </w:rPr>
        <w:t xml:space="preserve">   </w:t>
      </w:r>
      <w:r>
        <w:rPr>
          <w:rFonts w:ascii="黑体" w:hAnsi="黑体" w:eastAsia="黑体" w:cs="黑体"/>
          <w:spacing w:val="-2"/>
          <w:sz w:val="28"/>
          <w:szCs w:val="28"/>
        </w:rPr>
        <w:t>日</w:t>
      </w:r>
    </w:p>
    <w:p w14:paraId="78A86584">
      <w:pPr>
        <w:spacing w:line="114" w:lineRule="exact"/>
      </w:pPr>
    </w:p>
    <w:tbl>
      <w:tblPr>
        <w:tblStyle w:val="6"/>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7CAA9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516" w:type="dxa"/>
            <w:vAlign w:val="top"/>
          </w:tcPr>
          <w:p w14:paraId="091B5661">
            <w:pPr>
              <w:spacing w:before="44" w:line="222" w:lineRule="auto"/>
              <w:ind w:left="206"/>
              <w:rPr>
                <w:rFonts w:ascii="黑体" w:hAnsi="黑体" w:eastAsia="黑体" w:cs="黑体"/>
                <w:sz w:val="28"/>
                <w:szCs w:val="28"/>
              </w:rPr>
            </w:pPr>
            <w:r>
              <w:rPr>
                <w:rFonts w:ascii="黑体" w:hAnsi="黑体" w:eastAsia="黑体" w:cs="黑体"/>
                <w:spacing w:val="-3"/>
                <w:sz w:val="28"/>
                <w:szCs w:val="28"/>
              </w:rPr>
              <w:t>指标类别</w:t>
            </w:r>
          </w:p>
        </w:tc>
        <w:tc>
          <w:tcPr>
            <w:tcW w:w="1811" w:type="dxa"/>
            <w:vAlign w:val="top"/>
          </w:tcPr>
          <w:p w14:paraId="5ABEB769">
            <w:pPr>
              <w:spacing w:before="44" w:line="222" w:lineRule="auto"/>
              <w:ind w:left="350"/>
              <w:rPr>
                <w:rFonts w:ascii="黑体" w:hAnsi="黑体" w:eastAsia="黑体" w:cs="黑体"/>
                <w:sz w:val="28"/>
                <w:szCs w:val="28"/>
              </w:rPr>
            </w:pPr>
            <w:r>
              <w:rPr>
                <w:rFonts w:ascii="黑体" w:hAnsi="黑体" w:eastAsia="黑体" w:cs="黑体"/>
                <w:spacing w:val="-3"/>
                <w:sz w:val="28"/>
                <w:szCs w:val="28"/>
              </w:rPr>
              <w:t>评估项目</w:t>
            </w:r>
          </w:p>
        </w:tc>
        <w:tc>
          <w:tcPr>
            <w:tcW w:w="9054" w:type="dxa"/>
            <w:vAlign w:val="top"/>
          </w:tcPr>
          <w:p w14:paraId="53433BC0">
            <w:pPr>
              <w:spacing w:before="44" w:line="222" w:lineRule="auto"/>
              <w:ind w:left="3973"/>
              <w:rPr>
                <w:rFonts w:ascii="黑体" w:hAnsi="黑体" w:eastAsia="黑体" w:cs="黑体"/>
                <w:sz w:val="28"/>
                <w:szCs w:val="28"/>
              </w:rPr>
            </w:pPr>
            <w:r>
              <w:rPr>
                <w:rFonts w:ascii="黑体" w:hAnsi="黑体" w:eastAsia="黑体" w:cs="黑体"/>
                <w:spacing w:val="-2"/>
                <w:sz w:val="28"/>
                <w:szCs w:val="28"/>
              </w:rPr>
              <w:t>评估标准</w:t>
            </w:r>
          </w:p>
        </w:tc>
        <w:tc>
          <w:tcPr>
            <w:tcW w:w="1513" w:type="dxa"/>
            <w:vAlign w:val="top"/>
          </w:tcPr>
          <w:p w14:paraId="36E8AB09">
            <w:pPr>
              <w:spacing w:before="44" w:line="222" w:lineRule="auto"/>
              <w:ind w:left="204"/>
              <w:rPr>
                <w:rFonts w:ascii="黑体" w:hAnsi="黑体" w:eastAsia="黑体" w:cs="黑体"/>
                <w:sz w:val="28"/>
                <w:szCs w:val="28"/>
              </w:rPr>
            </w:pPr>
            <w:r>
              <w:rPr>
                <w:rFonts w:ascii="黑体" w:hAnsi="黑体" w:eastAsia="黑体" w:cs="黑体"/>
                <w:spacing w:val="-3"/>
                <w:sz w:val="28"/>
                <w:szCs w:val="28"/>
              </w:rPr>
              <w:t>评估情况</w:t>
            </w:r>
          </w:p>
        </w:tc>
      </w:tr>
      <w:tr w14:paraId="2E199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4" w:hRule="atLeast"/>
        </w:trPr>
        <w:tc>
          <w:tcPr>
            <w:tcW w:w="1516" w:type="dxa"/>
            <w:vMerge w:val="restart"/>
            <w:tcBorders>
              <w:bottom w:val="nil"/>
            </w:tcBorders>
            <w:vAlign w:val="top"/>
          </w:tcPr>
          <w:p w14:paraId="7B821300">
            <w:pPr>
              <w:spacing w:line="248" w:lineRule="auto"/>
              <w:rPr>
                <w:rFonts w:ascii="Arial"/>
                <w:sz w:val="21"/>
              </w:rPr>
            </w:pPr>
          </w:p>
          <w:p w14:paraId="1CB7E511">
            <w:pPr>
              <w:spacing w:line="249" w:lineRule="auto"/>
              <w:rPr>
                <w:rFonts w:ascii="Arial"/>
                <w:sz w:val="21"/>
              </w:rPr>
            </w:pPr>
          </w:p>
          <w:p w14:paraId="43004293">
            <w:pPr>
              <w:spacing w:line="249" w:lineRule="auto"/>
              <w:rPr>
                <w:rFonts w:ascii="Arial"/>
                <w:sz w:val="21"/>
              </w:rPr>
            </w:pPr>
          </w:p>
          <w:p w14:paraId="30A0C54D">
            <w:pPr>
              <w:spacing w:line="249" w:lineRule="auto"/>
              <w:rPr>
                <w:rFonts w:ascii="Arial"/>
                <w:sz w:val="21"/>
              </w:rPr>
            </w:pPr>
          </w:p>
          <w:p w14:paraId="3C06ACF0">
            <w:pPr>
              <w:spacing w:line="249" w:lineRule="auto"/>
              <w:rPr>
                <w:rFonts w:ascii="Arial"/>
                <w:sz w:val="21"/>
              </w:rPr>
            </w:pPr>
          </w:p>
          <w:p w14:paraId="66F5BA61">
            <w:pPr>
              <w:spacing w:line="249" w:lineRule="auto"/>
              <w:rPr>
                <w:rFonts w:ascii="Arial"/>
                <w:sz w:val="21"/>
              </w:rPr>
            </w:pPr>
          </w:p>
          <w:p w14:paraId="2CF9F2F3">
            <w:pPr>
              <w:spacing w:line="249" w:lineRule="auto"/>
              <w:rPr>
                <w:rFonts w:ascii="Arial"/>
                <w:sz w:val="21"/>
              </w:rPr>
            </w:pPr>
          </w:p>
          <w:p w14:paraId="7A911CDE">
            <w:pPr>
              <w:spacing w:line="249" w:lineRule="auto"/>
              <w:rPr>
                <w:rFonts w:ascii="Arial"/>
                <w:sz w:val="21"/>
              </w:rPr>
            </w:pPr>
          </w:p>
          <w:p w14:paraId="47D08BA7">
            <w:pPr>
              <w:spacing w:line="249" w:lineRule="auto"/>
              <w:rPr>
                <w:rFonts w:ascii="Arial"/>
                <w:sz w:val="21"/>
              </w:rPr>
            </w:pPr>
          </w:p>
          <w:p w14:paraId="34BB6B8B">
            <w:pPr>
              <w:spacing w:line="249" w:lineRule="auto"/>
              <w:rPr>
                <w:rFonts w:ascii="Arial"/>
                <w:sz w:val="21"/>
              </w:rPr>
            </w:pPr>
          </w:p>
          <w:p w14:paraId="57910ECB">
            <w:pPr>
              <w:spacing w:line="249" w:lineRule="auto"/>
              <w:rPr>
                <w:rFonts w:ascii="Arial"/>
                <w:sz w:val="21"/>
              </w:rPr>
            </w:pPr>
          </w:p>
          <w:p w14:paraId="3BE59891">
            <w:pPr>
              <w:spacing w:before="71" w:line="214" w:lineRule="auto"/>
              <w:ind w:left="318"/>
              <w:rPr>
                <w:rFonts w:ascii="FangSong_GB2312" w:hAnsi="FangSong_GB2312" w:eastAsia="FangSong_GB2312" w:cs="FangSong_GB2312"/>
                <w:sz w:val="22"/>
                <w:szCs w:val="22"/>
              </w:rPr>
            </w:pPr>
            <w:r>
              <w:rPr>
                <w:rFonts w:ascii="FangSong_GB2312" w:hAnsi="FangSong_GB2312" w:eastAsia="FangSong_GB2312" w:cs="FangSong_GB2312"/>
                <w:b/>
                <w:bCs/>
                <w:spacing w:val="-3"/>
                <w:sz w:val="22"/>
                <w:szCs w:val="22"/>
              </w:rPr>
              <w:t>基本条件</w:t>
            </w:r>
          </w:p>
        </w:tc>
        <w:tc>
          <w:tcPr>
            <w:tcW w:w="1811" w:type="dxa"/>
            <w:vAlign w:val="top"/>
          </w:tcPr>
          <w:p w14:paraId="23B50C07">
            <w:pPr>
              <w:spacing w:line="296" w:lineRule="auto"/>
              <w:rPr>
                <w:rFonts w:ascii="Arial"/>
                <w:sz w:val="21"/>
              </w:rPr>
            </w:pPr>
          </w:p>
          <w:p w14:paraId="0759EE6E">
            <w:pPr>
              <w:spacing w:line="296" w:lineRule="auto"/>
              <w:rPr>
                <w:rFonts w:ascii="Arial"/>
                <w:sz w:val="21"/>
              </w:rPr>
            </w:pPr>
          </w:p>
          <w:p w14:paraId="4D0582FE">
            <w:pPr>
              <w:spacing w:before="72" w:line="217" w:lineRule="auto"/>
              <w:ind w:left="476"/>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证照情况</w:t>
            </w:r>
          </w:p>
        </w:tc>
        <w:tc>
          <w:tcPr>
            <w:tcW w:w="9054" w:type="dxa"/>
            <w:vAlign w:val="top"/>
          </w:tcPr>
          <w:p w14:paraId="70EF83C6">
            <w:pPr>
              <w:spacing w:before="70" w:line="244" w:lineRule="auto"/>
              <w:ind w:left="124" w:right="112" w:hanging="8"/>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医疗机构执业许可证》、中医诊所备案证、医疗机构设置批复文件、大型医疗仪器设备清单及配置许可证、经营场所的房产证明或租赁协议等证照材料齐全，申请材料与实际情况一致，按规定完成校验。证照不齐全的、主营业务不属基本医保支付范围的暂不纳入。重点核查证照是否真实有效；类型、资质等是否符合申请条件；经营场所产权证明或租赁合同等有</w:t>
            </w:r>
            <w:r>
              <w:rPr>
                <w:rFonts w:ascii="FangSong_GB2312" w:hAnsi="FangSong_GB2312" w:eastAsia="FangSong_GB2312" w:cs="FangSong_GB2312"/>
                <w:spacing w:val="-1"/>
                <w:sz w:val="22"/>
                <w:szCs w:val="22"/>
              </w:rPr>
              <w:t>关材料是否与注册地址一致，是否固定、独立。</w:t>
            </w:r>
          </w:p>
        </w:tc>
        <w:tc>
          <w:tcPr>
            <w:tcW w:w="1513" w:type="dxa"/>
            <w:vAlign w:val="top"/>
          </w:tcPr>
          <w:p w14:paraId="6E14CFE1">
            <w:pPr>
              <w:rPr>
                <w:rFonts w:ascii="Arial"/>
                <w:sz w:val="21"/>
              </w:rPr>
            </w:pPr>
          </w:p>
        </w:tc>
      </w:tr>
      <w:tr w14:paraId="53C1A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1516" w:type="dxa"/>
            <w:vMerge w:val="continue"/>
            <w:tcBorders>
              <w:top w:val="nil"/>
              <w:bottom w:val="nil"/>
            </w:tcBorders>
            <w:vAlign w:val="top"/>
          </w:tcPr>
          <w:p w14:paraId="04BF2C72">
            <w:pPr>
              <w:rPr>
                <w:rFonts w:ascii="Arial"/>
                <w:sz w:val="21"/>
              </w:rPr>
            </w:pPr>
          </w:p>
        </w:tc>
        <w:tc>
          <w:tcPr>
            <w:tcW w:w="1811" w:type="dxa"/>
            <w:vAlign w:val="top"/>
          </w:tcPr>
          <w:p w14:paraId="77998349">
            <w:pPr>
              <w:spacing w:line="444" w:lineRule="auto"/>
              <w:rPr>
                <w:rFonts w:ascii="Arial"/>
                <w:sz w:val="21"/>
              </w:rPr>
            </w:pPr>
          </w:p>
          <w:p w14:paraId="4D3DDD98">
            <w:pPr>
              <w:spacing w:before="72" w:line="216" w:lineRule="auto"/>
              <w:ind w:left="29"/>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周边现有定点情况</w:t>
            </w:r>
          </w:p>
        </w:tc>
        <w:tc>
          <w:tcPr>
            <w:tcW w:w="9054" w:type="dxa"/>
            <w:vAlign w:val="top"/>
          </w:tcPr>
          <w:p w14:paraId="37CC2086">
            <w:pPr>
              <w:pStyle w:val="7"/>
              <w:spacing w:before="65" w:line="243" w:lineRule="auto"/>
              <w:ind w:left="134" w:right="114" w:hanging="9"/>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评估医疗机构经营场所周边医保定点配置情况，是否符合我市资源配置</w:t>
            </w:r>
            <w:r>
              <w:rPr>
                <w:rFonts w:ascii="FangSong_GB2312" w:hAnsi="FangSong_GB2312" w:eastAsia="FangSong_GB2312" w:cs="FangSong_GB2312"/>
                <w:spacing w:val="-1"/>
                <w:sz w:val="22"/>
                <w:szCs w:val="22"/>
              </w:rPr>
              <w:t>规划要求。步行距离</w:t>
            </w:r>
            <w:r>
              <w:rPr>
                <w:spacing w:val="-1"/>
                <w:sz w:val="22"/>
                <w:szCs w:val="22"/>
              </w:rPr>
              <w:t xml:space="preserve">15 </w:t>
            </w:r>
            <w:r>
              <w:rPr>
                <w:rFonts w:ascii="FangSong_GB2312" w:hAnsi="FangSong_GB2312" w:eastAsia="FangSong_GB2312" w:cs="FangSong_GB2312"/>
                <w:spacing w:val="-1"/>
                <w:sz w:val="22"/>
                <w:szCs w:val="22"/>
              </w:rPr>
              <w:t>分钟范围内未有同级同类别定点医疗机构。符合要求的</w:t>
            </w:r>
            <w:r>
              <w:rPr>
                <w:rFonts w:ascii="FangSong_GB2312" w:hAnsi="FangSong_GB2312" w:eastAsia="FangSong_GB2312" w:cs="FangSong_GB2312"/>
                <w:spacing w:val="-2"/>
                <w:sz w:val="22"/>
                <w:szCs w:val="22"/>
              </w:rPr>
              <w:t>为合格，不符合的为不合格。其中</w:t>
            </w:r>
            <w:r>
              <w:rPr>
                <w:rFonts w:ascii="FangSong_GB2312" w:hAnsi="FangSong_GB2312" w:eastAsia="FangSong_GB2312" w:cs="FangSong_GB2312"/>
                <w:sz w:val="22"/>
                <w:szCs w:val="22"/>
              </w:rPr>
              <w:t>市政府重点项目、高校或职业院校内设医疗机构以及一体化管理村卫生室不受此项限制</w:t>
            </w:r>
            <w:r>
              <w:rPr>
                <w:rFonts w:ascii="FangSong_GB2312" w:hAnsi="FangSong_GB2312" w:eastAsia="FangSong_GB2312" w:cs="FangSong_GB2312"/>
                <w:spacing w:val="-1"/>
                <w:sz w:val="22"/>
                <w:szCs w:val="22"/>
              </w:rPr>
              <w:t>；仅</w:t>
            </w:r>
            <w:r>
              <w:rPr>
                <w:rFonts w:ascii="FangSong_GB2312" w:hAnsi="FangSong_GB2312" w:eastAsia="FangSong_GB2312" w:cs="FangSong_GB2312"/>
                <w:spacing w:val="-3"/>
                <w:sz w:val="22"/>
                <w:szCs w:val="22"/>
              </w:rPr>
              <w:t>申请个账定点的不受</w:t>
            </w:r>
            <w:r>
              <w:rPr>
                <w:rFonts w:ascii="FangSong_GB2312" w:hAnsi="FangSong_GB2312" w:eastAsia="FangSong_GB2312" w:cs="FangSong_GB2312"/>
                <w:spacing w:val="-16"/>
                <w:sz w:val="22"/>
                <w:szCs w:val="22"/>
              </w:rPr>
              <w:t xml:space="preserve"> </w:t>
            </w:r>
            <w:r>
              <w:rPr>
                <w:spacing w:val="-3"/>
                <w:sz w:val="22"/>
                <w:szCs w:val="22"/>
              </w:rPr>
              <w:t xml:space="preserve">15 </w:t>
            </w:r>
            <w:r>
              <w:rPr>
                <w:rFonts w:ascii="FangSong_GB2312" w:hAnsi="FangSong_GB2312" w:eastAsia="FangSong_GB2312" w:cs="FangSong_GB2312"/>
                <w:spacing w:val="-3"/>
                <w:sz w:val="22"/>
                <w:szCs w:val="22"/>
              </w:rPr>
              <w:t>分钟限制要求。</w:t>
            </w:r>
          </w:p>
        </w:tc>
        <w:tc>
          <w:tcPr>
            <w:tcW w:w="1513" w:type="dxa"/>
            <w:vAlign w:val="top"/>
          </w:tcPr>
          <w:p w14:paraId="4CE544B3">
            <w:pPr>
              <w:rPr>
                <w:rFonts w:ascii="Arial"/>
                <w:sz w:val="21"/>
              </w:rPr>
            </w:pPr>
          </w:p>
        </w:tc>
      </w:tr>
      <w:tr w14:paraId="704E8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73" w:hRule="atLeast"/>
        </w:trPr>
        <w:tc>
          <w:tcPr>
            <w:tcW w:w="1516" w:type="dxa"/>
            <w:vMerge w:val="continue"/>
            <w:tcBorders>
              <w:top w:val="nil"/>
            </w:tcBorders>
            <w:vAlign w:val="top"/>
          </w:tcPr>
          <w:p w14:paraId="3C1D7FA1">
            <w:pPr>
              <w:rPr>
                <w:rFonts w:ascii="Arial"/>
                <w:sz w:val="21"/>
              </w:rPr>
            </w:pPr>
          </w:p>
        </w:tc>
        <w:tc>
          <w:tcPr>
            <w:tcW w:w="1811" w:type="dxa"/>
            <w:vAlign w:val="top"/>
          </w:tcPr>
          <w:p w14:paraId="4B82B5EF">
            <w:pPr>
              <w:spacing w:line="272" w:lineRule="auto"/>
              <w:rPr>
                <w:rFonts w:ascii="Arial"/>
                <w:sz w:val="21"/>
              </w:rPr>
            </w:pPr>
          </w:p>
          <w:p w14:paraId="3EB5B795">
            <w:pPr>
              <w:spacing w:line="272" w:lineRule="auto"/>
              <w:rPr>
                <w:rFonts w:ascii="Arial"/>
                <w:sz w:val="21"/>
              </w:rPr>
            </w:pPr>
          </w:p>
          <w:p w14:paraId="5EE674C0">
            <w:pPr>
              <w:spacing w:line="272" w:lineRule="auto"/>
              <w:rPr>
                <w:rFonts w:ascii="Arial"/>
                <w:sz w:val="21"/>
              </w:rPr>
            </w:pPr>
          </w:p>
          <w:p w14:paraId="29D0E865">
            <w:pPr>
              <w:spacing w:line="272" w:lineRule="auto"/>
              <w:rPr>
                <w:rFonts w:ascii="Arial"/>
                <w:sz w:val="21"/>
              </w:rPr>
            </w:pPr>
          </w:p>
          <w:p w14:paraId="42BFED10">
            <w:pPr>
              <w:spacing w:line="272" w:lineRule="auto"/>
              <w:rPr>
                <w:rFonts w:ascii="Arial"/>
                <w:sz w:val="21"/>
              </w:rPr>
            </w:pPr>
          </w:p>
          <w:p w14:paraId="2E7A3B73">
            <w:pPr>
              <w:spacing w:before="71" w:line="215" w:lineRule="auto"/>
              <w:ind w:left="249"/>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机构基本标准</w:t>
            </w:r>
          </w:p>
        </w:tc>
        <w:tc>
          <w:tcPr>
            <w:tcW w:w="9054" w:type="dxa"/>
            <w:vAlign w:val="top"/>
          </w:tcPr>
          <w:p w14:paraId="36F60BA9">
            <w:pPr>
              <w:pStyle w:val="7"/>
              <w:spacing w:before="171" w:line="233" w:lineRule="auto"/>
              <w:ind w:left="123" w:right="62" w:firstLine="2"/>
              <w:jc w:val="both"/>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按照卫健行政部门核准的诊疗科目执业，科室、设备及服务设施等符合卫生部门规定的标准；</w:t>
            </w:r>
            <w:r>
              <w:rPr>
                <w:rFonts w:ascii="FangSong_GB2312" w:hAnsi="FangSong_GB2312" w:eastAsia="FangSong_GB2312" w:cs="FangSong_GB2312"/>
                <w:sz w:val="22"/>
                <w:szCs w:val="22"/>
              </w:rPr>
              <w:t>卫生技术人员配备符合与机构类别级别相符的床位配比要求；医护注册人数、执业类别等符合与机构类别级别相符的配备要求。完全符合要求的为合格，不符合的视为不合格。核查工作人员花名册及劳动合同、参保缴费证明等材料，是否按规定与其所有工作人员签订劳动合同，缴纳社会保险；其中医师、护士、药学和医技等专业技术人员以及专（兼）职医保管理人员应签订劳动合同、连续足额缴纳社会保险</w:t>
            </w:r>
            <w:r>
              <w:rPr>
                <w:rFonts w:ascii="FangSong_GB2312" w:hAnsi="FangSong_GB2312" w:eastAsia="FangSong_GB2312" w:cs="FangSong_GB2312"/>
                <w:spacing w:val="-46"/>
                <w:sz w:val="22"/>
                <w:szCs w:val="22"/>
              </w:rPr>
              <w:t xml:space="preserve"> </w:t>
            </w:r>
            <w:r>
              <w:rPr>
                <w:sz w:val="22"/>
                <w:szCs w:val="22"/>
              </w:rPr>
              <w:t xml:space="preserve">3 </w:t>
            </w:r>
            <w:r>
              <w:rPr>
                <w:rFonts w:ascii="FangSong_GB2312" w:hAnsi="FangSong_GB2312" w:eastAsia="FangSong_GB2312" w:cs="FangSong_GB2312"/>
                <w:sz w:val="22"/>
                <w:szCs w:val="22"/>
              </w:rPr>
              <w:t>个月以上，返聘退休人员、多点执业人员应提供劳务合同及不少于</w:t>
            </w:r>
            <w:r>
              <w:rPr>
                <w:rFonts w:ascii="FangSong_GB2312" w:hAnsi="FangSong_GB2312" w:eastAsia="FangSong_GB2312" w:cs="FangSong_GB2312"/>
                <w:spacing w:val="-46"/>
                <w:sz w:val="22"/>
                <w:szCs w:val="22"/>
              </w:rPr>
              <w:t xml:space="preserve"> </w:t>
            </w:r>
            <w:r>
              <w:rPr>
                <w:sz w:val="22"/>
                <w:szCs w:val="22"/>
              </w:rPr>
              <w:t xml:space="preserve">3 </w:t>
            </w:r>
            <w:r>
              <w:rPr>
                <w:rFonts w:ascii="FangSong_GB2312" w:hAnsi="FangSong_GB2312" w:eastAsia="FangSong_GB2312" w:cs="FangSong_GB2312"/>
                <w:sz w:val="22"/>
                <w:szCs w:val="22"/>
              </w:rPr>
              <w:t>个月的工资流水；核查医师、护士、药学及医技等专业技术人员相关证书、执业信息和医师第一注册地信息；开展检查检</w:t>
            </w:r>
            <w:r>
              <w:rPr>
                <w:rFonts w:ascii="FangSong_GB2312" w:hAnsi="FangSong_GB2312" w:eastAsia="FangSong_GB2312" w:cs="FangSong_GB2312"/>
                <w:spacing w:val="-1"/>
                <w:sz w:val="22"/>
                <w:szCs w:val="22"/>
              </w:rPr>
              <w:t>验服务的至少有</w:t>
            </w:r>
            <w:r>
              <w:rPr>
                <w:rFonts w:ascii="FangSong_GB2312" w:hAnsi="FangSong_GB2312" w:eastAsia="FangSong_GB2312" w:cs="FangSong_GB2312"/>
                <w:spacing w:val="-29"/>
                <w:sz w:val="22"/>
                <w:szCs w:val="22"/>
              </w:rPr>
              <w:t xml:space="preserve"> </w:t>
            </w:r>
            <w:r>
              <w:rPr>
                <w:spacing w:val="-1"/>
                <w:sz w:val="22"/>
                <w:szCs w:val="22"/>
              </w:rPr>
              <w:t xml:space="preserve">1 </w:t>
            </w:r>
            <w:r>
              <w:rPr>
                <w:rFonts w:ascii="FangSong_GB2312" w:hAnsi="FangSong_GB2312" w:eastAsia="FangSong_GB2312" w:cs="FangSong_GB2312"/>
                <w:spacing w:val="-1"/>
                <w:sz w:val="22"/>
                <w:szCs w:val="22"/>
              </w:rPr>
              <w:t>名固定的具有相应</w:t>
            </w:r>
            <w:r>
              <w:rPr>
                <w:rFonts w:ascii="FangSong_GB2312" w:hAnsi="FangSong_GB2312" w:eastAsia="FangSong_GB2312" w:cs="FangSong_GB2312"/>
                <w:sz w:val="22"/>
                <w:szCs w:val="22"/>
              </w:rPr>
              <w:t>资质的医技人员；核查医务人员是否按照执业许可范围提供医疗服务且正常在岗。核查实际科室设置、床位数及医疗设备是否符合执业许可范围要</w:t>
            </w:r>
            <w:r>
              <w:rPr>
                <w:rFonts w:ascii="FangSong_GB2312" w:hAnsi="FangSong_GB2312" w:eastAsia="FangSong_GB2312" w:cs="FangSong_GB2312"/>
                <w:spacing w:val="-1"/>
                <w:sz w:val="22"/>
                <w:szCs w:val="22"/>
              </w:rPr>
              <w:t>求，并正常运营。</w:t>
            </w:r>
          </w:p>
        </w:tc>
        <w:tc>
          <w:tcPr>
            <w:tcW w:w="1513" w:type="dxa"/>
            <w:vAlign w:val="top"/>
          </w:tcPr>
          <w:p w14:paraId="3F0523C6">
            <w:pPr>
              <w:rPr>
                <w:rFonts w:ascii="Arial"/>
                <w:sz w:val="21"/>
              </w:rPr>
            </w:pPr>
          </w:p>
        </w:tc>
      </w:tr>
    </w:tbl>
    <w:p w14:paraId="6C22C801">
      <w:pPr>
        <w:rPr>
          <w:rFonts w:ascii="Arial"/>
          <w:sz w:val="21"/>
        </w:rPr>
      </w:pPr>
    </w:p>
    <w:p w14:paraId="5785FDFD">
      <w:pPr>
        <w:rPr>
          <w:rFonts w:ascii="Arial" w:hAnsi="Arial" w:eastAsia="Arial" w:cs="Arial"/>
          <w:sz w:val="21"/>
          <w:szCs w:val="21"/>
        </w:rPr>
        <w:sectPr>
          <w:footerReference r:id="rId5" w:type="default"/>
          <w:pgSz w:w="16839" w:h="11906"/>
          <w:pgMar w:top="1012" w:right="1469" w:bottom="1318" w:left="1469" w:header="0" w:footer="1006" w:gutter="0"/>
          <w:cols w:space="720" w:num="1"/>
        </w:sectPr>
      </w:pPr>
    </w:p>
    <w:tbl>
      <w:tblPr>
        <w:tblStyle w:val="6"/>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614CC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516" w:type="dxa"/>
            <w:vAlign w:val="top"/>
          </w:tcPr>
          <w:p w14:paraId="7946317E">
            <w:pPr>
              <w:spacing w:before="44" w:line="222" w:lineRule="auto"/>
              <w:ind w:left="206"/>
              <w:rPr>
                <w:rFonts w:ascii="黑体" w:hAnsi="黑体" w:eastAsia="黑体" w:cs="黑体"/>
                <w:sz w:val="28"/>
                <w:szCs w:val="28"/>
              </w:rPr>
            </w:pPr>
            <w:r>
              <w:rPr>
                <w:rFonts w:ascii="黑体" w:hAnsi="黑体" w:eastAsia="黑体" w:cs="黑体"/>
                <w:spacing w:val="-3"/>
                <w:sz w:val="28"/>
                <w:szCs w:val="28"/>
              </w:rPr>
              <w:t>指标类别</w:t>
            </w:r>
          </w:p>
        </w:tc>
        <w:tc>
          <w:tcPr>
            <w:tcW w:w="1811" w:type="dxa"/>
            <w:vAlign w:val="top"/>
          </w:tcPr>
          <w:p w14:paraId="399FB120">
            <w:pPr>
              <w:spacing w:before="45" w:line="222" w:lineRule="auto"/>
              <w:ind w:left="350"/>
              <w:rPr>
                <w:rFonts w:ascii="黑体" w:hAnsi="黑体" w:eastAsia="黑体" w:cs="黑体"/>
                <w:sz w:val="28"/>
                <w:szCs w:val="28"/>
              </w:rPr>
            </w:pPr>
            <w:r>
              <w:rPr>
                <w:rFonts w:ascii="黑体" w:hAnsi="黑体" w:eastAsia="黑体" w:cs="黑体"/>
                <w:spacing w:val="-3"/>
                <w:sz w:val="28"/>
                <w:szCs w:val="28"/>
              </w:rPr>
              <w:t>评估项目</w:t>
            </w:r>
          </w:p>
        </w:tc>
        <w:tc>
          <w:tcPr>
            <w:tcW w:w="9054" w:type="dxa"/>
            <w:vAlign w:val="top"/>
          </w:tcPr>
          <w:p w14:paraId="653A5492">
            <w:pPr>
              <w:spacing w:before="45" w:line="222" w:lineRule="auto"/>
              <w:ind w:left="3973"/>
              <w:rPr>
                <w:rFonts w:ascii="黑体" w:hAnsi="黑体" w:eastAsia="黑体" w:cs="黑体"/>
                <w:sz w:val="28"/>
                <w:szCs w:val="28"/>
              </w:rPr>
            </w:pPr>
            <w:r>
              <w:rPr>
                <w:rFonts w:ascii="黑体" w:hAnsi="黑体" w:eastAsia="黑体" w:cs="黑体"/>
                <w:spacing w:val="-2"/>
                <w:sz w:val="28"/>
                <w:szCs w:val="28"/>
              </w:rPr>
              <w:t>评估标准</w:t>
            </w:r>
          </w:p>
        </w:tc>
        <w:tc>
          <w:tcPr>
            <w:tcW w:w="1513" w:type="dxa"/>
            <w:vAlign w:val="top"/>
          </w:tcPr>
          <w:p w14:paraId="02940487">
            <w:pPr>
              <w:spacing w:before="45" w:line="222" w:lineRule="auto"/>
              <w:ind w:left="204"/>
              <w:rPr>
                <w:rFonts w:ascii="黑体" w:hAnsi="黑体" w:eastAsia="黑体" w:cs="黑体"/>
                <w:sz w:val="28"/>
                <w:szCs w:val="28"/>
              </w:rPr>
            </w:pPr>
            <w:r>
              <w:rPr>
                <w:rFonts w:ascii="黑体" w:hAnsi="黑体" w:eastAsia="黑体" w:cs="黑体"/>
                <w:spacing w:val="-3"/>
                <w:sz w:val="28"/>
                <w:szCs w:val="28"/>
              </w:rPr>
              <w:t>评估情况</w:t>
            </w:r>
          </w:p>
        </w:tc>
      </w:tr>
      <w:tr w14:paraId="21AE1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1516" w:type="dxa"/>
            <w:vMerge w:val="restart"/>
            <w:tcBorders>
              <w:bottom w:val="nil"/>
            </w:tcBorders>
            <w:vAlign w:val="top"/>
          </w:tcPr>
          <w:p w14:paraId="765B17A7">
            <w:pPr>
              <w:rPr>
                <w:rFonts w:ascii="Arial"/>
                <w:sz w:val="21"/>
              </w:rPr>
            </w:pPr>
          </w:p>
        </w:tc>
        <w:tc>
          <w:tcPr>
            <w:tcW w:w="1811" w:type="dxa"/>
            <w:vAlign w:val="top"/>
          </w:tcPr>
          <w:p w14:paraId="5D86FF16">
            <w:pPr>
              <w:spacing w:line="442" w:lineRule="auto"/>
              <w:rPr>
                <w:rFonts w:ascii="Arial"/>
                <w:sz w:val="21"/>
              </w:rPr>
            </w:pPr>
          </w:p>
          <w:p w14:paraId="2181150A">
            <w:pPr>
              <w:spacing w:before="72" w:line="216" w:lineRule="auto"/>
              <w:ind w:left="258"/>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正式运营时间</w:t>
            </w:r>
          </w:p>
        </w:tc>
        <w:tc>
          <w:tcPr>
            <w:tcW w:w="9054" w:type="dxa"/>
            <w:vAlign w:val="top"/>
          </w:tcPr>
          <w:p w14:paraId="4A2B5452">
            <w:pPr>
              <w:pStyle w:val="7"/>
              <w:spacing w:before="32" w:line="250" w:lineRule="auto"/>
              <w:ind w:left="124" w:right="114" w:firstLine="7"/>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无对外出租、承包科室，正式运营满</w:t>
            </w:r>
            <w:r>
              <w:rPr>
                <w:spacing w:val="1"/>
                <w:sz w:val="22"/>
                <w:szCs w:val="22"/>
              </w:rPr>
              <w:t xml:space="preserve">3 </w:t>
            </w:r>
            <w:r>
              <w:rPr>
                <w:rFonts w:ascii="FangSong_GB2312" w:hAnsi="FangSong_GB2312" w:eastAsia="FangSong_GB2312" w:cs="FangSong_GB2312"/>
                <w:spacing w:val="1"/>
                <w:sz w:val="22"/>
                <w:szCs w:val="22"/>
              </w:rPr>
              <w:t>个月（含）以上为合格；不足</w:t>
            </w:r>
            <w:r>
              <w:rPr>
                <w:rFonts w:ascii="FangSong_GB2312" w:hAnsi="FangSong_GB2312" w:eastAsia="FangSong_GB2312" w:cs="FangSong_GB2312"/>
                <w:spacing w:val="-41"/>
                <w:sz w:val="22"/>
                <w:szCs w:val="22"/>
              </w:rPr>
              <w:t xml:space="preserve"> </w:t>
            </w:r>
            <w:r>
              <w:rPr>
                <w:spacing w:val="1"/>
                <w:sz w:val="22"/>
                <w:szCs w:val="22"/>
              </w:rPr>
              <w:t xml:space="preserve">3 </w:t>
            </w:r>
            <w:r>
              <w:rPr>
                <w:rFonts w:ascii="FangSong_GB2312" w:hAnsi="FangSong_GB2312" w:eastAsia="FangSong_GB2312" w:cs="FangSong_GB2312"/>
                <w:spacing w:val="1"/>
                <w:sz w:val="22"/>
                <w:szCs w:val="22"/>
              </w:rPr>
              <w:t>个月的，暂不纳入。</w:t>
            </w:r>
            <w:r>
              <w:rPr>
                <w:rFonts w:ascii="FangSong_GB2312" w:hAnsi="FangSong_GB2312" w:eastAsia="FangSong_GB2312" w:cs="FangSong_GB2312"/>
                <w:sz w:val="22"/>
                <w:szCs w:val="22"/>
              </w:rPr>
              <w:t>核查正式运营时间是否达到三个月，以最后取得的证照日期为准，通过查阅处方、病历等医</w:t>
            </w:r>
            <w:r>
              <w:rPr>
                <w:rFonts w:ascii="FangSong_GB2312" w:hAnsi="FangSong_GB2312" w:eastAsia="FangSong_GB2312" w:cs="FangSong_GB2312"/>
                <w:spacing w:val="2"/>
                <w:sz w:val="22"/>
                <w:szCs w:val="22"/>
              </w:rPr>
              <w:t>疗文书，发票及进出货凭证等，证实正式运营至少</w:t>
            </w:r>
            <w:r>
              <w:rPr>
                <w:spacing w:val="2"/>
                <w:sz w:val="22"/>
                <w:szCs w:val="22"/>
              </w:rPr>
              <w:t>3</w:t>
            </w:r>
            <w:r>
              <w:rPr>
                <w:spacing w:val="1"/>
                <w:sz w:val="22"/>
                <w:szCs w:val="22"/>
              </w:rPr>
              <w:t xml:space="preserve"> </w:t>
            </w:r>
            <w:r>
              <w:rPr>
                <w:rFonts w:ascii="FangSong_GB2312" w:hAnsi="FangSong_GB2312" w:eastAsia="FangSong_GB2312" w:cs="FangSong_GB2312"/>
                <w:spacing w:val="1"/>
                <w:sz w:val="22"/>
                <w:szCs w:val="22"/>
              </w:rPr>
              <w:t>个月。核查是否存在对外出租、承包的</w:t>
            </w:r>
            <w:r>
              <w:rPr>
                <w:rFonts w:ascii="FangSong_GB2312" w:hAnsi="FangSong_GB2312" w:eastAsia="FangSong_GB2312" w:cs="FangSong_GB2312"/>
                <w:spacing w:val="-1"/>
                <w:sz w:val="22"/>
                <w:szCs w:val="22"/>
              </w:rPr>
              <w:t>科室等情况，存在此类情形的，暂不纳入。</w:t>
            </w:r>
          </w:p>
        </w:tc>
        <w:tc>
          <w:tcPr>
            <w:tcW w:w="1513" w:type="dxa"/>
            <w:vAlign w:val="top"/>
          </w:tcPr>
          <w:p w14:paraId="239D1020">
            <w:pPr>
              <w:rPr>
                <w:rFonts w:ascii="Arial"/>
                <w:sz w:val="21"/>
              </w:rPr>
            </w:pPr>
          </w:p>
        </w:tc>
      </w:tr>
      <w:tr w14:paraId="16233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Merge w:val="continue"/>
            <w:tcBorders>
              <w:top w:val="nil"/>
              <w:bottom w:val="nil"/>
            </w:tcBorders>
            <w:vAlign w:val="top"/>
          </w:tcPr>
          <w:p w14:paraId="315F9EAB">
            <w:pPr>
              <w:rPr>
                <w:rFonts w:ascii="Arial"/>
                <w:sz w:val="21"/>
              </w:rPr>
            </w:pPr>
          </w:p>
        </w:tc>
        <w:tc>
          <w:tcPr>
            <w:tcW w:w="1811" w:type="dxa"/>
            <w:vAlign w:val="top"/>
          </w:tcPr>
          <w:p w14:paraId="7E7DDCF4">
            <w:pPr>
              <w:spacing w:line="294" w:lineRule="auto"/>
              <w:rPr>
                <w:rFonts w:ascii="Arial"/>
                <w:sz w:val="21"/>
              </w:rPr>
            </w:pPr>
          </w:p>
          <w:p w14:paraId="41A7FA25">
            <w:pPr>
              <w:spacing w:before="72" w:line="214" w:lineRule="auto"/>
              <w:ind w:left="495"/>
              <w:rPr>
                <w:rFonts w:ascii="FangSong_GB2312" w:hAnsi="FangSong_GB2312" w:eastAsia="FangSong_GB2312" w:cs="FangSong_GB2312"/>
                <w:sz w:val="22"/>
                <w:szCs w:val="22"/>
              </w:rPr>
            </w:pPr>
            <w:r>
              <w:rPr>
                <w:rFonts w:ascii="FangSong_GB2312" w:hAnsi="FangSong_GB2312" w:eastAsia="FangSong_GB2312" w:cs="FangSong_GB2312"/>
                <w:spacing w:val="-9"/>
                <w:sz w:val="22"/>
                <w:szCs w:val="22"/>
              </w:rPr>
              <w:t>医保管理</w:t>
            </w:r>
          </w:p>
        </w:tc>
        <w:tc>
          <w:tcPr>
            <w:tcW w:w="9054" w:type="dxa"/>
            <w:vAlign w:val="top"/>
          </w:tcPr>
          <w:p w14:paraId="5D915E3A">
            <w:pPr>
              <w:pStyle w:val="7"/>
              <w:spacing w:before="66"/>
              <w:ind w:left="130" w:right="114" w:firstLine="4"/>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主要负责人负责医保工作，配备专（兼）职医保管理人员（需签订劳</w:t>
            </w:r>
            <w:r>
              <w:rPr>
                <w:rFonts w:ascii="FangSong_GB2312" w:hAnsi="FangSong_GB2312" w:eastAsia="FangSong_GB2312" w:cs="FangSong_GB2312"/>
                <w:spacing w:val="-1"/>
                <w:sz w:val="22"/>
                <w:szCs w:val="22"/>
              </w:rPr>
              <w:t>动合同</w:t>
            </w:r>
            <w:r>
              <w:rPr>
                <w:rFonts w:ascii="FangSong_GB2312" w:hAnsi="FangSong_GB2312" w:eastAsia="FangSong_GB2312" w:cs="FangSong_GB2312"/>
                <w:spacing w:val="3"/>
                <w:sz w:val="22"/>
                <w:szCs w:val="22"/>
              </w:rPr>
              <w:t>），</w:t>
            </w:r>
            <w:r>
              <w:rPr>
                <w:rFonts w:ascii="FangSong_GB2312" w:hAnsi="FangSong_GB2312" w:eastAsia="FangSong_GB2312" w:cs="FangSong_GB2312"/>
                <w:spacing w:val="-1"/>
                <w:sz w:val="22"/>
                <w:szCs w:val="22"/>
              </w:rPr>
              <w:t>严格规范落</w:t>
            </w:r>
            <w:r>
              <w:rPr>
                <w:rFonts w:ascii="FangSong_GB2312" w:hAnsi="FangSong_GB2312" w:eastAsia="FangSong_GB2312" w:cs="FangSong_GB2312"/>
                <w:spacing w:val="1"/>
                <w:sz w:val="22"/>
                <w:szCs w:val="22"/>
              </w:rPr>
              <w:t>实医保制度并开展实际工作；</w:t>
            </w:r>
            <w:r>
              <w:rPr>
                <w:spacing w:val="1"/>
                <w:sz w:val="22"/>
                <w:szCs w:val="22"/>
              </w:rPr>
              <w:t>100</w:t>
            </w:r>
            <w:r>
              <w:rPr>
                <w:spacing w:val="22"/>
                <w:w w:val="101"/>
                <w:sz w:val="22"/>
                <w:szCs w:val="22"/>
              </w:rPr>
              <w:t xml:space="preserve"> </w:t>
            </w:r>
            <w:r>
              <w:rPr>
                <w:rFonts w:ascii="FangSong_GB2312" w:hAnsi="FangSong_GB2312" w:eastAsia="FangSong_GB2312" w:cs="FangSong_GB2312"/>
                <w:spacing w:val="1"/>
                <w:sz w:val="22"/>
                <w:szCs w:val="22"/>
              </w:rPr>
              <w:t>张床位以上的医疗机构应设内部医保管理部</w:t>
            </w:r>
            <w:r>
              <w:rPr>
                <w:rFonts w:ascii="FangSong_GB2312" w:hAnsi="FangSong_GB2312" w:eastAsia="FangSong_GB2312" w:cs="FangSong_GB2312"/>
                <w:sz w:val="22"/>
                <w:szCs w:val="22"/>
              </w:rPr>
              <w:t>门，安排专职</w:t>
            </w:r>
            <w:r>
              <w:rPr>
                <w:rFonts w:ascii="FangSong_GB2312" w:hAnsi="FangSong_GB2312" w:eastAsia="FangSong_GB2312" w:cs="FangSong_GB2312"/>
                <w:spacing w:val="-1"/>
                <w:sz w:val="22"/>
                <w:szCs w:val="22"/>
              </w:rPr>
              <w:t>工作人员。完全符合要求的视为合格，不符合的视为不合格。</w:t>
            </w:r>
          </w:p>
        </w:tc>
        <w:tc>
          <w:tcPr>
            <w:tcW w:w="1513" w:type="dxa"/>
            <w:vAlign w:val="top"/>
          </w:tcPr>
          <w:p w14:paraId="643ECE32">
            <w:pPr>
              <w:rPr>
                <w:rFonts w:ascii="Arial"/>
                <w:sz w:val="21"/>
              </w:rPr>
            </w:pPr>
          </w:p>
        </w:tc>
      </w:tr>
      <w:tr w14:paraId="2F61B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5" w:hRule="atLeast"/>
        </w:trPr>
        <w:tc>
          <w:tcPr>
            <w:tcW w:w="1516" w:type="dxa"/>
            <w:vMerge w:val="continue"/>
            <w:tcBorders>
              <w:top w:val="nil"/>
              <w:bottom w:val="nil"/>
            </w:tcBorders>
            <w:vAlign w:val="top"/>
          </w:tcPr>
          <w:p w14:paraId="3DD208F4">
            <w:pPr>
              <w:rPr>
                <w:rFonts w:ascii="Arial"/>
                <w:sz w:val="21"/>
              </w:rPr>
            </w:pPr>
          </w:p>
        </w:tc>
        <w:tc>
          <w:tcPr>
            <w:tcW w:w="1811" w:type="dxa"/>
            <w:vAlign w:val="top"/>
          </w:tcPr>
          <w:p w14:paraId="73DD36D2">
            <w:pPr>
              <w:spacing w:before="218" w:line="214" w:lineRule="auto"/>
              <w:ind w:left="462"/>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信息系统</w:t>
            </w:r>
          </w:p>
        </w:tc>
        <w:tc>
          <w:tcPr>
            <w:tcW w:w="9054" w:type="dxa"/>
            <w:vAlign w:val="top"/>
          </w:tcPr>
          <w:p w14:paraId="66FDBB4C">
            <w:pPr>
              <w:spacing w:before="69" w:line="233" w:lineRule="auto"/>
              <w:ind w:left="128" w:right="55" w:hanging="3"/>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确定系统开发商，签订合作协议，具备必要完善的医院信息系统。完全符合要求的视为合格，</w:t>
            </w:r>
            <w:r>
              <w:rPr>
                <w:rFonts w:ascii="FangSong_GB2312" w:hAnsi="FangSong_GB2312" w:eastAsia="FangSong_GB2312" w:cs="FangSong_GB2312"/>
                <w:spacing w:val="-2"/>
                <w:sz w:val="22"/>
                <w:szCs w:val="22"/>
              </w:rPr>
              <w:t>不符合的视为不合格。</w:t>
            </w:r>
          </w:p>
        </w:tc>
        <w:tc>
          <w:tcPr>
            <w:tcW w:w="1513" w:type="dxa"/>
            <w:vAlign w:val="top"/>
          </w:tcPr>
          <w:p w14:paraId="41FF1A73">
            <w:pPr>
              <w:rPr>
                <w:rFonts w:ascii="Arial"/>
                <w:sz w:val="21"/>
              </w:rPr>
            </w:pPr>
          </w:p>
        </w:tc>
      </w:tr>
      <w:tr w14:paraId="1201D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Merge w:val="continue"/>
            <w:tcBorders>
              <w:top w:val="nil"/>
              <w:bottom w:val="nil"/>
            </w:tcBorders>
            <w:vAlign w:val="top"/>
          </w:tcPr>
          <w:p w14:paraId="0404CD47">
            <w:pPr>
              <w:rPr>
                <w:rFonts w:ascii="Arial"/>
                <w:sz w:val="21"/>
              </w:rPr>
            </w:pPr>
          </w:p>
        </w:tc>
        <w:tc>
          <w:tcPr>
            <w:tcW w:w="1811" w:type="dxa"/>
            <w:vAlign w:val="top"/>
          </w:tcPr>
          <w:p w14:paraId="2A96FDCA">
            <w:pPr>
              <w:spacing w:line="293" w:lineRule="auto"/>
              <w:rPr>
                <w:rFonts w:ascii="Arial"/>
                <w:sz w:val="21"/>
              </w:rPr>
            </w:pPr>
          </w:p>
          <w:p w14:paraId="19972647">
            <w:pPr>
              <w:spacing w:before="72" w:line="217" w:lineRule="auto"/>
              <w:ind w:left="462"/>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信用制度</w:t>
            </w:r>
          </w:p>
        </w:tc>
        <w:tc>
          <w:tcPr>
            <w:tcW w:w="9054" w:type="dxa"/>
            <w:vAlign w:val="top"/>
          </w:tcPr>
          <w:p w14:paraId="2D7AAD18">
            <w:pPr>
              <w:spacing w:before="69" w:line="239" w:lineRule="auto"/>
              <w:ind w:left="124" w:right="114" w:hanging="1"/>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机构的法定代表人、主要负责人或实际控制人未被列入失信人名单；原是医保定点被解除协议后符合重新受理相关规定。完全符合要求的视为合格，不符合的视为不合格。重点核查是否存在不予受理定点申请的情况，存在不予受理情</w:t>
            </w:r>
            <w:r>
              <w:rPr>
                <w:rFonts w:ascii="FangSong_GB2312" w:hAnsi="FangSong_GB2312" w:eastAsia="FangSong_GB2312" w:cs="FangSong_GB2312"/>
                <w:spacing w:val="-1"/>
                <w:sz w:val="22"/>
                <w:szCs w:val="22"/>
              </w:rPr>
              <w:t>形的，暂不纳入。</w:t>
            </w:r>
          </w:p>
        </w:tc>
        <w:tc>
          <w:tcPr>
            <w:tcW w:w="1513" w:type="dxa"/>
            <w:vAlign w:val="top"/>
          </w:tcPr>
          <w:p w14:paraId="36C3D2E9">
            <w:pPr>
              <w:rPr>
                <w:rFonts w:ascii="Arial"/>
                <w:sz w:val="21"/>
              </w:rPr>
            </w:pPr>
          </w:p>
        </w:tc>
      </w:tr>
      <w:tr w14:paraId="24861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1516" w:type="dxa"/>
            <w:vMerge w:val="continue"/>
            <w:tcBorders>
              <w:top w:val="nil"/>
            </w:tcBorders>
            <w:vAlign w:val="top"/>
          </w:tcPr>
          <w:p w14:paraId="71AB0405">
            <w:pPr>
              <w:rPr>
                <w:rFonts w:ascii="Arial"/>
                <w:sz w:val="21"/>
              </w:rPr>
            </w:pPr>
          </w:p>
        </w:tc>
        <w:tc>
          <w:tcPr>
            <w:tcW w:w="1811" w:type="dxa"/>
            <w:vAlign w:val="top"/>
          </w:tcPr>
          <w:p w14:paraId="7EF0791A">
            <w:pPr>
              <w:spacing w:line="447" w:lineRule="auto"/>
              <w:rPr>
                <w:rFonts w:ascii="Arial"/>
                <w:sz w:val="21"/>
              </w:rPr>
            </w:pPr>
          </w:p>
          <w:p w14:paraId="28DE65C5">
            <w:pPr>
              <w:spacing w:before="71" w:line="214" w:lineRule="auto"/>
              <w:ind w:left="470"/>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管理制度</w:t>
            </w:r>
          </w:p>
        </w:tc>
        <w:tc>
          <w:tcPr>
            <w:tcW w:w="9054" w:type="dxa"/>
            <w:vAlign w:val="top"/>
          </w:tcPr>
          <w:p w14:paraId="2C468A23">
            <w:pPr>
              <w:spacing w:before="70" w:line="242" w:lineRule="auto"/>
              <w:ind w:left="123" w:right="114"/>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建立符合医保协议管理要求的医保管理制度、财务制度、统计信息管理制度、医疗质量安全核心制度等，内部管理制度能与医保政策对应，且完备；纳入定点后使用医疗保障基金的预测性分析报告科学、合理，有数据支撑，有参考性；同时核查卫生健康部门对医疗机构评审</w:t>
            </w:r>
            <w:r>
              <w:rPr>
                <w:rFonts w:ascii="FangSong_GB2312" w:hAnsi="FangSong_GB2312" w:eastAsia="FangSong_GB2312" w:cs="FangSong_GB2312"/>
                <w:spacing w:val="-1"/>
                <w:sz w:val="22"/>
                <w:szCs w:val="22"/>
              </w:rPr>
              <w:t>的结果。完全符合要求的视为合格，不符合的视为不合格。</w:t>
            </w:r>
          </w:p>
        </w:tc>
        <w:tc>
          <w:tcPr>
            <w:tcW w:w="1513" w:type="dxa"/>
            <w:vAlign w:val="top"/>
          </w:tcPr>
          <w:p w14:paraId="407A26A1">
            <w:pPr>
              <w:rPr>
                <w:rFonts w:ascii="Arial"/>
                <w:sz w:val="21"/>
              </w:rPr>
            </w:pPr>
          </w:p>
        </w:tc>
      </w:tr>
      <w:tr w14:paraId="4415A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516" w:type="dxa"/>
            <w:vMerge w:val="restart"/>
            <w:tcBorders>
              <w:bottom w:val="nil"/>
            </w:tcBorders>
            <w:vAlign w:val="top"/>
          </w:tcPr>
          <w:p w14:paraId="6081F114">
            <w:pPr>
              <w:spacing w:line="269" w:lineRule="auto"/>
              <w:rPr>
                <w:rFonts w:ascii="Arial"/>
                <w:sz w:val="21"/>
              </w:rPr>
            </w:pPr>
          </w:p>
          <w:p w14:paraId="11A4EE0C">
            <w:pPr>
              <w:spacing w:line="269" w:lineRule="auto"/>
              <w:rPr>
                <w:rFonts w:ascii="Arial"/>
                <w:sz w:val="21"/>
              </w:rPr>
            </w:pPr>
          </w:p>
          <w:p w14:paraId="488574B7">
            <w:pPr>
              <w:spacing w:line="269" w:lineRule="auto"/>
              <w:rPr>
                <w:rFonts w:ascii="Arial"/>
                <w:sz w:val="21"/>
              </w:rPr>
            </w:pPr>
          </w:p>
          <w:p w14:paraId="7755440F">
            <w:pPr>
              <w:spacing w:line="269" w:lineRule="auto"/>
              <w:rPr>
                <w:rFonts w:ascii="Arial"/>
                <w:sz w:val="21"/>
              </w:rPr>
            </w:pPr>
          </w:p>
          <w:p w14:paraId="4FA5ADE4">
            <w:pPr>
              <w:spacing w:line="269" w:lineRule="auto"/>
              <w:rPr>
                <w:rFonts w:ascii="Arial"/>
                <w:sz w:val="21"/>
              </w:rPr>
            </w:pPr>
          </w:p>
          <w:p w14:paraId="323A811A">
            <w:pPr>
              <w:spacing w:before="72" w:line="214" w:lineRule="auto"/>
              <w:ind w:left="321"/>
              <w:rPr>
                <w:rFonts w:ascii="FangSong_GB2312" w:hAnsi="FangSong_GB2312" w:eastAsia="FangSong_GB2312" w:cs="FangSong_GB2312"/>
                <w:sz w:val="22"/>
                <w:szCs w:val="22"/>
              </w:rPr>
            </w:pPr>
            <w:r>
              <w:rPr>
                <w:rFonts w:ascii="FangSong_GB2312" w:hAnsi="FangSong_GB2312" w:eastAsia="FangSong_GB2312" w:cs="FangSong_GB2312"/>
                <w:b/>
                <w:bCs/>
                <w:spacing w:val="-4"/>
                <w:sz w:val="22"/>
                <w:szCs w:val="22"/>
              </w:rPr>
              <w:t>场所条件</w:t>
            </w:r>
          </w:p>
        </w:tc>
        <w:tc>
          <w:tcPr>
            <w:tcW w:w="1811" w:type="dxa"/>
            <w:vAlign w:val="top"/>
          </w:tcPr>
          <w:p w14:paraId="61052FE5">
            <w:pPr>
              <w:spacing w:before="126" w:line="217" w:lineRule="auto"/>
              <w:ind w:left="474"/>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经营情况</w:t>
            </w:r>
          </w:p>
          <w:p w14:paraId="1B4FEBDA">
            <w:pPr>
              <w:pStyle w:val="7"/>
              <w:spacing w:before="41" w:line="218"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7C3AD9C4">
            <w:pPr>
              <w:pStyle w:val="7"/>
              <w:spacing w:before="127" w:line="214" w:lineRule="auto"/>
              <w:ind w:left="147"/>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同一法定代表人（主要负责人）在现地址连续经营满一年及以上的，得</w:t>
            </w:r>
            <w:r>
              <w:rPr>
                <w:rFonts w:ascii="FangSong_GB2312" w:hAnsi="FangSong_GB2312" w:eastAsia="FangSong_GB2312" w:cs="FangSong_GB2312"/>
                <w:spacing w:val="-29"/>
                <w:sz w:val="22"/>
                <w:szCs w:val="22"/>
              </w:rPr>
              <w:t xml:space="preserve"> </w:t>
            </w:r>
            <w:r>
              <w:rPr>
                <w:spacing w:val="-1"/>
                <w:sz w:val="22"/>
                <w:szCs w:val="22"/>
              </w:rPr>
              <w:t xml:space="preserve">5 </w:t>
            </w:r>
            <w:r>
              <w:rPr>
                <w:rFonts w:ascii="FangSong_GB2312" w:hAnsi="FangSong_GB2312" w:eastAsia="FangSong_GB2312" w:cs="FangSong_GB2312"/>
                <w:spacing w:val="-1"/>
                <w:sz w:val="22"/>
                <w:szCs w:val="22"/>
              </w:rPr>
              <w:t>分；一年内法定代</w:t>
            </w:r>
          </w:p>
          <w:p w14:paraId="3F1B3649">
            <w:pPr>
              <w:pStyle w:val="7"/>
              <w:spacing w:before="11" w:line="290" w:lineRule="exact"/>
              <w:ind w:left="123"/>
              <w:rPr>
                <w:rFonts w:ascii="FangSong_GB2312" w:hAnsi="FangSong_GB2312" w:eastAsia="FangSong_GB2312" w:cs="FangSong_GB2312"/>
                <w:sz w:val="22"/>
                <w:szCs w:val="22"/>
              </w:rPr>
            </w:pPr>
            <w:r>
              <w:rPr>
                <w:rFonts w:ascii="FangSong_GB2312" w:hAnsi="FangSong_GB2312" w:eastAsia="FangSong_GB2312" w:cs="FangSong_GB2312"/>
                <w:spacing w:val="-1"/>
                <w:position w:val="1"/>
                <w:sz w:val="22"/>
                <w:szCs w:val="22"/>
              </w:rPr>
              <w:t>表人（主要负责人）有变更，或在现地址经营不满一年的，得</w:t>
            </w:r>
            <w:r>
              <w:rPr>
                <w:rFonts w:ascii="FangSong_GB2312" w:hAnsi="FangSong_GB2312" w:eastAsia="FangSong_GB2312" w:cs="FangSong_GB2312"/>
                <w:spacing w:val="-29"/>
                <w:position w:val="1"/>
                <w:sz w:val="22"/>
                <w:szCs w:val="22"/>
              </w:rPr>
              <w:t xml:space="preserve"> </w:t>
            </w:r>
            <w:r>
              <w:rPr>
                <w:spacing w:val="-1"/>
                <w:position w:val="1"/>
                <w:sz w:val="22"/>
                <w:szCs w:val="22"/>
              </w:rPr>
              <w:t xml:space="preserve">1 </w:t>
            </w:r>
            <w:r>
              <w:rPr>
                <w:rFonts w:ascii="FangSong_GB2312" w:hAnsi="FangSong_GB2312" w:eastAsia="FangSong_GB2312" w:cs="FangSong_GB2312"/>
                <w:spacing w:val="-2"/>
                <w:position w:val="1"/>
                <w:sz w:val="22"/>
                <w:szCs w:val="22"/>
              </w:rPr>
              <w:t>分。</w:t>
            </w:r>
          </w:p>
        </w:tc>
        <w:tc>
          <w:tcPr>
            <w:tcW w:w="1513" w:type="dxa"/>
            <w:vAlign w:val="top"/>
          </w:tcPr>
          <w:p w14:paraId="56DCEF79">
            <w:pPr>
              <w:rPr>
                <w:rFonts w:ascii="Arial"/>
                <w:sz w:val="21"/>
              </w:rPr>
            </w:pPr>
          </w:p>
        </w:tc>
      </w:tr>
      <w:tr w14:paraId="6F0B1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47" w:hRule="atLeast"/>
        </w:trPr>
        <w:tc>
          <w:tcPr>
            <w:tcW w:w="1516" w:type="dxa"/>
            <w:vMerge w:val="continue"/>
            <w:tcBorders>
              <w:top w:val="nil"/>
              <w:bottom w:val="nil"/>
            </w:tcBorders>
            <w:vAlign w:val="top"/>
          </w:tcPr>
          <w:p w14:paraId="0C96B7C9">
            <w:pPr>
              <w:rPr>
                <w:rFonts w:ascii="Arial"/>
                <w:sz w:val="21"/>
              </w:rPr>
            </w:pPr>
          </w:p>
        </w:tc>
        <w:tc>
          <w:tcPr>
            <w:tcW w:w="1811" w:type="dxa"/>
            <w:vAlign w:val="top"/>
          </w:tcPr>
          <w:p w14:paraId="7AE0A247">
            <w:pPr>
              <w:spacing w:before="275" w:line="217" w:lineRule="auto"/>
              <w:ind w:left="250"/>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场所设立情况</w:t>
            </w:r>
          </w:p>
          <w:p w14:paraId="4F483EEB">
            <w:pPr>
              <w:pStyle w:val="7"/>
              <w:spacing w:before="41" w:line="218"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2412CBB8">
            <w:pPr>
              <w:pStyle w:val="7"/>
              <w:spacing w:before="125" w:line="254" w:lineRule="auto"/>
              <w:ind w:left="125" w:right="55" w:hanging="2"/>
              <w:jc w:val="both"/>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机构独立设置，主体经营场所连续、便民，得</w:t>
            </w:r>
            <w:r>
              <w:rPr>
                <w:rFonts w:ascii="FangSong_GB2312" w:hAnsi="FangSong_GB2312" w:eastAsia="FangSong_GB2312" w:cs="FangSong_GB2312"/>
                <w:spacing w:val="-38"/>
                <w:sz w:val="22"/>
                <w:szCs w:val="22"/>
              </w:rPr>
              <w:t xml:space="preserve"> </w:t>
            </w:r>
            <w:r>
              <w:rPr>
                <w:spacing w:val="-4"/>
                <w:sz w:val="22"/>
                <w:szCs w:val="22"/>
              </w:rPr>
              <w:t xml:space="preserve">5 </w:t>
            </w:r>
            <w:r>
              <w:rPr>
                <w:rFonts w:ascii="FangSong_GB2312" w:hAnsi="FangSong_GB2312" w:eastAsia="FangSong_GB2312" w:cs="FangSong_GB2312"/>
                <w:spacing w:val="-4"/>
                <w:sz w:val="22"/>
                <w:szCs w:val="22"/>
              </w:rPr>
              <w:t>分。有下列情形之一的：机构未独立设置的，</w:t>
            </w:r>
            <w:r>
              <w:rPr>
                <w:rFonts w:ascii="FangSong_GB2312" w:hAnsi="FangSong_GB2312" w:eastAsia="FangSong_GB2312" w:cs="FangSong_GB2312"/>
                <w:sz w:val="22"/>
                <w:szCs w:val="22"/>
              </w:rPr>
              <w:t>主体经营场所平面隔断或楼层不连续的，经营场所起始楼层位于二层及二层以上的，经营场</w:t>
            </w:r>
            <w:r>
              <w:rPr>
                <w:rFonts w:ascii="FangSong_GB2312" w:hAnsi="FangSong_GB2312" w:eastAsia="FangSong_GB2312" w:cs="FangSong_GB2312"/>
                <w:spacing w:val="-1"/>
                <w:sz w:val="22"/>
                <w:szCs w:val="22"/>
              </w:rPr>
              <w:t>所无独立进出通道的，得</w:t>
            </w:r>
            <w:r>
              <w:rPr>
                <w:rFonts w:ascii="FangSong_GB2312" w:hAnsi="FangSong_GB2312" w:eastAsia="FangSong_GB2312" w:cs="FangSong_GB2312"/>
                <w:spacing w:val="-50"/>
                <w:sz w:val="22"/>
                <w:szCs w:val="22"/>
              </w:rPr>
              <w:t xml:space="preserve"> </w:t>
            </w:r>
            <w:r>
              <w:rPr>
                <w:spacing w:val="-1"/>
                <w:sz w:val="22"/>
                <w:szCs w:val="22"/>
              </w:rPr>
              <w:t xml:space="preserve">0 </w:t>
            </w:r>
            <w:r>
              <w:rPr>
                <w:rFonts w:ascii="FangSong_GB2312" w:hAnsi="FangSong_GB2312" w:eastAsia="FangSong_GB2312" w:cs="FangSong_GB2312"/>
                <w:spacing w:val="-1"/>
                <w:sz w:val="22"/>
                <w:szCs w:val="22"/>
              </w:rPr>
              <w:t>分。</w:t>
            </w:r>
          </w:p>
        </w:tc>
        <w:tc>
          <w:tcPr>
            <w:tcW w:w="1513" w:type="dxa"/>
            <w:vAlign w:val="top"/>
          </w:tcPr>
          <w:p w14:paraId="610B4C3D">
            <w:pPr>
              <w:rPr>
                <w:rFonts w:ascii="Arial"/>
                <w:sz w:val="21"/>
              </w:rPr>
            </w:pPr>
          </w:p>
        </w:tc>
      </w:tr>
      <w:tr w14:paraId="09079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trPr>
        <w:tc>
          <w:tcPr>
            <w:tcW w:w="1516" w:type="dxa"/>
            <w:vMerge w:val="continue"/>
            <w:tcBorders>
              <w:top w:val="nil"/>
            </w:tcBorders>
            <w:vAlign w:val="top"/>
          </w:tcPr>
          <w:p w14:paraId="4B2011E6">
            <w:pPr>
              <w:rPr>
                <w:rFonts w:ascii="Arial"/>
                <w:sz w:val="21"/>
              </w:rPr>
            </w:pPr>
          </w:p>
        </w:tc>
        <w:tc>
          <w:tcPr>
            <w:tcW w:w="1811" w:type="dxa"/>
            <w:vAlign w:val="top"/>
          </w:tcPr>
          <w:p w14:paraId="6C0FEFDF">
            <w:pPr>
              <w:spacing w:before="71" w:line="216" w:lineRule="auto"/>
              <w:ind w:left="35"/>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经营场所使用权或</w:t>
            </w:r>
          </w:p>
          <w:p w14:paraId="6F191502">
            <w:pPr>
              <w:spacing w:before="43" w:line="214" w:lineRule="auto"/>
              <w:ind w:left="34"/>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租赁合同剩余有效</w:t>
            </w:r>
          </w:p>
          <w:p w14:paraId="1571769A">
            <w:pPr>
              <w:spacing w:before="44" w:line="217" w:lineRule="auto"/>
              <w:ind w:left="693"/>
              <w:rPr>
                <w:rFonts w:ascii="FangSong_GB2312" w:hAnsi="FangSong_GB2312" w:eastAsia="FangSong_GB2312" w:cs="FangSong_GB2312"/>
                <w:sz w:val="22"/>
                <w:szCs w:val="22"/>
              </w:rPr>
            </w:pPr>
            <w:r>
              <w:rPr>
                <w:rFonts w:ascii="FangSong_GB2312" w:hAnsi="FangSong_GB2312" w:eastAsia="FangSong_GB2312" w:cs="FangSong_GB2312"/>
                <w:spacing w:val="-6"/>
                <w:sz w:val="22"/>
                <w:szCs w:val="22"/>
              </w:rPr>
              <w:t>期限</w:t>
            </w:r>
          </w:p>
          <w:p w14:paraId="42D58CC3">
            <w:pPr>
              <w:pStyle w:val="7"/>
              <w:spacing w:before="40" w:line="215"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1A6BB0EE">
            <w:pPr>
              <w:spacing w:line="265" w:lineRule="auto"/>
              <w:rPr>
                <w:rFonts w:ascii="Arial"/>
                <w:sz w:val="21"/>
              </w:rPr>
            </w:pPr>
          </w:p>
          <w:p w14:paraId="48EFB3E1">
            <w:pPr>
              <w:pStyle w:val="7"/>
              <w:spacing w:before="71" w:line="263" w:lineRule="auto"/>
              <w:ind w:left="127" w:right="114" w:firstLine="37"/>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自提交申请之日起算，剩余有效期限满</w:t>
            </w:r>
            <w:r>
              <w:rPr>
                <w:rFonts w:ascii="FangSong_GB2312" w:hAnsi="FangSong_GB2312" w:eastAsia="FangSong_GB2312" w:cs="FangSong_GB2312"/>
                <w:spacing w:val="-32"/>
                <w:sz w:val="22"/>
                <w:szCs w:val="22"/>
              </w:rPr>
              <w:t xml:space="preserve"> </w:t>
            </w:r>
            <w:r>
              <w:rPr>
                <w:spacing w:val="-4"/>
                <w:sz w:val="22"/>
                <w:szCs w:val="22"/>
              </w:rPr>
              <w:t xml:space="preserve">1 </w:t>
            </w:r>
            <w:r>
              <w:rPr>
                <w:rFonts w:ascii="FangSong_GB2312" w:hAnsi="FangSong_GB2312" w:eastAsia="FangSong_GB2312" w:cs="FangSong_GB2312"/>
                <w:spacing w:val="-4"/>
                <w:sz w:val="22"/>
                <w:szCs w:val="22"/>
              </w:rPr>
              <w:t>年不足</w:t>
            </w:r>
            <w:r>
              <w:rPr>
                <w:spacing w:val="-4"/>
                <w:sz w:val="22"/>
                <w:szCs w:val="22"/>
              </w:rPr>
              <w:t xml:space="preserve">3 </w:t>
            </w:r>
            <w:r>
              <w:rPr>
                <w:rFonts w:ascii="FangSong_GB2312" w:hAnsi="FangSong_GB2312" w:eastAsia="FangSong_GB2312" w:cs="FangSong_GB2312"/>
                <w:spacing w:val="-4"/>
                <w:sz w:val="22"/>
                <w:szCs w:val="22"/>
              </w:rPr>
              <w:t>年，得</w:t>
            </w:r>
            <w:r>
              <w:rPr>
                <w:rFonts w:ascii="FangSong_GB2312" w:hAnsi="FangSong_GB2312" w:eastAsia="FangSong_GB2312" w:cs="FangSong_GB2312"/>
                <w:spacing w:val="-29"/>
                <w:sz w:val="22"/>
                <w:szCs w:val="22"/>
              </w:rPr>
              <w:t xml:space="preserve"> </w:t>
            </w:r>
            <w:r>
              <w:rPr>
                <w:spacing w:val="-4"/>
                <w:sz w:val="22"/>
                <w:szCs w:val="22"/>
              </w:rPr>
              <w:t xml:space="preserve">1 </w:t>
            </w:r>
            <w:r>
              <w:rPr>
                <w:rFonts w:ascii="FangSong_GB2312" w:hAnsi="FangSong_GB2312" w:eastAsia="FangSong_GB2312" w:cs="FangSong_GB2312"/>
                <w:spacing w:val="-4"/>
                <w:sz w:val="22"/>
                <w:szCs w:val="22"/>
              </w:rPr>
              <w:t>分；满</w:t>
            </w:r>
            <w:r>
              <w:rPr>
                <w:rFonts w:ascii="FangSong_GB2312" w:hAnsi="FangSong_GB2312" w:eastAsia="FangSong_GB2312" w:cs="FangSong_GB2312"/>
                <w:spacing w:val="-46"/>
                <w:sz w:val="22"/>
                <w:szCs w:val="22"/>
              </w:rPr>
              <w:t xml:space="preserve"> </w:t>
            </w:r>
            <w:r>
              <w:rPr>
                <w:spacing w:val="-4"/>
                <w:sz w:val="22"/>
                <w:szCs w:val="22"/>
              </w:rPr>
              <w:t xml:space="preserve">3 </w:t>
            </w:r>
            <w:r>
              <w:rPr>
                <w:rFonts w:ascii="FangSong_GB2312" w:hAnsi="FangSong_GB2312" w:eastAsia="FangSong_GB2312" w:cs="FangSong_GB2312"/>
                <w:spacing w:val="-4"/>
                <w:sz w:val="22"/>
                <w:szCs w:val="22"/>
              </w:rPr>
              <w:t>年不足</w:t>
            </w:r>
            <w:r>
              <w:rPr>
                <w:rFonts w:ascii="FangSong_GB2312" w:hAnsi="FangSong_GB2312" w:eastAsia="FangSong_GB2312" w:cs="FangSong_GB2312"/>
                <w:spacing w:val="-44"/>
                <w:sz w:val="22"/>
                <w:szCs w:val="22"/>
              </w:rPr>
              <w:t xml:space="preserve"> </w:t>
            </w:r>
            <w:r>
              <w:rPr>
                <w:spacing w:val="-4"/>
                <w:sz w:val="22"/>
                <w:szCs w:val="22"/>
              </w:rPr>
              <w:t>5</w:t>
            </w:r>
            <w:r>
              <w:rPr>
                <w:spacing w:val="9"/>
                <w:sz w:val="22"/>
                <w:szCs w:val="22"/>
              </w:rPr>
              <w:t xml:space="preserve"> </w:t>
            </w:r>
            <w:r>
              <w:rPr>
                <w:rFonts w:ascii="FangSong_GB2312" w:hAnsi="FangSong_GB2312" w:eastAsia="FangSong_GB2312" w:cs="FangSong_GB2312"/>
                <w:spacing w:val="-4"/>
                <w:sz w:val="22"/>
                <w:szCs w:val="22"/>
              </w:rPr>
              <w:t>年，得</w:t>
            </w:r>
            <w:r>
              <w:rPr>
                <w:rFonts w:ascii="FangSong_GB2312" w:hAnsi="FangSong_GB2312" w:eastAsia="FangSong_GB2312" w:cs="FangSong_GB2312"/>
                <w:spacing w:val="-49"/>
                <w:sz w:val="22"/>
                <w:szCs w:val="22"/>
              </w:rPr>
              <w:t xml:space="preserve"> </w:t>
            </w:r>
            <w:r>
              <w:rPr>
                <w:spacing w:val="-4"/>
                <w:sz w:val="22"/>
                <w:szCs w:val="22"/>
              </w:rPr>
              <w:t>3</w:t>
            </w:r>
            <w:r>
              <w:rPr>
                <w:spacing w:val="11"/>
                <w:sz w:val="22"/>
                <w:szCs w:val="22"/>
              </w:rPr>
              <w:t xml:space="preserve"> </w:t>
            </w:r>
            <w:r>
              <w:rPr>
                <w:rFonts w:ascii="FangSong_GB2312" w:hAnsi="FangSong_GB2312" w:eastAsia="FangSong_GB2312" w:cs="FangSong_GB2312"/>
                <w:spacing w:val="-4"/>
                <w:sz w:val="22"/>
                <w:szCs w:val="22"/>
              </w:rPr>
              <w:t>分</w:t>
            </w:r>
            <w:r>
              <w:rPr>
                <w:rFonts w:ascii="FangSong_GB2312" w:hAnsi="FangSong_GB2312" w:eastAsia="FangSong_GB2312" w:cs="FangSong_GB2312"/>
                <w:spacing w:val="-5"/>
                <w:sz w:val="22"/>
                <w:szCs w:val="22"/>
              </w:rPr>
              <w:t>；</w:t>
            </w:r>
            <w:r>
              <w:rPr>
                <w:spacing w:val="-5"/>
                <w:sz w:val="22"/>
                <w:szCs w:val="22"/>
              </w:rPr>
              <w:t>5</w:t>
            </w:r>
            <w:r>
              <w:rPr>
                <w:rFonts w:ascii="FangSong_GB2312" w:hAnsi="FangSong_GB2312" w:eastAsia="FangSong_GB2312" w:cs="FangSong_GB2312"/>
                <w:spacing w:val="-2"/>
                <w:sz w:val="22"/>
                <w:szCs w:val="22"/>
              </w:rPr>
              <w:t>年及以上或产权所有，得</w:t>
            </w:r>
            <w:r>
              <w:rPr>
                <w:rFonts w:ascii="FangSong_GB2312" w:hAnsi="FangSong_GB2312" w:eastAsia="FangSong_GB2312" w:cs="FangSong_GB2312"/>
                <w:spacing w:val="-43"/>
                <w:sz w:val="22"/>
                <w:szCs w:val="22"/>
              </w:rPr>
              <w:t xml:space="preserve"> </w:t>
            </w:r>
            <w:r>
              <w:rPr>
                <w:spacing w:val="-2"/>
                <w:sz w:val="22"/>
                <w:szCs w:val="22"/>
              </w:rPr>
              <w:t xml:space="preserve">5 </w:t>
            </w:r>
            <w:r>
              <w:rPr>
                <w:rFonts w:ascii="FangSong_GB2312" w:hAnsi="FangSong_GB2312" w:eastAsia="FangSong_GB2312" w:cs="FangSong_GB2312"/>
                <w:spacing w:val="-2"/>
                <w:sz w:val="22"/>
                <w:szCs w:val="22"/>
              </w:rPr>
              <w:t>分，不满</w:t>
            </w:r>
            <w:r>
              <w:rPr>
                <w:rFonts w:ascii="FangSong_GB2312" w:hAnsi="FangSong_GB2312" w:eastAsia="FangSong_GB2312" w:cs="FangSong_GB2312"/>
                <w:spacing w:val="-29"/>
                <w:sz w:val="22"/>
                <w:szCs w:val="22"/>
              </w:rPr>
              <w:t xml:space="preserve"> </w:t>
            </w:r>
            <w:r>
              <w:rPr>
                <w:spacing w:val="-2"/>
                <w:sz w:val="22"/>
                <w:szCs w:val="22"/>
              </w:rPr>
              <w:t xml:space="preserve">1 </w:t>
            </w:r>
            <w:r>
              <w:rPr>
                <w:rFonts w:ascii="FangSong_GB2312" w:hAnsi="FangSong_GB2312" w:eastAsia="FangSong_GB2312" w:cs="FangSong_GB2312"/>
                <w:spacing w:val="-2"/>
                <w:sz w:val="22"/>
                <w:szCs w:val="22"/>
              </w:rPr>
              <w:t>年的不得分。</w:t>
            </w:r>
          </w:p>
        </w:tc>
        <w:tc>
          <w:tcPr>
            <w:tcW w:w="1513" w:type="dxa"/>
            <w:vAlign w:val="top"/>
          </w:tcPr>
          <w:p w14:paraId="4DCD80C1">
            <w:pPr>
              <w:rPr>
                <w:rFonts w:ascii="Arial"/>
                <w:sz w:val="21"/>
              </w:rPr>
            </w:pPr>
          </w:p>
        </w:tc>
      </w:tr>
    </w:tbl>
    <w:p w14:paraId="5C7B36F3">
      <w:pPr>
        <w:rPr>
          <w:rFonts w:ascii="Arial"/>
          <w:sz w:val="21"/>
        </w:rPr>
      </w:pPr>
    </w:p>
    <w:p w14:paraId="62F2A0B7">
      <w:pPr>
        <w:rPr>
          <w:rFonts w:ascii="Arial" w:hAnsi="Arial" w:eastAsia="Arial" w:cs="Arial"/>
          <w:sz w:val="21"/>
          <w:szCs w:val="21"/>
        </w:rPr>
        <w:sectPr>
          <w:footerReference r:id="rId6" w:type="default"/>
          <w:pgSz w:w="16839" w:h="11906"/>
          <w:pgMar w:top="1012" w:right="1469" w:bottom="1318" w:left="1469" w:header="0" w:footer="1004" w:gutter="0"/>
          <w:cols w:space="720" w:num="1"/>
        </w:sectPr>
      </w:pPr>
    </w:p>
    <w:tbl>
      <w:tblPr>
        <w:tblStyle w:val="6"/>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03423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516" w:type="dxa"/>
            <w:vAlign w:val="top"/>
          </w:tcPr>
          <w:p w14:paraId="27CB6BD3">
            <w:pPr>
              <w:spacing w:before="44" w:line="222" w:lineRule="auto"/>
              <w:ind w:left="206"/>
              <w:rPr>
                <w:rFonts w:ascii="黑体" w:hAnsi="黑体" w:eastAsia="黑体" w:cs="黑体"/>
                <w:sz w:val="28"/>
                <w:szCs w:val="28"/>
              </w:rPr>
            </w:pPr>
            <w:r>
              <w:rPr>
                <w:rFonts w:ascii="黑体" w:hAnsi="黑体" w:eastAsia="黑体" w:cs="黑体"/>
                <w:spacing w:val="-3"/>
                <w:sz w:val="28"/>
                <w:szCs w:val="28"/>
              </w:rPr>
              <w:t>指标类别</w:t>
            </w:r>
          </w:p>
        </w:tc>
        <w:tc>
          <w:tcPr>
            <w:tcW w:w="1811" w:type="dxa"/>
            <w:vAlign w:val="top"/>
          </w:tcPr>
          <w:p w14:paraId="4238E295">
            <w:pPr>
              <w:spacing w:before="45" w:line="222" w:lineRule="auto"/>
              <w:ind w:left="350"/>
              <w:rPr>
                <w:rFonts w:ascii="黑体" w:hAnsi="黑体" w:eastAsia="黑体" w:cs="黑体"/>
                <w:sz w:val="28"/>
                <w:szCs w:val="28"/>
              </w:rPr>
            </w:pPr>
            <w:r>
              <w:rPr>
                <w:rFonts w:ascii="黑体" w:hAnsi="黑体" w:eastAsia="黑体" w:cs="黑体"/>
                <w:spacing w:val="-3"/>
                <w:sz w:val="28"/>
                <w:szCs w:val="28"/>
              </w:rPr>
              <w:t>评估项目</w:t>
            </w:r>
          </w:p>
        </w:tc>
        <w:tc>
          <w:tcPr>
            <w:tcW w:w="9054" w:type="dxa"/>
            <w:vAlign w:val="top"/>
          </w:tcPr>
          <w:p w14:paraId="3F3846F6">
            <w:pPr>
              <w:spacing w:before="45" w:line="222" w:lineRule="auto"/>
              <w:ind w:left="3973"/>
              <w:rPr>
                <w:rFonts w:ascii="黑体" w:hAnsi="黑体" w:eastAsia="黑体" w:cs="黑体"/>
                <w:sz w:val="28"/>
                <w:szCs w:val="28"/>
              </w:rPr>
            </w:pPr>
            <w:r>
              <w:rPr>
                <w:rFonts w:ascii="黑体" w:hAnsi="黑体" w:eastAsia="黑体" w:cs="黑体"/>
                <w:spacing w:val="-2"/>
                <w:sz w:val="28"/>
                <w:szCs w:val="28"/>
              </w:rPr>
              <w:t>评估标准</w:t>
            </w:r>
          </w:p>
        </w:tc>
        <w:tc>
          <w:tcPr>
            <w:tcW w:w="1513" w:type="dxa"/>
            <w:vAlign w:val="top"/>
          </w:tcPr>
          <w:p w14:paraId="0EA04636">
            <w:pPr>
              <w:spacing w:before="45" w:line="222" w:lineRule="auto"/>
              <w:ind w:left="204"/>
              <w:rPr>
                <w:rFonts w:ascii="黑体" w:hAnsi="黑体" w:eastAsia="黑体" w:cs="黑体"/>
                <w:sz w:val="28"/>
                <w:szCs w:val="28"/>
              </w:rPr>
            </w:pPr>
            <w:r>
              <w:rPr>
                <w:rFonts w:ascii="黑体" w:hAnsi="黑体" w:eastAsia="黑体" w:cs="黑体"/>
                <w:spacing w:val="-3"/>
                <w:sz w:val="28"/>
                <w:szCs w:val="28"/>
              </w:rPr>
              <w:t>评估情况</w:t>
            </w:r>
          </w:p>
        </w:tc>
      </w:tr>
      <w:tr w14:paraId="19296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Align w:val="top"/>
          </w:tcPr>
          <w:p w14:paraId="26DD201A">
            <w:pPr>
              <w:rPr>
                <w:rFonts w:ascii="Arial"/>
                <w:sz w:val="21"/>
              </w:rPr>
            </w:pPr>
          </w:p>
        </w:tc>
        <w:tc>
          <w:tcPr>
            <w:tcW w:w="1811" w:type="dxa"/>
            <w:vAlign w:val="top"/>
          </w:tcPr>
          <w:p w14:paraId="2C3EBF92">
            <w:pPr>
              <w:spacing w:before="65" w:line="214" w:lineRule="auto"/>
              <w:ind w:left="52"/>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同级同类别定点间</w:t>
            </w:r>
          </w:p>
          <w:p w14:paraId="74E3D473">
            <w:pPr>
              <w:spacing w:before="44" w:line="217" w:lineRule="auto"/>
              <w:ind w:left="585"/>
              <w:rPr>
                <w:rFonts w:ascii="FangSong_GB2312" w:hAnsi="FangSong_GB2312" w:eastAsia="FangSong_GB2312" w:cs="FangSong_GB2312"/>
                <w:sz w:val="22"/>
                <w:szCs w:val="22"/>
              </w:rPr>
            </w:pPr>
            <w:r>
              <w:rPr>
                <w:rFonts w:ascii="FangSong_GB2312" w:hAnsi="FangSong_GB2312" w:eastAsia="FangSong_GB2312" w:cs="FangSong_GB2312"/>
                <w:spacing w:val="-5"/>
                <w:sz w:val="22"/>
                <w:szCs w:val="22"/>
              </w:rPr>
              <w:t>距情况</w:t>
            </w:r>
          </w:p>
          <w:p w14:paraId="23F65B9A">
            <w:pPr>
              <w:pStyle w:val="7"/>
              <w:spacing w:before="41" w:line="217"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04DF32A6">
            <w:pPr>
              <w:pStyle w:val="7"/>
              <w:spacing w:before="184" w:line="255" w:lineRule="auto"/>
              <w:ind w:left="126" w:right="114" w:firstLine="3"/>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距最近同级同类定点医疗机构步行距离</w:t>
            </w:r>
            <w:r>
              <w:rPr>
                <w:rFonts w:ascii="FangSong_GB2312" w:hAnsi="FangSong_GB2312" w:eastAsia="FangSong_GB2312" w:cs="FangSong_GB2312"/>
                <w:spacing w:val="-10"/>
                <w:sz w:val="22"/>
                <w:szCs w:val="22"/>
              </w:rPr>
              <w:t xml:space="preserve"> </w:t>
            </w:r>
            <w:r>
              <w:rPr>
                <w:spacing w:val="3"/>
                <w:sz w:val="22"/>
                <w:szCs w:val="22"/>
              </w:rPr>
              <w:t>15</w:t>
            </w:r>
            <w:r>
              <w:rPr>
                <w:spacing w:val="15"/>
                <w:sz w:val="22"/>
                <w:szCs w:val="22"/>
              </w:rPr>
              <w:t xml:space="preserve"> </w:t>
            </w:r>
            <w:r>
              <w:rPr>
                <w:rFonts w:ascii="FangSong_GB2312" w:hAnsi="FangSong_GB2312" w:eastAsia="FangSong_GB2312" w:cs="FangSong_GB2312"/>
                <w:spacing w:val="3"/>
                <w:sz w:val="22"/>
                <w:szCs w:val="22"/>
              </w:rPr>
              <w:t>分钟以上不足</w:t>
            </w:r>
            <w:r>
              <w:rPr>
                <w:rFonts w:ascii="FangSong_GB2312" w:hAnsi="FangSong_GB2312" w:eastAsia="FangSong_GB2312" w:cs="FangSong_GB2312"/>
                <w:spacing w:val="-48"/>
                <w:sz w:val="22"/>
                <w:szCs w:val="22"/>
              </w:rPr>
              <w:t xml:space="preserve"> </w:t>
            </w:r>
            <w:r>
              <w:rPr>
                <w:spacing w:val="3"/>
                <w:sz w:val="22"/>
                <w:szCs w:val="22"/>
              </w:rPr>
              <w:t xml:space="preserve">20 </w:t>
            </w:r>
            <w:r>
              <w:rPr>
                <w:rFonts w:ascii="FangSong_GB2312" w:hAnsi="FangSong_GB2312" w:eastAsia="FangSong_GB2312" w:cs="FangSong_GB2312"/>
                <w:spacing w:val="3"/>
                <w:sz w:val="22"/>
                <w:szCs w:val="22"/>
              </w:rPr>
              <w:t>分钟的，得</w:t>
            </w:r>
            <w:r>
              <w:rPr>
                <w:rFonts w:ascii="FangSong_GB2312" w:hAnsi="FangSong_GB2312" w:eastAsia="FangSong_GB2312" w:cs="FangSong_GB2312"/>
                <w:spacing w:val="-41"/>
                <w:sz w:val="22"/>
                <w:szCs w:val="22"/>
              </w:rPr>
              <w:t xml:space="preserve"> </w:t>
            </w:r>
            <w:r>
              <w:rPr>
                <w:spacing w:val="3"/>
                <w:sz w:val="22"/>
                <w:szCs w:val="22"/>
              </w:rPr>
              <w:t>3</w:t>
            </w:r>
            <w:r>
              <w:rPr>
                <w:spacing w:val="15"/>
                <w:w w:val="101"/>
                <w:sz w:val="22"/>
                <w:szCs w:val="22"/>
              </w:rPr>
              <w:t xml:space="preserve"> </w:t>
            </w:r>
            <w:r>
              <w:rPr>
                <w:rFonts w:ascii="FangSong_GB2312" w:hAnsi="FangSong_GB2312" w:eastAsia="FangSong_GB2312" w:cs="FangSong_GB2312"/>
                <w:spacing w:val="3"/>
                <w:sz w:val="22"/>
                <w:szCs w:val="22"/>
              </w:rPr>
              <w:t>分；步行距离</w:t>
            </w:r>
            <w:r>
              <w:rPr>
                <w:spacing w:val="3"/>
                <w:sz w:val="22"/>
                <w:szCs w:val="22"/>
              </w:rPr>
              <w:t>20</w:t>
            </w:r>
            <w:r>
              <w:rPr>
                <w:rFonts w:ascii="FangSong_GB2312" w:hAnsi="FangSong_GB2312" w:eastAsia="FangSong_GB2312" w:cs="FangSong_GB2312"/>
                <w:spacing w:val="-2"/>
                <w:sz w:val="22"/>
                <w:szCs w:val="22"/>
              </w:rPr>
              <w:t>分钟及以上的，得</w:t>
            </w:r>
            <w:r>
              <w:rPr>
                <w:rFonts w:ascii="FangSong_GB2312" w:hAnsi="FangSong_GB2312" w:eastAsia="FangSong_GB2312" w:cs="FangSong_GB2312"/>
                <w:spacing w:val="-42"/>
                <w:sz w:val="22"/>
                <w:szCs w:val="22"/>
              </w:rPr>
              <w:t xml:space="preserve"> </w:t>
            </w:r>
            <w:r>
              <w:rPr>
                <w:spacing w:val="-2"/>
                <w:sz w:val="22"/>
                <w:szCs w:val="22"/>
              </w:rPr>
              <w:t xml:space="preserve">5 </w:t>
            </w:r>
            <w:r>
              <w:rPr>
                <w:rFonts w:ascii="FangSong_GB2312" w:hAnsi="FangSong_GB2312" w:eastAsia="FangSong_GB2312" w:cs="FangSong_GB2312"/>
                <w:spacing w:val="-2"/>
                <w:sz w:val="22"/>
                <w:szCs w:val="22"/>
              </w:rPr>
              <w:t>分。</w:t>
            </w:r>
          </w:p>
        </w:tc>
        <w:tc>
          <w:tcPr>
            <w:tcW w:w="1513" w:type="dxa"/>
            <w:vAlign w:val="top"/>
          </w:tcPr>
          <w:p w14:paraId="1608C07B">
            <w:pPr>
              <w:rPr>
                <w:rFonts w:ascii="Arial"/>
                <w:sz w:val="21"/>
              </w:rPr>
            </w:pPr>
          </w:p>
        </w:tc>
      </w:tr>
      <w:tr w14:paraId="7D65A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3" w:hRule="atLeast"/>
        </w:trPr>
        <w:tc>
          <w:tcPr>
            <w:tcW w:w="1516" w:type="dxa"/>
            <w:vMerge w:val="restart"/>
            <w:tcBorders>
              <w:bottom w:val="nil"/>
            </w:tcBorders>
            <w:vAlign w:val="top"/>
          </w:tcPr>
          <w:p w14:paraId="4569AF3D">
            <w:pPr>
              <w:spacing w:line="273" w:lineRule="auto"/>
              <w:rPr>
                <w:rFonts w:ascii="Arial"/>
                <w:sz w:val="21"/>
              </w:rPr>
            </w:pPr>
          </w:p>
          <w:p w14:paraId="39600A3B">
            <w:pPr>
              <w:spacing w:line="273" w:lineRule="auto"/>
              <w:rPr>
                <w:rFonts w:ascii="Arial"/>
                <w:sz w:val="21"/>
              </w:rPr>
            </w:pPr>
          </w:p>
          <w:p w14:paraId="29170CD4">
            <w:pPr>
              <w:spacing w:line="273" w:lineRule="auto"/>
              <w:rPr>
                <w:rFonts w:ascii="Arial"/>
                <w:sz w:val="21"/>
              </w:rPr>
            </w:pPr>
          </w:p>
          <w:p w14:paraId="008A6D0F">
            <w:pPr>
              <w:spacing w:line="273" w:lineRule="auto"/>
              <w:rPr>
                <w:rFonts w:ascii="Arial"/>
                <w:sz w:val="21"/>
              </w:rPr>
            </w:pPr>
          </w:p>
          <w:p w14:paraId="43250F0C">
            <w:pPr>
              <w:spacing w:line="273" w:lineRule="auto"/>
              <w:rPr>
                <w:rFonts w:ascii="Arial"/>
                <w:sz w:val="21"/>
              </w:rPr>
            </w:pPr>
          </w:p>
          <w:p w14:paraId="6B55D0C4">
            <w:pPr>
              <w:spacing w:line="273" w:lineRule="auto"/>
              <w:rPr>
                <w:rFonts w:ascii="Arial"/>
                <w:sz w:val="21"/>
              </w:rPr>
            </w:pPr>
          </w:p>
          <w:p w14:paraId="15FCB290">
            <w:pPr>
              <w:spacing w:line="274" w:lineRule="auto"/>
              <w:rPr>
                <w:rFonts w:ascii="Arial"/>
                <w:sz w:val="21"/>
              </w:rPr>
            </w:pPr>
          </w:p>
          <w:p w14:paraId="4E46AE84">
            <w:pPr>
              <w:spacing w:before="71" w:line="214" w:lineRule="auto"/>
              <w:ind w:left="332"/>
              <w:rPr>
                <w:rFonts w:ascii="FangSong_GB2312" w:hAnsi="FangSong_GB2312" w:eastAsia="FangSong_GB2312" w:cs="FangSong_GB2312"/>
                <w:sz w:val="22"/>
                <w:szCs w:val="22"/>
              </w:rPr>
            </w:pPr>
            <w:r>
              <w:rPr>
                <w:rFonts w:ascii="FangSong_GB2312" w:hAnsi="FangSong_GB2312" w:eastAsia="FangSong_GB2312" w:cs="FangSong_GB2312"/>
                <w:b/>
                <w:bCs/>
                <w:spacing w:val="-7"/>
                <w:sz w:val="22"/>
                <w:szCs w:val="22"/>
              </w:rPr>
              <w:t>系统条件</w:t>
            </w:r>
          </w:p>
        </w:tc>
        <w:tc>
          <w:tcPr>
            <w:tcW w:w="1811" w:type="dxa"/>
            <w:vAlign w:val="top"/>
          </w:tcPr>
          <w:p w14:paraId="2D407810">
            <w:pPr>
              <w:spacing w:line="268" w:lineRule="auto"/>
              <w:rPr>
                <w:rFonts w:ascii="Arial"/>
                <w:sz w:val="21"/>
              </w:rPr>
            </w:pPr>
          </w:p>
          <w:p w14:paraId="5F5A9735">
            <w:pPr>
              <w:spacing w:line="268" w:lineRule="auto"/>
              <w:rPr>
                <w:rFonts w:ascii="Arial"/>
                <w:sz w:val="21"/>
              </w:rPr>
            </w:pPr>
          </w:p>
          <w:p w14:paraId="5E861340">
            <w:pPr>
              <w:spacing w:line="269" w:lineRule="auto"/>
              <w:rPr>
                <w:rFonts w:ascii="Arial"/>
                <w:sz w:val="21"/>
              </w:rPr>
            </w:pPr>
          </w:p>
          <w:p w14:paraId="051A60A6">
            <w:pPr>
              <w:spacing w:before="71" w:line="214" w:lineRule="auto"/>
              <w:ind w:left="23"/>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信息系统建设情况</w:t>
            </w:r>
          </w:p>
          <w:p w14:paraId="6ECE2B80">
            <w:pPr>
              <w:pStyle w:val="7"/>
              <w:spacing w:before="11" w:line="290" w:lineRule="exact"/>
              <w:ind w:left="435"/>
              <w:rPr>
                <w:rFonts w:ascii="FangSong_GB2312" w:hAnsi="FangSong_GB2312" w:eastAsia="FangSong_GB2312" w:cs="FangSong_GB2312"/>
                <w:sz w:val="22"/>
                <w:szCs w:val="22"/>
              </w:rPr>
            </w:pPr>
            <w:r>
              <w:rPr>
                <w:rFonts w:ascii="FangSong_GB2312" w:hAnsi="FangSong_GB2312" w:eastAsia="FangSong_GB2312" w:cs="FangSong_GB2312"/>
                <w:spacing w:val="-3"/>
                <w:position w:val="1"/>
                <w:sz w:val="22"/>
                <w:szCs w:val="22"/>
              </w:rPr>
              <w:t>（</w:t>
            </w:r>
            <w:r>
              <w:rPr>
                <w:spacing w:val="-3"/>
                <w:position w:val="1"/>
                <w:sz w:val="22"/>
                <w:szCs w:val="22"/>
              </w:rPr>
              <w:t>10</w:t>
            </w:r>
            <w:r>
              <w:rPr>
                <w:spacing w:val="14"/>
                <w:position w:val="1"/>
                <w:sz w:val="22"/>
                <w:szCs w:val="22"/>
              </w:rPr>
              <w:t xml:space="preserve"> </w:t>
            </w:r>
            <w:r>
              <w:rPr>
                <w:rFonts w:ascii="FangSong_GB2312" w:hAnsi="FangSong_GB2312" w:eastAsia="FangSong_GB2312" w:cs="FangSong_GB2312"/>
                <w:spacing w:val="-3"/>
                <w:position w:val="1"/>
                <w:sz w:val="22"/>
                <w:szCs w:val="22"/>
              </w:rPr>
              <w:t>分）</w:t>
            </w:r>
          </w:p>
        </w:tc>
        <w:tc>
          <w:tcPr>
            <w:tcW w:w="9054" w:type="dxa"/>
            <w:vAlign w:val="top"/>
          </w:tcPr>
          <w:p w14:paraId="1496208F">
            <w:pPr>
              <w:pStyle w:val="7"/>
              <w:spacing w:before="128" w:line="253" w:lineRule="auto"/>
              <w:ind w:left="122" w:right="114" w:firstLine="9"/>
              <w:rPr>
                <w:rFonts w:ascii="FangSong_GB2312" w:hAnsi="FangSong_GB2312" w:eastAsia="FangSong_GB2312" w:cs="FangSong_GB2312"/>
                <w:sz w:val="22"/>
                <w:szCs w:val="22"/>
              </w:rPr>
            </w:pPr>
            <w:r>
              <w:rPr>
                <w:rFonts w:ascii="FangSong_GB2312" w:hAnsi="FangSong_GB2312" w:eastAsia="FangSong_GB2312" w:cs="FangSong_GB2312"/>
                <w:sz w:val="22"/>
                <w:szCs w:val="22"/>
              </w:rPr>
              <w:t>具备符合医保协议管理要求的医院信息系统技术和接口标准，进销存、智能监控、电子病历等系统具备与医保系统对接条件，得</w:t>
            </w:r>
            <w:r>
              <w:rPr>
                <w:rFonts w:ascii="FangSong_GB2312" w:hAnsi="FangSong_GB2312" w:eastAsia="FangSong_GB2312" w:cs="FangSong_GB2312"/>
                <w:spacing w:val="-45"/>
                <w:sz w:val="22"/>
                <w:szCs w:val="22"/>
              </w:rPr>
              <w:t xml:space="preserve"> </w:t>
            </w:r>
            <w:r>
              <w:rPr>
                <w:sz w:val="22"/>
                <w:szCs w:val="22"/>
              </w:rPr>
              <w:t xml:space="preserve">5 </w:t>
            </w:r>
            <w:r>
              <w:rPr>
                <w:rFonts w:ascii="FangSong_GB2312" w:hAnsi="FangSong_GB2312" w:eastAsia="FangSong_GB2312" w:cs="FangSong_GB2312"/>
                <w:sz w:val="22"/>
                <w:szCs w:val="22"/>
              </w:rPr>
              <w:t>分；具备设立医保药品、诊疗项目、医疗服务设施、</w:t>
            </w:r>
            <w:r>
              <w:rPr>
                <w:rFonts w:ascii="FangSong_GB2312" w:hAnsi="FangSong_GB2312" w:eastAsia="FangSong_GB2312" w:cs="FangSong_GB2312"/>
                <w:spacing w:val="-1"/>
                <w:sz w:val="22"/>
                <w:szCs w:val="22"/>
              </w:rPr>
              <w:t>医用耗材、疾病病种等基础数据库的条件，按规定使用国家统一的医保编码，</w:t>
            </w:r>
            <w:r>
              <w:rPr>
                <w:rFonts w:ascii="FangSong_GB2312" w:hAnsi="FangSong_GB2312" w:eastAsia="FangSong_GB2312" w:cs="FangSong_GB2312"/>
                <w:spacing w:val="-60"/>
                <w:sz w:val="22"/>
                <w:szCs w:val="22"/>
              </w:rPr>
              <w:t xml:space="preserve"> </w:t>
            </w:r>
            <w:r>
              <w:rPr>
                <w:rFonts w:ascii="FangSong_GB2312" w:hAnsi="FangSong_GB2312" w:eastAsia="FangSong_GB2312" w:cs="FangSong_GB2312"/>
                <w:spacing w:val="-1"/>
                <w:sz w:val="22"/>
                <w:szCs w:val="22"/>
              </w:rPr>
              <w:t>已进行医保编码贯标的，得</w:t>
            </w:r>
            <w:r>
              <w:rPr>
                <w:rFonts w:ascii="FangSong_GB2312" w:hAnsi="FangSong_GB2312" w:eastAsia="FangSong_GB2312" w:cs="FangSong_GB2312"/>
                <w:spacing w:val="-39"/>
                <w:sz w:val="22"/>
                <w:szCs w:val="22"/>
              </w:rPr>
              <w:t xml:space="preserve"> </w:t>
            </w:r>
            <w:r>
              <w:rPr>
                <w:spacing w:val="-1"/>
                <w:sz w:val="22"/>
                <w:szCs w:val="22"/>
              </w:rPr>
              <w:t xml:space="preserve">2 </w:t>
            </w:r>
            <w:r>
              <w:rPr>
                <w:rFonts w:ascii="FangSong_GB2312" w:hAnsi="FangSong_GB2312" w:eastAsia="FangSong_GB2312" w:cs="FangSong_GB2312"/>
                <w:spacing w:val="-1"/>
                <w:sz w:val="22"/>
                <w:szCs w:val="22"/>
              </w:rPr>
              <w:t>分。具备推进医保</w:t>
            </w:r>
            <w:r>
              <w:rPr>
                <w:spacing w:val="-1"/>
                <w:sz w:val="22"/>
                <w:szCs w:val="22"/>
              </w:rPr>
              <w:t>“</w:t>
            </w:r>
            <w:r>
              <w:rPr>
                <w:spacing w:val="-27"/>
                <w:sz w:val="22"/>
                <w:szCs w:val="22"/>
              </w:rPr>
              <w:t xml:space="preserve"> </w:t>
            </w:r>
            <w:r>
              <w:rPr>
                <w:rFonts w:ascii="FangSong_GB2312" w:hAnsi="FangSong_GB2312" w:eastAsia="FangSong_GB2312" w:cs="FangSong_GB2312"/>
                <w:spacing w:val="-1"/>
                <w:sz w:val="22"/>
                <w:szCs w:val="22"/>
              </w:rPr>
              <w:t>三电子两支付</w:t>
            </w:r>
            <w:r>
              <w:rPr>
                <w:spacing w:val="-1"/>
                <w:sz w:val="22"/>
                <w:szCs w:val="22"/>
              </w:rPr>
              <w:t>”</w:t>
            </w:r>
            <w:r>
              <w:rPr>
                <w:spacing w:val="-22"/>
                <w:sz w:val="22"/>
                <w:szCs w:val="22"/>
              </w:rPr>
              <w:t xml:space="preserve"> </w:t>
            </w:r>
            <w:r>
              <w:rPr>
                <w:rFonts w:ascii="FangSong_GB2312" w:hAnsi="FangSong_GB2312" w:eastAsia="FangSong_GB2312" w:cs="FangSong_GB2312"/>
                <w:spacing w:val="-1"/>
                <w:sz w:val="22"/>
                <w:szCs w:val="22"/>
              </w:rPr>
              <w:t>医保数字化等有关应用以及开通本地、异</w:t>
            </w:r>
            <w:r>
              <w:rPr>
                <w:rFonts w:ascii="FangSong_GB2312" w:hAnsi="FangSong_GB2312" w:eastAsia="FangSong_GB2312" w:cs="FangSong_GB2312"/>
                <w:sz w:val="22"/>
                <w:szCs w:val="22"/>
              </w:rPr>
              <w:t>地医保个人账户</w:t>
            </w:r>
            <w:r>
              <w:rPr>
                <w:sz w:val="22"/>
                <w:szCs w:val="22"/>
              </w:rPr>
              <w:t>“</w:t>
            </w:r>
            <w:r>
              <w:rPr>
                <w:rFonts w:ascii="FangSong_GB2312" w:hAnsi="FangSong_GB2312" w:eastAsia="FangSong_GB2312" w:cs="FangSong_GB2312"/>
                <w:sz w:val="22"/>
                <w:szCs w:val="22"/>
              </w:rPr>
              <w:t>持医保电子凭证和实体社保卡支付</w:t>
            </w:r>
            <w:r>
              <w:rPr>
                <w:sz w:val="22"/>
                <w:szCs w:val="22"/>
              </w:rPr>
              <w:t>”</w:t>
            </w:r>
            <w:r>
              <w:rPr>
                <w:spacing w:val="-20"/>
                <w:sz w:val="22"/>
                <w:szCs w:val="22"/>
              </w:rPr>
              <w:t xml:space="preserve"> </w:t>
            </w:r>
            <w:r>
              <w:rPr>
                <w:rFonts w:ascii="FangSong_GB2312" w:hAnsi="FangSong_GB2312" w:eastAsia="FangSong_GB2312" w:cs="FangSong_GB2312"/>
                <w:sz w:val="22"/>
                <w:szCs w:val="22"/>
              </w:rPr>
              <w:t>两种消费模式等条件，按要求向医保信息系统传送全部就诊人员相关信息，具备直接联网结算条件，具备应用药品耗材追溯码的条</w:t>
            </w:r>
            <w:r>
              <w:rPr>
                <w:rFonts w:ascii="FangSong_GB2312" w:hAnsi="FangSong_GB2312" w:eastAsia="FangSong_GB2312" w:cs="FangSong_GB2312"/>
                <w:spacing w:val="-1"/>
                <w:sz w:val="22"/>
                <w:szCs w:val="22"/>
              </w:rPr>
              <w:t>件，能够及时准确采集追溯码的，得</w:t>
            </w:r>
            <w:r>
              <w:rPr>
                <w:rFonts w:ascii="FangSong_GB2312" w:hAnsi="FangSong_GB2312" w:eastAsia="FangSong_GB2312" w:cs="FangSong_GB2312"/>
                <w:spacing w:val="-42"/>
                <w:sz w:val="22"/>
                <w:szCs w:val="22"/>
              </w:rPr>
              <w:t xml:space="preserve"> </w:t>
            </w:r>
            <w:r>
              <w:rPr>
                <w:spacing w:val="-1"/>
                <w:sz w:val="22"/>
                <w:szCs w:val="22"/>
              </w:rPr>
              <w:t xml:space="preserve">3 </w:t>
            </w:r>
            <w:r>
              <w:rPr>
                <w:rFonts w:ascii="FangSong_GB2312" w:hAnsi="FangSong_GB2312" w:eastAsia="FangSong_GB2312" w:cs="FangSong_GB2312"/>
                <w:spacing w:val="-1"/>
                <w:sz w:val="22"/>
                <w:szCs w:val="22"/>
              </w:rPr>
              <w:t>分。</w:t>
            </w:r>
          </w:p>
        </w:tc>
        <w:tc>
          <w:tcPr>
            <w:tcW w:w="1513" w:type="dxa"/>
            <w:vAlign w:val="top"/>
          </w:tcPr>
          <w:p w14:paraId="73783033">
            <w:pPr>
              <w:rPr>
                <w:rFonts w:ascii="Arial"/>
                <w:sz w:val="21"/>
              </w:rPr>
            </w:pPr>
          </w:p>
        </w:tc>
      </w:tr>
      <w:tr w14:paraId="611E2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8" w:hRule="atLeast"/>
        </w:trPr>
        <w:tc>
          <w:tcPr>
            <w:tcW w:w="1516" w:type="dxa"/>
            <w:vMerge w:val="continue"/>
            <w:tcBorders>
              <w:top w:val="nil"/>
              <w:bottom w:val="nil"/>
            </w:tcBorders>
            <w:vAlign w:val="top"/>
          </w:tcPr>
          <w:p w14:paraId="74B6A8C0">
            <w:pPr>
              <w:rPr>
                <w:rFonts w:ascii="Arial"/>
                <w:sz w:val="21"/>
              </w:rPr>
            </w:pPr>
          </w:p>
        </w:tc>
        <w:tc>
          <w:tcPr>
            <w:tcW w:w="1811" w:type="dxa"/>
            <w:vAlign w:val="top"/>
          </w:tcPr>
          <w:p w14:paraId="7D2196C8">
            <w:pPr>
              <w:spacing w:before="240" w:line="217" w:lineRule="auto"/>
              <w:ind w:left="146"/>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数据及技术人员</w:t>
            </w:r>
          </w:p>
          <w:p w14:paraId="378E73EB">
            <w:pPr>
              <w:pStyle w:val="7"/>
              <w:spacing w:before="41" w:line="218"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5D647C88">
            <w:pPr>
              <w:pStyle w:val="7"/>
              <w:spacing w:before="208" w:line="262" w:lineRule="auto"/>
              <w:ind w:left="141" w:right="114" w:hanging="23"/>
              <w:rPr>
                <w:rFonts w:ascii="FangSong_GB2312" w:hAnsi="FangSong_GB2312" w:eastAsia="FangSong_GB2312" w:cs="FangSong_GB2312"/>
                <w:sz w:val="22"/>
                <w:szCs w:val="22"/>
              </w:rPr>
            </w:pPr>
            <w:r>
              <w:rPr>
                <w:rFonts w:ascii="FangSong_GB2312" w:hAnsi="FangSong_GB2312" w:eastAsia="FangSong_GB2312" w:cs="FangSong_GB2312"/>
                <w:sz w:val="22"/>
                <w:szCs w:val="22"/>
              </w:rPr>
              <w:t>信息系统数据准确全面，数据保存不少于</w:t>
            </w:r>
            <w:r>
              <w:rPr>
                <w:rFonts w:ascii="FangSong_GB2312" w:hAnsi="FangSong_GB2312" w:eastAsia="FangSong_GB2312" w:cs="FangSong_GB2312"/>
                <w:spacing w:val="-46"/>
                <w:sz w:val="22"/>
                <w:szCs w:val="22"/>
              </w:rPr>
              <w:t xml:space="preserve"> </w:t>
            </w:r>
            <w:r>
              <w:rPr>
                <w:sz w:val="22"/>
                <w:szCs w:val="22"/>
              </w:rPr>
              <w:t xml:space="preserve">3 </w:t>
            </w:r>
            <w:r>
              <w:rPr>
                <w:rFonts w:ascii="FangSong_GB2312" w:hAnsi="FangSong_GB2312" w:eastAsia="FangSong_GB2312" w:cs="FangSong_GB2312"/>
                <w:sz w:val="22"/>
                <w:szCs w:val="22"/>
              </w:rPr>
              <w:t>个月，得</w:t>
            </w:r>
            <w:r>
              <w:rPr>
                <w:rFonts w:ascii="FangSong_GB2312" w:hAnsi="FangSong_GB2312" w:eastAsia="FangSong_GB2312" w:cs="FangSong_GB2312"/>
                <w:spacing w:val="-46"/>
                <w:sz w:val="22"/>
                <w:szCs w:val="22"/>
              </w:rPr>
              <w:t xml:space="preserve"> </w:t>
            </w:r>
            <w:r>
              <w:rPr>
                <w:sz w:val="22"/>
                <w:szCs w:val="22"/>
              </w:rPr>
              <w:t xml:space="preserve">3 </w:t>
            </w:r>
            <w:r>
              <w:rPr>
                <w:rFonts w:ascii="FangSong_GB2312" w:hAnsi="FangSong_GB2312" w:eastAsia="FangSong_GB2312" w:cs="FangSong_GB2312"/>
                <w:sz w:val="22"/>
                <w:szCs w:val="22"/>
              </w:rPr>
              <w:t>分；配备专（兼）职信息系</w:t>
            </w:r>
            <w:r>
              <w:rPr>
                <w:rFonts w:ascii="FangSong_GB2312" w:hAnsi="FangSong_GB2312" w:eastAsia="FangSong_GB2312" w:cs="FangSong_GB2312"/>
                <w:spacing w:val="-1"/>
                <w:sz w:val="22"/>
                <w:szCs w:val="22"/>
              </w:rPr>
              <w:t>统管理人员，并签订劳动合同，严格规范落实相关制度并开展实际工作的，得</w:t>
            </w:r>
            <w:r>
              <w:rPr>
                <w:rFonts w:ascii="FangSong_GB2312" w:hAnsi="FangSong_GB2312" w:eastAsia="FangSong_GB2312" w:cs="FangSong_GB2312"/>
                <w:spacing w:val="-46"/>
                <w:sz w:val="22"/>
                <w:szCs w:val="22"/>
              </w:rPr>
              <w:t xml:space="preserve"> </w:t>
            </w:r>
            <w:r>
              <w:rPr>
                <w:spacing w:val="-1"/>
                <w:sz w:val="22"/>
                <w:szCs w:val="22"/>
              </w:rPr>
              <w:t xml:space="preserve">2 </w:t>
            </w:r>
            <w:r>
              <w:rPr>
                <w:rFonts w:ascii="FangSong_GB2312" w:hAnsi="FangSong_GB2312" w:eastAsia="FangSong_GB2312" w:cs="FangSong_GB2312"/>
                <w:spacing w:val="-1"/>
                <w:sz w:val="22"/>
                <w:szCs w:val="22"/>
              </w:rPr>
              <w:t>分。</w:t>
            </w:r>
          </w:p>
        </w:tc>
        <w:tc>
          <w:tcPr>
            <w:tcW w:w="1513" w:type="dxa"/>
            <w:vAlign w:val="top"/>
          </w:tcPr>
          <w:p w14:paraId="70A82105">
            <w:pPr>
              <w:rPr>
                <w:rFonts w:ascii="Arial"/>
                <w:sz w:val="21"/>
              </w:rPr>
            </w:pPr>
          </w:p>
        </w:tc>
      </w:tr>
      <w:tr w14:paraId="44DD1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516" w:type="dxa"/>
            <w:vMerge w:val="continue"/>
            <w:tcBorders>
              <w:top w:val="nil"/>
            </w:tcBorders>
            <w:vAlign w:val="top"/>
          </w:tcPr>
          <w:p w14:paraId="0A29882F">
            <w:pPr>
              <w:rPr>
                <w:rFonts w:ascii="Arial"/>
                <w:sz w:val="21"/>
              </w:rPr>
            </w:pPr>
          </w:p>
        </w:tc>
        <w:tc>
          <w:tcPr>
            <w:tcW w:w="1811" w:type="dxa"/>
            <w:vAlign w:val="top"/>
          </w:tcPr>
          <w:p w14:paraId="115D3C6D">
            <w:pPr>
              <w:spacing w:before="219" w:line="217" w:lineRule="auto"/>
              <w:ind w:left="258"/>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监控设备情况</w:t>
            </w:r>
          </w:p>
          <w:p w14:paraId="61C06A68">
            <w:pPr>
              <w:pStyle w:val="7"/>
              <w:spacing w:before="41" w:line="218"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25966FA6">
            <w:pPr>
              <w:pStyle w:val="7"/>
              <w:spacing w:before="69" w:line="239" w:lineRule="auto"/>
              <w:ind w:left="119" w:right="49" w:firstLine="7"/>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在收费结算处等公共场所安装监控设备，确保正常使用，角度正确，能清晰地辨认出参保人员面部特征。并能提供营业期间不少于</w:t>
            </w:r>
            <w:r>
              <w:rPr>
                <w:rFonts w:ascii="FangSong_GB2312" w:hAnsi="FangSong_GB2312" w:eastAsia="FangSong_GB2312" w:cs="FangSong_GB2312"/>
                <w:spacing w:val="-48"/>
                <w:sz w:val="22"/>
                <w:szCs w:val="22"/>
              </w:rPr>
              <w:t xml:space="preserve"> </w:t>
            </w:r>
            <w:r>
              <w:rPr>
                <w:sz w:val="22"/>
                <w:szCs w:val="22"/>
              </w:rPr>
              <w:t xml:space="preserve">3 </w:t>
            </w:r>
            <w:r>
              <w:rPr>
                <w:rFonts w:ascii="FangSong_GB2312" w:hAnsi="FangSong_GB2312" w:eastAsia="FangSong_GB2312" w:cs="FangSong_GB2312"/>
                <w:sz w:val="22"/>
                <w:szCs w:val="22"/>
              </w:rPr>
              <w:t>个月不间断的监控影像资料的，得</w:t>
            </w:r>
            <w:r>
              <w:rPr>
                <w:rFonts w:ascii="FangSong_GB2312" w:hAnsi="FangSong_GB2312" w:eastAsia="FangSong_GB2312" w:cs="FangSong_GB2312"/>
                <w:spacing w:val="-44"/>
                <w:sz w:val="22"/>
                <w:szCs w:val="22"/>
              </w:rPr>
              <w:t xml:space="preserve"> </w:t>
            </w:r>
            <w:r>
              <w:rPr>
                <w:sz w:val="22"/>
                <w:szCs w:val="22"/>
              </w:rPr>
              <w:t xml:space="preserve">5 </w:t>
            </w:r>
            <w:r>
              <w:rPr>
                <w:rFonts w:ascii="FangSong_GB2312" w:hAnsi="FangSong_GB2312" w:eastAsia="FangSong_GB2312" w:cs="FangSong_GB2312"/>
                <w:sz w:val="22"/>
                <w:szCs w:val="22"/>
              </w:rPr>
              <w:t>分</w:t>
            </w:r>
            <w:r>
              <w:rPr>
                <w:rFonts w:ascii="FangSong_GB2312" w:hAnsi="FangSong_GB2312" w:eastAsia="FangSong_GB2312" w:cs="FangSong_GB2312"/>
                <w:spacing w:val="-1"/>
                <w:sz w:val="22"/>
                <w:szCs w:val="22"/>
              </w:rPr>
              <w:t>；可提供影</w:t>
            </w:r>
            <w:r>
              <w:rPr>
                <w:rFonts w:ascii="FangSong_GB2312" w:hAnsi="FangSong_GB2312" w:eastAsia="FangSong_GB2312" w:cs="FangSong_GB2312"/>
                <w:spacing w:val="-4"/>
                <w:sz w:val="22"/>
                <w:szCs w:val="22"/>
              </w:rPr>
              <w:t>像资料但不足</w:t>
            </w:r>
            <w:r>
              <w:rPr>
                <w:rFonts w:ascii="FangSong_GB2312" w:hAnsi="FangSong_GB2312" w:eastAsia="FangSong_GB2312" w:cs="FangSong_GB2312"/>
                <w:spacing w:val="-38"/>
                <w:sz w:val="22"/>
                <w:szCs w:val="22"/>
              </w:rPr>
              <w:t xml:space="preserve"> </w:t>
            </w:r>
            <w:r>
              <w:rPr>
                <w:spacing w:val="-4"/>
                <w:sz w:val="22"/>
                <w:szCs w:val="22"/>
              </w:rPr>
              <w:t xml:space="preserve">3 </w:t>
            </w:r>
            <w:r>
              <w:rPr>
                <w:rFonts w:ascii="FangSong_GB2312" w:hAnsi="FangSong_GB2312" w:eastAsia="FangSong_GB2312" w:cs="FangSong_GB2312"/>
                <w:spacing w:val="-4"/>
                <w:sz w:val="22"/>
                <w:szCs w:val="22"/>
              </w:rPr>
              <w:t>个月的，得</w:t>
            </w:r>
            <w:r>
              <w:rPr>
                <w:rFonts w:ascii="FangSong_GB2312" w:hAnsi="FangSong_GB2312" w:eastAsia="FangSong_GB2312" w:cs="FangSong_GB2312"/>
                <w:spacing w:val="-46"/>
                <w:sz w:val="22"/>
                <w:szCs w:val="22"/>
              </w:rPr>
              <w:t xml:space="preserve"> </w:t>
            </w:r>
            <w:r>
              <w:rPr>
                <w:spacing w:val="-4"/>
                <w:sz w:val="22"/>
                <w:szCs w:val="22"/>
              </w:rPr>
              <w:t xml:space="preserve">3 </w:t>
            </w:r>
            <w:r>
              <w:rPr>
                <w:rFonts w:ascii="FangSong_GB2312" w:hAnsi="FangSong_GB2312" w:eastAsia="FangSong_GB2312" w:cs="FangSong_GB2312"/>
                <w:spacing w:val="-4"/>
                <w:sz w:val="22"/>
                <w:szCs w:val="22"/>
              </w:rPr>
              <w:t>分；不能正常使用、不能提供影像资料以及未安装的，得</w:t>
            </w:r>
            <w:r>
              <w:rPr>
                <w:rFonts w:ascii="FangSong_GB2312" w:hAnsi="FangSong_GB2312" w:eastAsia="FangSong_GB2312" w:cs="FangSong_GB2312"/>
                <w:spacing w:val="-47"/>
                <w:sz w:val="22"/>
                <w:szCs w:val="22"/>
              </w:rPr>
              <w:t xml:space="preserve"> </w:t>
            </w:r>
            <w:r>
              <w:rPr>
                <w:spacing w:val="-4"/>
                <w:sz w:val="22"/>
                <w:szCs w:val="22"/>
              </w:rPr>
              <w:t xml:space="preserve">0 </w:t>
            </w:r>
            <w:r>
              <w:rPr>
                <w:rFonts w:ascii="FangSong_GB2312" w:hAnsi="FangSong_GB2312" w:eastAsia="FangSong_GB2312" w:cs="FangSong_GB2312"/>
                <w:spacing w:val="-4"/>
                <w:sz w:val="22"/>
                <w:szCs w:val="22"/>
              </w:rPr>
              <w:t>分。</w:t>
            </w:r>
          </w:p>
        </w:tc>
        <w:tc>
          <w:tcPr>
            <w:tcW w:w="1513" w:type="dxa"/>
            <w:vAlign w:val="top"/>
          </w:tcPr>
          <w:p w14:paraId="7189459F">
            <w:pPr>
              <w:rPr>
                <w:rFonts w:ascii="Arial"/>
                <w:sz w:val="21"/>
              </w:rPr>
            </w:pPr>
          </w:p>
        </w:tc>
      </w:tr>
      <w:tr w14:paraId="3BD80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516" w:type="dxa"/>
            <w:vMerge w:val="restart"/>
            <w:tcBorders>
              <w:bottom w:val="nil"/>
            </w:tcBorders>
            <w:vAlign w:val="top"/>
          </w:tcPr>
          <w:p w14:paraId="7D926AF6">
            <w:pPr>
              <w:spacing w:line="260" w:lineRule="auto"/>
              <w:rPr>
                <w:rFonts w:ascii="Arial"/>
                <w:sz w:val="21"/>
              </w:rPr>
            </w:pPr>
          </w:p>
          <w:p w14:paraId="7BDB0F58">
            <w:pPr>
              <w:spacing w:line="260" w:lineRule="auto"/>
              <w:rPr>
                <w:rFonts w:ascii="Arial"/>
                <w:sz w:val="21"/>
              </w:rPr>
            </w:pPr>
          </w:p>
          <w:p w14:paraId="15948290">
            <w:pPr>
              <w:spacing w:line="260" w:lineRule="auto"/>
              <w:rPr>
                <w:rFonts w:ascii="Arial"/>
                <w:sz w:val="21"/>
              </w:rPr>
            </w:pPr>
          </w:p>
          <w:p w14:paraId="5A3D40DB">
            <w:pPr>
              <w:spacing w:line="260" w:lineRule="auto"/>
              <w:rPr>
                <w:rFonts w:ascii="Arial"/>
                <w:sz w:val="21"/>
              </w:rPr>
            </w:pPr>
          </w:p>
          <w:p w14:paraId="6DAFF7EE">
            <w:pPr>
              <w:spacing w:line="261" w:lineRule="auto"/>
              <w:rPr>
                <w:rFonts w:ascii="Arial"/>
                <w:sz w:val="21"/>
              </w:rPr>
            </w:pPr>
          </w:p>
          <w:p w14:paraId="1CE77958">
            <w:pPr>
              <w:spacing w:before="72" w:line="214" w:lineRule="auto"/>
              <w:ind w:left="104"/>
              <w:rPr>
                <w:rFonts w:ascii="FangSong_GB2312" w:hAnsi="FangSong_GB2312" w:eastAsia="FangSong_GB2312" w:cs="FangSong_GB2312"/>
                <w:sz w:val="22"/>
                <w:szCs w:val="22"/>
              </w:rPr>
            </w:pPr>
            <w:r>
              <w:rPr>
                <w:rFonts w:ascii="FangSong_GB2312" w:hAnsi="FangSong_GB2312" w:eastAsia="FangSong_GB2312" w:cs="FangSong_GB2312"/>
                <w:b/>
                <w:bCs/>
                <w:spacing w:val="-4"/>
                <w:sz w:val="22"/>
                <w:szCs w:val="22"/>
              </w:rPr>
              <w:t>服务能力条件</w:t>
            </w:r>
          </w:p>
        </w:tc>
        <w:tc>
          <w:tcPr>
            <w:tcW w:w="1811" w:type="dxa"/>
            <w:vAlign w:val="top"/>
          </w:tcPr>
          <w:p w14:paraId="0594BD18">
            <w:pPr>
              <w:pStyle w:val="7"/>
              <w:spacing w:before="162" w:line="249" w:lineRule="auto"/>
              <w:ind w:left="434" w:right="243" w:hanging="183"/>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价格公示情况</w:t>
            </w:r>
            <w:r>
              <w:rPr>
                <w:rFonts w:ascii="FangSong_GB2312" w:hAnsi="FangSong_GB2312" w:eastAsia="FangSong_GB2312" w:cs="FangSong_GB2312"/>
                <w:spacing w:val="-3"/>
                <w:sz w:val="22"/>
                <w:szCs w:val="22"/>
              </w:rPr>
              <w:t>（</w:t>
            </w:r>
            <w:r>
              <w:rPr>
                <w:spacing w:val="-3"/>
                <w:sz w:val="22"/>
                <w:szCs w:val="22"/>
              </w:rPr>
              <w:t>10</w:t>
            </w:r>
            <w:r>
              <w:rPr>
                <w:spacing w:val="14"/>
                <w:sz w:val="22"/>
                <w:szCs w:val="22"/>
              </w:rPr>
              <w:t xml:space="preserve"> </w:t>
            </w:r>
            <w:r>
              <w:rPr>
                <w:rFonts w:ascii="FangSong_GB2312" w:hAnsi="FangSong_GB2312" w:eastAsia="FangSong_GB2312" w:cs="FangSong_GB2312"/>
                <w:spacing w:val="-3"/>
                <w:sz w:val="22"/>
                <w:szCs w:val="22"/>
              </w:rPr>
              <w:t>分）</w:t>
            </w:r>
          </w:p>
        </w:tc>
        <w:tc>
          <w:tcPr>
            <w:tcW w:w="9054" w:type="dxa"/>
            <w:vAlign w:val="top"/>
          </w:tcPr>
          <w:p w14:paraId="46584E56">
            <w:pPr>
              <w:pStyle w:val="7"/>
              <w:spacing w:before="126" w:line="262" w:lineRule="auto"/>
              <w:ind w:left="123" w:right="114" w:firstLine="2"/>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所有零售药品、医疗器械、医用耗材明码标价的，得</w:t>
            </w:r>
            <w:r>
              <w:rPr>
                <w:rFonts w:ascii="FangSong_GB2312" w:hAnsi="FangSong_GB2312" w:eastAsia="FangSong_GB2312" w:cs="FangSong_GB2312"/>
                <w:spacing w:val="-35"/>
                <w:sz w:val="22"/>
                <w:szCs w:val="22"/>
              </w:rPr>
              <w:t xml:space="preserve"> </w:t>
            </w:r>
            <w:r>
              <w:rPr>
                <w:spacing w:val="1"/>
                <w:sz w:val="22"/>
                <w:szCs w:val="22"/>
              </w:rPr>
              <w:t xml:space="preserve">5 </w:t>
            </w:r>
            <w:r>
              <w:rPr>
                <w:rFonts w:ascii="FangSong_GB2312" w:hAnsi="FangSong_GB2312" w:eastAsia="FangSong_GB2312" w:cs="FangSong_GB2312"/>
                <w:spacing w:val="1"/>
                <w:sz w:val="22"/>
                <w:szCs w:val="22"/>
              </w:rPr>
              <w:t>分；实行结算清单制度的得</w:t>
            </w:r>
            <w:r>
              <w:rPr>
                <w:spacing w:val="1"/>
                <w:sz w:val="22"/>
                <w:szCs w:val="22"/>
              </w:rPr>
              <w:t xml:space="preserve">3 </w:t>
            </w:r>
            <w:r>
              <w:rPr>
                <w:rFonts w:ascii="FangSong_GB2312" w:hAnsi="FangSong_GB2312" w:eastAsia="FangSong_GB2312" w:cs="FangSong_GB2312"/>
                <w:spacing w:val="1"/>
                <w:sz w:val="22"/>
                <w:szCs w:val="22"/>
              </w:rPr>
              <w:t>分；可</w:t>
            </w:r>
            <w:r>
              <w:rPr>
                <w:rFonts w:ascii="FangSong_GB2312" w:hAnsi="FangSong_GB2312" w:eastAsia="FangSong_GB2312" w:cs="FangSong_GB2312"/>
                <w:spacing w:val="-1"/>
                <w:sz w:val="22"/>
                <w:szCs w:val="22"/>
              </w:rPr>
              <w:t>提供机打发票的得</w:t>
            </w:r>
            <w:r>
              <w:rPr>
                <w:rFonts w:ascii="FangSong_GB2312" w:hAnsi="FangSong_GB2312" w:eastAsia="FangSong_GB2312" w:cs="FangSong_GB2312"/>
                <w:spacing w:val="-50"/>
                <w:sz w:val="22"/>
                <w:szCs w:val="22"/>
              </w:rPr>
              <w:t xml:space="preserve"> </w:t>
            </w:r>
            <w:r>
              <w:rPr>
                <w:spacing w:val="-1"/>
                <w:sz w:val="22"/>
                <w:szCs w:val="22"/>
              </w:rPr>
              <w:t xml:space="preserve">2 </w:t>
            </w:r>
            <w:r>
              <w:rPr>
                <w:rFonts w:ascii="FangSong_GB2312" w:hAnsi="FangSong_GB2312" w:eastAsia="FangSong_GB2312" w:cs="FangSong_GB2312"/>
                <w:spacing w:val="-1"/>
                <w:sz w:val="22"/>
                <w:szCs w:val="22"/>
              </w:rPr>
              <w:t>分；无公示的得</w:t>
            </w:r>
            <w:r>
              <w:rPr>
                <w:rFonts w:ascii="FangSong_GB2312" w:hAnsi="FangSong_GB2312" w:eastAsia="FangSong_GB2312" w:cs="FangSong_GB2312"/>
                <w:spacing w:val="-47"/>
                <w:sz w:val="22"/>
                <w:szCs w:val="22"/>
              </w:rPr>
              <w:t xml:space="preserve"> </w:t>
            </w:r>
            <w:r>
              <w:rPr>
                <w:spacing w:val="-1"/>
                <w:sz w:val="22"/>
                <w:szCs w:val="22"/>
              </w:rPr>
              <w:t xml:space="preserve">0 </w:t>
            </w:r>
            <w:r>
              <w:rPr>
                <w:rFonts w:ascii="FangSong_GB2312" w:hAnsi="FangSong_GB2312" w:eastAsia="FangSong_GB2312" w:cs="FangSong_GB2312"/>
                <w:spacing w:val="-1"/>
                <w:sz w:val="22"/>
                <w:szCs w:val="22"/>
              </w:rPr>
              <w:t>分。</w:t>
            </w:r>
          </w:p>
        </w:tc>
        <w:tc>
          <w:tcPr>
            <w:tcW w:w="1513" w:type="dxa"/>
            <w:vAlign w:val="top"/>
          </w:tcPr>
          <w:p w14:paraId="7C2FA901">
            <w:pPr>
              <w:rPr>
                <w:rFonts w:ascii="Arial"/>
                <w:sz w:val="21"/>
              </w:rPr>
            </w:pPr>
          </w:p>
        </w:tc>
      </w:tr>
      <w:tr w14:paraId="6E0CC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7" w:hRule="atLeast"/>
        </w:trPr>
        <w:tc>
          <w:tcPr>
            <w:tcW w:w="1516" w:type="dxa"/>
            <w:vMerge w:val="continue"/>
            <w:tcBorders>
              <w:top w:val="nil"/>
            </w:tcBorders>
            <w:vAlign w:val="top"/>
          </w:tcPr>
          <w:p w14:paraId="6160AF1A">
            <w:pPr>
              <w:rPr>
                <w:rFonts w:ascii="Arial"/>
                <w:sz w:val="21"/>
              </w:rPr>
            </w:pPr>
          </w:p>
        </w:tc>
        <w:tc>
          <w:tcPr>
            <w:tcW w:w="1811" w:type="dxa"/>
            <w:vAlign w:val="top"/>
          </w:tcPr>
          <w:p w14:paraId="04962ACE">
            <w:pPr>
              <w:spacing w:line="298" w:lineRule="auto"/>
              <w:rPr>
                <w:rFonts w:ascii="Arial"/>
                <w:sz w:val="21"/>
              </w:rPr>
            </w:pPr>
          </w:p>
          <w:p w14:paraId="7B101FBA">
            <w:pPr>
              <w:spacing w:line="299" w:lineRule="auto"/>
              <w:rPr>
                <w:rFonts w:ascii="Arial"/>
                <w:sz w:val="21"/>
              </w:rPr>
            </w:pPr>
          </w:p>
          <w:p w14:paraId="362BE72C">
            <w:pPr>
              <w:spacing w:before="72" w:line="214" w:lineRule="auto"/>
              <w:ind w:left="33"/>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财务及进销存管理</w:t>
            </w:r>
          </w:p>
          <w:p w14:paraId="456193D6">
            <w:pPr>
              <w:spacing w:before="43" w:line="217" w:lineRule="auto"/>
              <w:ind w:left="699"/>
              <w:rPr>
                <w:rFonts w:ascii="FangSong_GB2312" w:hAnsi="FangSong_GB2312" w:eastAsia="FangSong_GB2312" w:cs="FangSong_GB2312"/>
                <w:sz w:val="22"/>
                <w:szCs w:val="22"/>
              </w:rPr>
            </w:pPr>
            <w:r>
              <w:rPr>
                <w:rFonts w:ascii="FangSong_GB2312" w:hAnsi="FangSong_GB2312" w:eastAsia="FangSong_GB2312" w:cs="FangSong_GB2312"/>
                <w:spacing w:val="-8"/>
                <w:sz w:val="22"/>
                <w:szCs w:val="22"/>
              </w:rPr>
              <w:t>情况</w:t>
            </w:r>
          </w:p>
          <w:p w14:paraId="13AAAE01">
            <w:pPr>
              <w:pStyle w:val="7"/>
              <w:spacing w:before="6" w:line="290" w:lineRule="exact"/>
              <w:ind w:left="435"/>
              <w:rPr>
                <w:rFonts w:ascii="FangSong_GB2312" w:hAnsi="FangSong_GB2312" w:eastAsia="FangSong_GB2312" w:cs="FangSong_GB2312"/>
                <w:sz w:val="22"/>
                <w:szCs w:val="22"/>
              </w:rPr>
            </w:pPr>
            <w:r>
              <w:rPr>
                <w:rFonts w:ascii="FangSong_GB2312" w:hAnsi="FangSong_GB2312" w:eastAsia="FangSong_GB2312" w:cs="FangSong_GB2312"/>
                <w:spacing w:val="-3"/>
                <w:position w:val="1"/>
                <w:sz w:val="22"/>
                <w:szCs w:val="22"/>
              </w:rPr>
              <w:t>（</w:t>
            </w:r>
            <w:r>
              <w:rPr>
                <w:spacing w:val="-3"/>
                <w:position w:val="1"/>
                <w:sz w:val="22"/>
                <w:szCs w:val="22"/>
              </w:rPr>
              <w:t>15</w:t>
            </w:r>
            <w:r>
              <w:rPr>
                <w:spacing w:val="14"/>
                <w:position w:val="1"/>
                <w:sz w:val="22"/>
                <w:szCs w:val="22"/>
              </w:rPr>
              <w:t xml:space="preserve"> </w:t>
            </w:r>
            <w:r>
              <w:rPr>
                <w:rFonts w:ascii="FangSong_GB2312" w:hAnsi="FangSong_GB2312" w:eastAsia="FangSong_GB2312" w:cs="FangSong_GB2312"/>
                <w:spacing w:val="-3"/>
                <w:position w:val="1"/>
                <w:sz w:val="22"/>
                <w:szCs w:val="22"/>
              </w:rPr>
              <w:t>分）</w:t>
            </w:r>
          </w:p>
        </w:tc>
        <w:tc>
          <w:tcPr>
            <w:tcW w:w="9054" w:type="dxa"/>
            <w:vAlign w:val="top"/>
          </w:tcPr>
          <w:p w14:paraId="01DE2FF9">
            <w:pPr>
              <w:pStyle w:val="7"/>
              <w:spacing w:before="33" w:line="251" w:lineRule="auto"/>
              <w:ind w:left="123" w:right="114" w:firstLine="19"/>
              <w:jc w:val="both"/>
              <w:rPr>
                <w:rFonts w:ascii="FangSong_GB2312" w:hAnsi="FangSong_GB2312" w:eastAsia="FangSong_GB2312" w:cs="FangSong_GB2312"/>
                <w:sz w:val="22"/>
                <w:szCs w:val="22"/>
              </w:rPr>
            </w:pPr>
            <w:r>
              <w:rPr>
                <w:spacing w:val="1"/>
                <w:sz w:val="22"/>
                <w:szCs w:val="22"/>
              </w:rPr>
              <w:t>1.</w:t>
            </w:r>
            <w:r>
              <w:rPr>
                <w:rFonts w:ascii="FangSong_GB2312" w:hAnsi="FangSong_GB2312" w:eastAsia="FangSong_GB2312" w:cs="FangSong_GB2312"/>
                <w:spacing w:val="1"/>
                <w:sz w:val="22"/>
                <w:szCs w:val="22"/>
              </w:rPr>
              <w:t>设置会计岗位，建立系统的会计核算和药品管理系统，核查是否配备专（兼）职财务管理</w:t>
            </w:r>
            <w:r>
              <w:rPr>
                <w:rFonts w:ascii="FangSong_GB2312" w:hAnsi="FangSong_GB2312" w:eastAsia="FangSong_GB2312" w:cs="FangSong_GB2312"/>
                <w:sz w:val="22"/>
                <w:szCs w:val="22"/>
              </w:rPr>
              <w:t>人员（签订劳动合同</w:t>
            </w:r>
            <w:r>
              <w:rPr>
                <w:rFonts w:ascii="FangSong_GB2312" w:hAnsi="FangSong_GB2312" w:eastAsia="FangSong_GB2312" w:cs="FangSong_GB2312"/>
                <w:spacing w:val="4"/>
                <w:sz w:val="22"/>
                <w:szCs w:val="22"/>
              </w:rPr>
              <w:t>），</w:t>
            </w:r>
            <w:r>
              <w:rPr>
                <w:rFonts w:ascii="FangSong_GB2312" w:hAnsi="FangSong_GB2312" w:eastAsia="FangSong_GB2312" w:cs="FangSong_GB2312"/>
                <w:sz w:val="22"/>
                <w:szCs w:val="22"/>
              </w:rPr>
              <w:t>严格落实财务制度并开展实际工作，财务科目设置健全合理，凭证</w:t>
            </w:r>
            <w:r>
              <w:rPr>
                <w:rFonts w:ascii="FangSong_GB2312" w:hAnsi="FangSong_GB2312" w:eastAsia="FangSong_GB2312" w:cs="FangSong_GB2312"/>
                <w:spacing w:val="1"/>
                <w:sz w:val="22"/>
                <w:szCs w:val="22"/>
              </w:rPr>
              <w:t>档案保存完整，账实相符。完全符合要求的，得</w:t>
            </w:r>
            <w:r>
              <w:rPr>
                <w:rFonts w:ascii="FangSong_GB2312" w:hAnsi="FangSong_GB2312" w:eastAsia="FangSong_GB2312" w:cs="FangSong_GB2312"/>
                <w:spacing w:val="-33"/>
                <w:sz w:val="22"/>
                <w:szCs w:val="22"/>
              </w:rPr>
              <w:t xml:space="preserve"> </w:t>
            </w:r>
            <w:r>
              <w:rPr>
                <w:spacing w:val="1"/>
                <w:sz w:val="22"/>
                <w:szCs w:val="22"/>
              </w:rPr>
              <w:t xml:space="preserve">5 </w:t>
            </w:r>
            <w:r>
              <w:rPr>
                <w:rFonts w:ascii="FangSong_GB2312" w:hAnsi="FangSong_GB2312" w:eastAsia="FangSong_GB2312" w:cs="FangSong_GB2312"/>
                <w:spacing w:val="1"/>
                <w:sz w:val="22"/>
                <w:szCs w:val="22"/>
              </w:rPr>
              <w:t>分，不符合的不得分。</w:t>
            </w:r>
            <w:r>
              <w:rPr>
                <w:spacing w:val="1"/>
                <w:sz w:val="22"/>
                <w:szCs w:val="22"/>
              </w:rPr>
              <w:t>2.</w:t>
            </w:r>
            <w:r>
              <w:rPr>
                <w:rFonts w:ascii="FangSong_GB2312" w:hAnsi="FangSong_GB2312" w:eastAsia="FangSong_GB2312" w:cs="FangSong_GB2312"/>
                <w:spacing w:val="1"/>
                <w:sz w:val="22"/>
                <w:szCs w:val="22"/>
              </w:rPr>
              <w:t>是否按照要求建</w:t>
            </w:r>
            <w:r>
              <w:rPr>
                <w:rFonts w:ascii="FangSong_GB2312" w:hAnsi="FangSong_GB2312" w:eastAsia="FangSong_GB2312" w:cs="FangSong_GB2312"/>
                <w:sz w:val="22"/>
                <w:szCs w:val="22"/>
              </w:rPr>
              <w:t>立完整的药品耗材进销存管理系统并实际运用不少于</w:t>
            </w:r>
            <w:r>
              <w:rPr>
                <w:rFonts w:ascii="FangSong_GB2312" w:hAnsi="FangSong_GB2312" w:eastAsia="FangSong_GB2312" w:cs="FangSong_GB2312"/>
                <w:spacing w:val="-46"/>
                <w:sz w:val="22"/>
                <w:szCs w:val="22"/>
              </w:rPr>
              <w:t xml:space="preserve"> </w:t>
            </w:r>
            <w:r>
              <w:rPr>
                <w:sz w:val="22"/>
                <w:szCs w:val="22"/>
              </w:rPr>
              <w:t xml:space="preserve">3 </w:t>
            </w:r>
            <w:r>
              <w:rPr>
                <w:rFonts w:ascii="FangSong_GB2312" w:hAnsi="FangSong_GB2312" w:eastAsia="FangSong_GB2312" w:cs="FangSong_GB2312"/>
                <w:sz w:val="22"/>
                <w:szCs w:val="22"/>
              </w:rPr>
              <w:t>个月，贮存、审核、发放等是否符合要求，抽查药品、器械、耗材等购、销、存系统建立及记录情况，真实完整，符合要求的，得</w:t>
            </w:r>
            <w:r>
              <w:rPr>
                <w:rFonts w:ascii="FangSong_GB2312" w:hAnsi="FangSong_GB2312" w:eastAsia="FangSong_GB2312" w:cs="FangSong_GB2312"/>
                <w:spacing w:val="-45"/>
                <w:sz w:val="22"/>
                <w:szCs w:val="22"/>
              </w:rPr>
              <w:t xml:space="preserve"> </w:t>
            </w:r>
            <w:r>
              <w:rPr>
                <w:sz w:val="22"/>
                <w:szCs w:val="22"/>
              </w:rPr>
              <w:t xml:space="preserve">5 </w:t>
            </w:r>
            <w:r>
              <w:rPr>
                <w:rFonts w:ascii="FangSong_GB2312" w:hAnsi="FangSong_GB2312" w:eastAsia="FangSong_GB2312" w:cs="FangSong_GB2312"/>
                <w:sz w:val="22"/>
                <w:szCs w:val="22"/>
              </w:rPr>
              <w:t>分，不符合的不得分；</w:t>
            </w:r>
            <w:r>
              <w:rPr>
                <w:sz w:val="22"/>
                <w:szCs w:val="22"/>
              </w:rPr>
              <w:t>3.</w:t>
            </w:r>
            <w:r>
              <w:rPr>
                <w:spacing w:val="-32"/>
                <w:sz w:val="22"/>
                <w:szCs w:val="22"/>
              </w:rPr>
              <w:t xml:space="preserve"> </w:t>
            </w:r>
            <w:r>
              <w:rPr>
                <w:rFonts w:ascii="FangSong_GB2312" w:hAnsi="FangSong_GB2312" w:eastAsia="FangSong_GB2312" w:cs="FangSong_GB2312"/>
                <w:sz w:val="22"/>
                <w:szCs w:val="22"/>
              </w:rPr>
              <w:t>票、账、货相符，资料按规定期限保存齐全得</w:t>
            </w:r>
            <w:r>
              <w:rPr>
                <w:rFonts w:ascii="FangSong_GB2312" w:hAnsi="FangSong_GB2312" w:eastAsia="FangSong_GB2312" w:cs="FangSong_GB2312"/>
                <w:spacing w:val="-44"/>
                <w:sz w:val="22"/>
                <w:szCs w:val="22"/>
              </w:rPr>
              <w:t xml:space="preserve"> </w:t>
            </w:r>
            <w:r>
              <w:rPr>
                <w:sz w:val="22"/>
                <w:szCs w:val="22"/>
              </w:rPr>
              <w:t>5</w:t>
            </w:r>
            <w:r>
              <w:rPr>
                <w:spacing w:val="-1"/>
                <w:sz w:val="22"/>
                <w:szCs w:val="22"/>
              </w:rPr>
              <w:t xml:space="preserve"> </w:t>
            </w:r>
            <w:r>
              <w:rPr>
                <w:rFonts w:ascii="FangSong_GB2312" w:hAnsi="FangSong_GB2312" w:eastAsia="FangSong_GB2312" w:cs="FangSong_GB2312"/>
                <w:spacing w:val="-1"/>
                <w:sz w:val="22"/>
                <w:szCs w:val="22"/>
              </w:rPr>
              <w:t>分，发现</w:t>
            </w:r>
            <w:r>
              <w:rPr>
                <w:rFonts w:ascii="FangSong_GB2312" w:hAnsi="FangSong_GB2312" w:eastAsia="FangSong_GB2312" w:cs="FangSong_GB2312"/>
                <w:spacing w:val="-27"/>
                <w:sz w:val="22"/>
                <w:szCs w:val="22"/>
              </w:rPr>
              <w:t xml:space="preserve"> </w:t>
            </w:r>
            <w:r>
              <w:rPr>
                <w:spacing w:val="-1"/>
                <w:sz w:val="22"/>
                <w:szCs w:val="22"/>
              </w:rPr>
              <w:t xml:space="preserve">1 </w:t>
            </w:r>
            <w:r>
              <w:rPr>
                <w:rFonts w:ascii="FangSong_GB2312" w:hAnsi="FangSong_GB2312" w:eastAsia="FangSong_GB2312" w:cs="FangSong_GB2312"/>
                <w:spacing w:val="-1"/>
                <w:sz w:val="22"/>
                <w:szCs w:val="22"/>
              </w:rPr>
              <w:t>例次票、账、货不相符或资料未按规定保存的，得</w:t>
            </w:r>
            <w:r>
              <w:rPr>
                <w:rFonts w:ascii="FangSong_GB2312" w:hAnsi="FangSong_GB2312" w:eastAsia="FangSong_GB2312" w:cs="FangSong_GB2312"/>
                <w:spacing w:val="-37"/>
                <w:sz w:val="22"/>
                <w:szCs w:val="22"/>
              </w:rPr>
              <w:t xml:space="preserve"> </w:t>
            </w:r>
            <w:r>
              <w:rPr>
                <w:spacing w:val="-1"/>
                <w:sz w:val="22"/>
                <w:szCs w:val="22"/>
              </w:rPr>
              <w:t xml:space="preserve">0 </w:t>
            </w:r>
            <w:r>
              <w:rPr>
                <w:rFonts w:ascii="FangSong_GB2312" w:hAnsi="FangSong_GB2312" w:eastAsia="FangSong_GB2312" w:cs="FangSong_GB2312"/>
                <w:spacing w:val="-1"/>
                <w:sz w:val="22"/>
                <w:szCs w:val="22"/>
              </w:rPr>
              <w:t>分。</w:t>
            </w:r>
          </w:p>
        </w:tc>
        <w:tc>
          <w:tcPr>
            <w:tcW w:w="1513" w:type="dxa"/>
            <w:vAlign w:val="top"/>
          </w:tcPr>
          <w:p w14:paraId="5975910C">
            <w:pPr>
              <w:rPr>
                <w:rFonts w:ascii="Arial"/>
                <w:sz w:val="21"/>
              </w:rPr>
            </w:pPr>
          </w:p>
        </w:tc>
      </w:tr>
    </w:tbl>
    <w:p w14:paraId="162E15C6">
      <w:pPr>
        <w:rPr>
          <w:rFonts w:ascii="Arial"/>
          <w:sz w:val="21"/>
        </w:rPr>
      </w:pPr>
    </w:p>
    <w:p w14:paraId="02F9CACF">
      <w:pPr>
        <w:rPr>
          <w:rFonts w:ascii="Arial" w:hAnsi="Arial" w:eastAsia="Arial" w:cs="Arial"/>
          <w:sz w:val="21"/>
          <w:szCs w:val="21"/>
        </w:rPr>
        <w:sectPr>
          <w:footerReference r:id="rId7" w:type="default"/>
          <w:pgSz w:w="16839" w:h="11906"/>
          <w:pgMar w:top="1012" w:right="1469" w:bottom="1318" w:left="1469" w:header="0" w:footer="1004" w:gutter="0"/>
          <w:cols w:space="720" w:num="1"/>
        </w:sectPr>
      </w:pPr>
    </w:p>
    <w:tbl>
      <w:tblPr>
        <w:tblStyle w:val="6"/>
        <w:tblW w:w="138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6"/>
        <w:gridCol w:w="1811"/>
        <w:gridCol w:w="9054"/>
        <w:gridCol w:w="1513"/>
      </w:tblGrid>
      <w:tr w14:paraId="11CD9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516" w:type="dxa"/>
            <w:vAlign w:val="top"/>
          </w:tcPr>
          <w:p w14:paraId="68AC2302">
            <w:pPr>
              <w:spacing w:before="44" w:line="222" w:lineRule="auto"/>
              <w:ind w:left="206"/>
              <w:rPr>
                <w:rFonts w:ascii="黑体" w:hAnsi="黑体" w:eastAsia="黑体" w:cs="黑体"/>
                <w:sz w:val="28"/>
                <w:szCs w:val="28"/>
              </w:rPr>
            </w:pPr>
            <w:r>
              <w:rPr>
                <w:rFonts w:ascii="黑体" w:hAnsi="黑体" w:eastAsia="黑体" w:cs="黑体"/>
                <w:spacing w:val="-3"/>
                <w:sz w:val="28"/>
                <w:szCs w:val="28"/>
              </w:rPr>
              <w:t>指标类别</w:t>
            </w:r>
          </w:p>
        </w:tc>
        <w:tc>
          <w:tcPr>
            <w:tcW w:w="1811" w:type="dxa"/>
            <w:vAlign w:val="top"/>
          </w:tcPr>
          <w:p w14:paraId="06AC874D">
            <w:pPr>
              <w:spacing w:before="45" w:line="222" w:lineRule="auto"/>
              <w:ind w:left="350"/>
              <w:rPr>
                <w:rFonts w:ascii="黑体" w:hAnsi="黑体" w:eastAsia="黑体" w:cs="黑体"/>
                <w:sz w:val="28"/>
                <w:szCs w:val="28"/>
              </w:rPr>
            </w:pPr>
            <w:r>
              <w:rPr>
                <w:rFonts w:ascii="黑体" w:hAnsi="黑体" w:eastAsia="黑体" w:cs="黑体"/>
                <w:spacing w:val="-3"/>
                <w:sz w:val="28"/>
                <w:szCs w:val="28"/>
              </w:rPr>
              <w:t>评估项目</w:t>
            </w:r>
          </w:p>
        </w:tc>
        <w:tc>
          <w:tcPr>
            <w:tcW w:w="9054" w:type="dxa"/>
            <w:vAlign w:val="top"/>
          </w:tcPr>
          <w:p w14:paraId="73B69B30">
            <w:pPr>
              <w:spacing w:before="45" w:line="222" w:lineRule="auto"/>
              <w:ind w:left="3973"/>
              <w:rPr>
                <w:rFonts w:ascii="黑体" w:hAnsi="黑体" w:eastAsia="黑体" w:cs="黑体"/>
                <w:sz w:val="28"/>
                <w:szCs w:val="28"/>
              </w:rPr>
            </w:pPr>
            <w:r>
              <w:rPr>
                <w:rFonts w:ascii="黑体" w:hAnsi="黑体" w:eastAsia="黑体" w:cs="黑体"/>
                <w:spacing w:val="-2"/>
                <w:sz w:val="28"/>
                <w:szCs w:val="28"/>
              </w:rPr>
              <w:t>评估标准</w:t>
            </w:r>
          </w:p>
        </w:tc>
        <w:tc>
          <w:tcPr>
            <w:tcW w:w="1513" w:type="dxa"/>
            <w:vAlign w:val="top"/>
          </w:tcPr>
          <w:p w14:paraId="2E098A18">
            <w:pPr>
              <w:spacing w:before="45" w:line="222" w:lineRule="auto"/>
              <w:ind w:left="204"/>
              <w:rPr>
                <w:rFonts w:ascii="黑体" w:hAnsi="黑体" w:eastAsia="黑体" w:cs="黑体"/>
                <w:sz w:val="28"/>
                <w:szCs w:val="28"/>
              </w:rPr>
            </w:pPr>
            <w:r>
              <w:rPr>
                <w:rFonts w:ascii="黑体" w:hAnsi="黑体" w:eastAsia="黑体" w:cs="黑体"/>
                <w:spacing w:val="-3"/>
                <w:sz w:val="28"/>
                <w:szCs w:val="28"/>
              </w:rPr>
              <w:t>评估情况</w:t>
            </w:r>
          </w:p>
        </w:tc>
      </w:tr>
      <w:tr w14:paraId="13630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1516" w:type="dxa"/>
            <w:vMerge w:val="restart"/>
            <w:tcBorders>
              <w:bottom w:val="nil"/>
            </w:tcBorders>
            <w:vAlign w:val="top"/>
          </w:tcPr>
          <w:p w14:paraId="6ED80EE2">
            <w:pPr>
              <w:rPr>
                <w:rFonts w:ascii="Arial"/>
                <w:sz w:val="21"/>
              </w:rPr>
            </w:pPr>
          </w:p>
        </w:tc>
        <w:tc>
          <w:tcPr>
            <w:tcW w:w="1811" w:type="dxa"/>
            <w:vAlign w:val="top"/>
          </w:tcPr>
          <w:p w14:paraId="742334B9">
            <w:pPr>
              <w:spacing w:line="256" w:lineRule="auto"/>
              <w:rPr>
                <w:rFonts w:ascii="Arial"/>
                <w:sz w:val="21"/>
              </w:rPr>
            </w:pPr>
          </w:p>
          <w:p w14:paraId="167ADB3E">
            <w:pPr>
              <w:spacing w:before="71" w:line="208" w:lineRule="auto"/>
              <w:ind w:left="32"/>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病历诊疗相关情况</w:t>
            </w:r>
          </w:p>
          <w:p w14:paraId="506A0746">
            <w:pPr>
              <w:pStyle w:val="7"/>
              <w:spacing w:line="289" w:lineRule="exact"/>
              <w:ind w:left="490"/>
              <w:rPr>
                <w:rFonts w:ascii="FangSong_GB2312" w:hAnsi="FangSong_GB2312" w:eastAsia="FangSong_GB2312" w:cs="FangSong_GB2312"/>
                <w:sz w:val="22"/>
                <w:szCs w:val="22"/>
              </w:rPr>
            </w:pPr>
            <w:r>
              <w:rPr>
                <w:rFonts w:ascii="FangSong_GB2312" w:hAnsi="FangSong_GB2312" w:eastAsia="FangSong_GB2312" w:cs="FangSong_GB2312"/>
                <w:spacing w:val="13"/>
                <w:position w:val="1"/>
                <w:sz w:val="22"/>
                <w:szCs w:val="22"/>
              </w:rPr>
              <w:t>（</w:t>
            </w:r>
            <w:r>
              <w:rPr>
                <w:spacing w:val="13"/>
                <w:position w:val="1"/>
                <w:sz w:val="22"/>
                <w:szCs w:val="22"/>
              </w:rPr>
              <w:t>8</w:t>
            </w:r>
            <w:r>
              <w:rPr>
                <w:rFonts w:ascii="FangSong_GB2312" w:hAnsi="FangSong_GB2312" w:eastAsia="FangSong_GB2312" w:cs="FangSong_GB2312"/>
                <w:spacing w:val="13"/>
                <w:position w:val="1"/>
                <w:sz w:val="22"/>
                <w:szCs w:val="22"/>
              </w:rPr>
              <w:t>分）</w:t>
            </w:r>
          </w:p>
        </w:tc>
        <w:tc>
          <w:tcPr>
            <w:tcW w:w="9054" w:type="dxa"/>
            <w:vAlign w:val="top"/>
          </w:tcPr>
          <w:p w14:paraId="7768CECA">
            <w:pPr>
              <w:pStyle w:val="7"/>
              <w:spacing w:before="52" w:line="229" w:lineRule="auto"/>
              <w:ind w:left="125" w:right="62" w:hanging="1"/>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核查医疗机构是否具备与服务功能相适应的服务水平，病历书写准确、规范，诊疗记录、医</w:t>
            </w:r>
            <w:r>
              <w:rPr>
                <w:rFonts w:ascii="FangSong_GB2312" w:hAnsi="FangSong_GB2312" w:eastAsia="FangSong_GB2312" w:cs="FangSong_GB2312"/>
                <w:spacing w:val="-1"/>
                <w:sz w:val="22"/>
                <w:szCs w:val="22"/>
              </w:rPr>
              <w:t>嘱等与病情及费用明细吻合，处方管理规范等；病历书写准确、规范，</w:t>
            </w:r>
            <w:r>
              <w:rPr>
                <w:rFonts w:ascii="FangSong_GB2312" w:hAnsi="FangSong_GB2312" w:eastAsia="FangSong_GB2312" w:cs="FangSong_GB2312"/>
                <w:spacing w:val="-2"/>
                <w:sz w:val="22"/>
                <w:szCs w:val="22"/>
              </w:rPr>
              <w:t>得</w:t>
            </w:r>
            <w:r>
              <w:rPr>
                <w:rFonts w:ascii="FangSong_GB2312" w:hAnsi="FangSong_GB2312" w:eastAsia="FangSong_GB2312" w:cs="FangSong_GB2312"/>
                <w:spacing w:val="-52"/>
                <w:sz w:val="22"/>
                <w:szCs w:val="22"/>
              </w:rPr>
              <w:t xml:space="preserve"> </w:t>
            </w:r>
            <w:r>
              <w:rPr>
                <w:spacing w:val="-2"/>
                <w:sz w:val="22"/>
                <w:szCs w:val="22"/>
              </w:rPr>
              <w:t xml:space="preserve">2 </w:t>
            </w:r>
            <w:r>
              <w:rPr>
                <w:rFonts w:ascii="FangSong_GB2312" w:hAnsi="FangSong_GB2312" w:eastAsia="FangSong_GB2312" w:cs="FangSong_GB2312"/>
                <w:spacing w:val="-2"/>
                <w:sz w:val="22"/>
                <w:szCs w:val="22"/>
              </w:rPr>
              <w:t>分 ；诊疗记录、</w:t>
            </w:r>
            <w:r>
              <w:rPr>
                <w:rFonts w:ascii="FangSong_GB2312" w:hAnsi="FangSong_GB2312" w:eastAsia="FangSong_GB2312" w:cs="FangSong_GB2312"/>
                <w:sz w:val="22"/>
                <w:szCs w:val="22"/>
              </w:rPr>
              <w:t>医嘱等与病情及费用明细吻合，得</w:t>
            </w:r>
            <w:r>
              <w:rPr>
                <w:rFonts w:ascii="FangSong_GB2312" w:hAnsi="FangSong_GB2312" w:eastAsia="FangSong_GB2312" w:cs="FangSong_GB2312"/>
                <w:spacing w:val="-49"/>
                <w:sz w:val="22"/>
                <w:szCs w:val="22"/>
              </w:rPr>
              <w:t xml:space="preserve"> </w:t>
            </w:r>
            <w:r>
              <w:rPr>
                <w:sz w:val="22"/>
                <w:szCs w:val="22"/>
              </w:rPr>
              <w:t xml:space="preserve">3 </w:t>
            </w:r>
            <w:r>
              <w:rPr>
                <w:rFonts w:ascii="FangSong_GB2312" w:hAnsi="FangSong_GB2312" w:eastAsia="FangSong_GB2312" w:cs="FangSong_GB2312"/>
                <w:sz w:val="22"/>
                <w:szCs w:val="22"/>
              </w:rPr>
              <w:t>分。严格执行处方</w:t>
            </w:r>
            <w:r>
              <w:rPr>
                <w:rFonts w:ascii="FangSong_GB2312" w:hAnsi="FangSong_GB2312" w:eastAsia="FangSong_GB2312" w:cs="FangSong_GB2312"/>
                <w:spacing w:val="-1"/>
                <w:sz w:val="22"/>
                <w:szCs w:val="22"/>
              </w:rPr>
              <w:t>管理规定，加强处方规范化管理，得</w:t>
            </w:r>
            <w:r>
              <w:rPr>
                <w:spacing w:val="-6"/>
                <w:sz w:val="22"/>
                <w:szCs w:val="22"/>
              </w:rPr>
              <w:t>3</w:t>
            </w:r>
            <w:r>
              <w:rPr>
                <w:spacing w:val="10"/>
                <w:sz w:val="22"/>
                <w:szCs w:val="22"/>
              </w:rPr>
              <w:t xml:space="preserve"> </w:t>
            </w:r>
            <w:r>
              <w:rPr>
                <w:rFonts w:ascii="FangSong_GB2312" w:hAnsi="FangSong_GB2312" w:eastAsia="FangSong_GB2312" w:cs="FangSong_GB2312"/>
                <w:spacing w:val="-6"/>
                <w:sz w:val="22"/>
                <w:szCs w:val="22"/>
              </w:rPr>
              <w:t>分。</w:t>
            </w:r>
          </w:p>
        </w:tc>
        <w:tc>
          <w:tcPr>
            <w:tcW w:w="1513" w:type="dxa"/>
            <w:vAlign w:val="top"/>
          </w:tcPr>
          <w:p w14:paraId="184331C4">
            <w:pPr>
              <w:rPr>
                <w:rFonts w:ascii="Arial"/>
                <w:sz w:val="21"/>
              </w:rPr>
            </w:pPr>
          </w:p>
        </w:tc>
      </w:tr>
      <w:tr w14:paraId="02B01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516" w:type="dxa"/>
            <w:vMerge w:val="continue"/>
            <w:tcBorders>
              <w:top w:val="nil"/>
              <w:bottom w:val="nil"/>
            </w:tcBorders>
            <w:vAlign w:val="top"/>
          </w:tcPr>
          <w:p w14:paraId="0B620D4F">
            <w:pPr>
              <w:rPr>
                <w:rFonts w:ascii="Arial"/>
                <w:sz w:val="21"/>
              </w:rPr>
            </w:pPr>
          </w:p>
        </w:tc>
        <w:tc>
          <w:tcPr>
            <w:tcW w:w="1811" w:type="dxa"/>
            <w:vAlign w:val="top"/>
          </w:tcPr>
          <w:p w14:paraId="56C44694">
            <w:pPr>
              <w:spacing w:before="270" w:line="214" w:lineRule="auto"/>
              <w:ind w:left="26"/>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基础设施、仪器设</w:t>
            </w:r>
          </w:p>
          <w:p w14:paraId="0936462F">
            <w:pPr>
              <w:spacing w:before="22" w:line="217" w:lineRule="auto"/>
              <w:ind w:left="33"/>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备以及药品耗材供</w:t>
            </w:r>
          </w:p>
          <w:p w14:paraId="224F700D">
            <w:pPr>
              <w:spacing w:before="22" w:line="217" w:lineRule="auto"/>
              <w:ind w:left="364"/>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应相关情况</w:t>
            </w:r>
          </w:p>
          <w:p w14:paraId="1B2E6DDC">
            <w:pPr>
              <w:pStyle w:val="7"/>
              <w:spacing w:before="22" w:line="218"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3551A16A">
            <w:pPr>
              <w:pStyle w:val="7"/>
              <w:spacing w:before="128" w:line="235" w:lineRule="auto"/>
              <w:ind w:left="124" w:right="114"/>
              <w:rPr>
                <w:rFonts w:ascii="FangSong_GB2312" w:hAnsi="FangSong_GB2312" w:eastAsia="FangSong_GB2312" w:cs="FangSong_GB2312"/>
                <w:sz w:val="22"/>
                <w:szCs w:val="22"/>
              </w:rPr>
            </w:pPr>
            <w:r>
              <w:rPr>
                <w:rFonts w:ascii="FangSong_GB2312" w:hAnsi="FangSong_GB2312" w:eastAsia="FangSong_GB2312" w:cs="FangSong_GB2312"/>
                <w:sz w:val="22"/>
                <w:szCs w:val="22"/>
              </w:rPr>
              <w:t>核查医疗机构是否具备与服务功能相适应的诊断、治疗、手术、住院、药品贮存及发放、检查检验放射等基础设施和仪器设备；核查医疗机构药品、医用耗材等供应商的相关资质是否有效、齐全，医疗机构与供应商之间是否有有效合作协议、合同等，药品、医用耗材等供应商的相关资质、合格证明文件等材料是否齐全，并建立购进记录台账，确保购入渠道正规、</w:t>
            </w:r>
            <w:r>
              <w:rPr>
                <w:rFonts w:ascii="FangSong_GB2312" w:hAnsi="FangSong_GB2312" w:eastAsia="FangSong_GB2312" w:cs="FangSong_GB2312"/>
                <w:spacing w:val="-1"/>
                <w:sz w:val="22"/>
                <w:szCs w:val="22"/>
              </w:rPr>
              <w:t>质量有保证。完全符合要求的，得</w:t>
            </w:r>
            <w:r>
              <w:rPr>
                <w:rFonts w:ascii="FangSong_GB2312" w:hAnsi="FangSong_GB2312" w:eastAsia="FangSong_GB2312" w:cs="FangSong_GB2312"/>
                <w:spacing w:val="-37"/>
                <w:sz w:val="22"/>
                <w:szCs w:val="22"/>
              </w:rPr>
              <w:t xml:space="preserve"> </w:t>
            </w:r>
            <w:r>
              <w:rPr>
                <w:spacing w:val="-1"/>
                <w:sz w:val="22"/>
                <w:szCs w:val="22"/>
              </w:rPr>
              <w:t xml:space="preserve">5 </w:t>
            </w:r>
            <w:r>
              <w:rPr>
                <w:rFonts w:ascii="FangSong_GB2312" w:hAnsi="FangSong_GB2312" w:eastAsia="FangSong_GB2312" w:cs="FangSong_GB2312"/>
                <w:spacing w:val="-1"/>
                <w:sz w:val="22"/>
                <w:szCs w:val="22"/>
              </w:rPr>
              <w:t>分，不符合的不得分。</w:t>
            </w:r>
          </w:p>
        </w:tc>
        <w:tc>
          <w:tcPr>
            <w:tcW w:w="1513" w:type="dxa"/>
            <w:vAlign w:val="top"/>
          </w:tcPr>
          <w:p w14:paraId="3E745159">
            <w:pPr>
              <w:rPr>
                <w:rFonts w:ascii="Arial"/>
                <w:sz w:val="21"/>
              </w:rPr>
            </w:pPr>
          </w:p>
        </w:tc>
      </w:tr>
      <w:tr w14:paraId="0A488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95" w:hRule="atLeast"/>
        </w:trPr>
        <w:tc>
          <w:tcPr>
            <w:tcW w:w="1516" w:type="dxa"/>
            <w:vMerge w:val="continue"/>
            <w:tcBorders>
              <w:top w:val="nil"/>
              <w:bottom w:val="nil"/>
            </w:tcBorders>
            <w:vAlign w:val="top"/>
          </w:tcPr>
          <w:p w14:paraId="5A2C5BBD">
            <w:pPr>
              <w:rPr>
                <w:rFonts w:ascii="Arial"/>
                <w:sz w:val="21"/>
              </w:rPr>
            </w:pPr>
          </w:p>
        </w:tc>
        <w:tc>
          <w:tcPr>
            <w:tcW w:w="1811" w:type="dxa"/>
            <w:vAlign w:val="top"/>
          </w:tcPr>
          <w:p w14:paraId="55081B58">
            <w:pPr>
              <w:spacing w:before="54" w:line="214" w:lineRule="auto"/>
              <w:ind w:left="260"/>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业务开展范围</w:t>
            </w:r>
          </w:p>
          <w:p w14:paraId="19C3272C">
            <w:pPr>
              <w:pStyle w:val="7"/>
              <w:spacing w:before="23" w:line="212"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5</w:t>
            </w:r>
            <w:r>
              <w:rPr>
                <w:rFonts w:ascii="FangSong_GB2312" w:hAnsi="FangSong_GB2312" w:eastAsia="FangSong_GB2312" w:cs="FangSong_GB2312"/>
                <w:spacing w:val="13"/>
                <w:sz w:val="22"/>
                <w:szCs w:val="22"/>
              </w:rPr>
              <w:t>分）</w:t>
            </w:r>
          </w:p>
        </w:tc>
        <w:tc>
          <w:tcPr>
            <w:tcW w:w="9054" w:type="dxa"/>
            <w:vAlign w:val="top"/>
          </w:tcPr>
          <w:p w14:paraId="14749E8E">
            <w:pPr>
              <w:pStyle w:val="7"/>
              <w:spacing w:before="17" w:line="238" w:lineRule="auto"/>
              <w:ind w:left="126" w:right="114" w:firstLine="5"/>
              <w:rPr>
                <w:rFonts w:ascii="FangSong_GB2312" w:hAnsi="FangSong_GB2312" w:eastAsia="FangSong_GB2312" w:cs="FangSong_GB2312"/>
                <w:sz w:val="22"/>
                <w:szCs w:val="22"/>
              </w:rPr>
            </w:pPr>
            <w:r>
              <w:rPr>
                <w:rFonts w:ascii="FangSong_GB2312" w:hAnsi="FangSong_GB2312" w:eastAsia="FangSong_GB2312" w:cs="FangSong_GB2312"/>
                <w:spacing w:val="1"/>
                <w:sz w:val="22"/>
                <w:szCs w:val="22"/>
              </w:rPr>
              <w:t>无法现场提供处方或病历的，得</w:t>
            </w:r>
            <w:r>
              <w:rPr>
                <w:rFonts w:ascii="FangSong_GB2312" w:hAnsi="FangSong_GB2312" w:eastAsia="FangSong_GB2312" w:cs="FangSong_GB2312"/>
                <w:spacing w:val="-46"/>
                <w:sz w:val="22"/>
                <w:szCs w:val="22"/>
              </w:rPr>
              <w:t xml:space="preserve"> </w:t>
            </w:r>
            <w:r>
              <w:rPr>
                <w:spacing w:val="1"/>
                <w:sz w:val="22"/>
                <w:szCs w:val="22"/>
              </w:rPr>
              <w:t xml:space="preserve">0 </w:t>
            </w:r>
            <w:r>
              <w:rPr>
                <w:rFonts w:ascii="FangSong_GB2312" w:hAnsi="FangSong_GB2312" w:eastAsia="FangSong_GB2312" w:cs="FangSong_GB2312"/>
                <w:spacing w:val="1"/>
                <w:sz w:val="22"/>
                <w:szCs w:val="22"/>
              </w:rPr>
              <w:t>分；只开展门诊业务</w:t>
            </w:r>
            <w:r>
              <w:rPr>
                <w:rFonts w:ascii="FangSong_GB2312" w:hAnsi="FangSong_GB2312" w:eastAsia="FangSong_GB2312" w:cs="FangSong_GB2312"/>
                <w:sz w:val="22"/>
                <w:szCs w:val="22"/>
              </w:rPr>
              <w:t>的得</w:t>
            </w:r>
            <w:r>
              <w:rPr>
                <w:rFonts w:ascii="FangSong_GB2312" w:hAnsi="FangSong_GB2312" w:eastAsia="FangSong_GB2312" w:cs="FangSong_GB2312"/>
                <w:spacing w:val="-44"/>
                <w:sz w:val="22"/>
                <w:szCs w:val="22"/>
              </w:rPr>
              <w:t xml:space="preserve"> </w:t>
            </w:r>
            <w:r>
              <w:rPr>
                <w:sz w:val="22"/>
                <w:szCs w:val="22"/>
              </w:rPr>
              <w:t xml:space="preserve">3 </w:t>
            </w:r>
            <w:r>
              <w:rPr>
                <w:rFonts w:ascii="FangSong_GB2312" w:hAnsi="FangSong_GB2312" w:eastAsia="FangSong_GB2312" w:cs="FangSong_GB2312"/>
                <w:sz w:val="22"/>
                <w:szCs w:val="22"/>
              </w:rPr>
              <w:t>分；同时开展住院业务的得</w:t>
            </w:r>
            <w:r>
              <w:rPr>
                <w:rFonts w:ascii="FangSong_GB2312" w:hAnsi="FangSong_GB2312" w:eastAsia="FangSong_GB2312" w:cs="FangSong_GB2312"/>
                <w:spacing w:val="-44"/>
                <w:sz w:val="22"/>
                <w:szCs w:val="22"/>
              </w:rPr>
              <w:t xml:space="preserve"> </w:t>
            </w:r>
            <w:r>
              <w:rPr>
                <w:sz w:val="22"/>
                <w:szCs w:val="22"/>
              </w:rPr>
              <w:t>5</w:t>
            </w:r>
            <w:r>
              <w:rPr>
                <w:rFonts w:ascii="FangSong_GB2312" w:hAnsi="FangSong_GB2312" w:eastAsia="FangSong_GB2312" w:cs="FangSong_GB2312"/>
                <w:spacing w:val="-5"/>
                <w:sz w:val="22"/>
                <w:szCs w:val="22"/>
              </w:rPr>
              <w:t>分。</w:t>
            </w:r>
          </w:p>
        </w:tc>
        <w:tc>
          <w:tcPr>
            <w:tcW w:w="1513" w:type="dxa"/>
            <w:vAlign w:val="top"/>
          </w:tcPr>
          <w:p w14:paraId="457503BE">
            <w:pPr>
              <w:rPr>
                <w:rFonts w:ascii="Arial"/>
                <w:sz w:val="21"/>
              </w:rPr>
            </w:pPr>
          </w:p>
        </w:tc>
      </w:tr>
      <w:tr w14:paraId="243C1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6" w:type="dxa"/>
            <w:vMerge w:val="continue"/>
            <w:tcBorders>
              <w:top w:val="nil"/>
              <w:bottom w:val="nil"/>
            </w:tcBorders>
            <w:vAlign w:val="top"/>
          </w:tcPr>
          <w:p w14:paraId="4359DAD8">
            <w:pPr>
              <w:rPr>
                <w:rFonts w:ascii="Arial"/>
                <w:sz w:val="21"/>
              </w:rPr>
            </w:pPr>
          </w:p>
        </w:tc>
        <w:tc>
          <w:tcPr>
            <w:tcW w:w="1811" w:type="dxa"/>
            <w:vAlign w:val="top"/>
          </w:tcPr>
          <w:p w14:paraId="7B98F49E">
            <w:pPr>
              <w:spacing w:before="53" w:line="217" w:lineRule="auto"/>
              <w:ind w:left="36"/>
              <w:rPr>
                <w:rFonts w:ascii="FangSong_GB2312" w:hAnsi="FangSong_GB2312" w:eastAsia="FangSong_GB2312" w:cs="FangSong_GB2312"/>
                <w:sz w:val="22"/>
                <w:szCs w:val="22"/>
              </w:rPr>
            </w:pPr>
            <w:r>
              <w:rPr>
                <w:rFonts w:ascii="FangSong_GB2312" w:hAnsi="FangSong_GB2312" w:eastAsia="FangSong_GB2312" w:cs="FangSong_GB2312"/>
                <w:spacing w:val="-2"/>
                <w:sz w:val="22"/>
                <w:szCs w:val="22"/>
              </w:rPr>
              <w:t>卫生技术人员实际</w:t>
            </w:r>
          </w:p>
          <w:p w14:paraId="3CFD675C">
            <w:pPr>
              <w:spacing w:before="19" w:line="208" w:lineRule="auto"/>
              <w:ind w:left="472"/>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在岗情况</w:t>
            </w:r>
          </w:p>
          <w:p w14:paraId="22E172FF">
            <w:pPr>
              <w:pStyle w:val="7"/>
              <w:spacing w:line="238" w:lineRule="auto"/>
              <w:ind w:left="435"/>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w:t>
            </w:r>
            <w:r>
              <w:rPr>
                <w:spacing w:val="-3"/>
                <w:sz w:val="22"/>
                <w:szCs w:val="22"/>
              </w:rPr>
              <w:t>10</w:t>
            </w:r>
            <w:r>
              <w:rPr>
                <w:spacing w:val="14"/>
                <w:sz w:val="22"/>
                <w:szCs w:val="22"/>
              </w:rPr>
              <w:t xml:space="preserve"> </w:t>
            </w:r>
            <w:r>
              <w:rPr>
                <w:rFonts w:ascii="FangSong_GB2312" w:hAnsi="FangSong_GB2312" w:eastAsia="FangSong_GB2312" w:cs="FangSong_GB2312"/>
                <w:spacing w:val="-3"/>
                <w:sz w:val="22"/>
                <w:szCs w:val="22"/>
              </w:rPr>
              <w:t>分）</w:t>
            </w:r>
          </w:p>
        </w:tc>
        <w:tc>
          <w:tcPr>
            <w:tcW w:w="9054" w:type="dxa"/>
            <w:vAlign w:val="top"/>
          </w:tcPr>
          <w:p w14:paraId="39D062EF">
            <w:pPr>
              <w:spacing w:before="193" w:line="235" w:lineRule="auto"/>
              <w:ind w:left="154" w:right="114" w:hanging="24"/>
              <w:rPr>
                <w:rFonts w:ascii="FangSong_GB2312" w:hAnsi="FangSong_GB2312" w:eastAsia="FangSong_GB2312" w:cs="FangSong_GB2312"/>
                <w:sz w:val="22"/>
                <w:szCs w:val="22"/>
              </w:rPr>
            </w:pPr>
            <w:r>
              <w:rPr>
                <w:rFonts w:ascii="FangSong_GB2312" w:hAnsi="FangSong_GB2312" w:eastAsia="FangSong_GB2312" w:cs="FangSong_GB2312"/>
                <w:sz w:val="22"/>
                <w:szCs w:val="22"/>
              </w:rPr>
              <w:t>注册情况、工资发放情况、排班情况相一致的卫生技术人员占总卫生技术人员的百分比例乘</w:t>
            </w:r>
            <w:r>
              <w:rPr>
                <w:rFonts w:ascii="FangSong_GB2312" w:hAnsi="FangSong_GB2312" w:eastAsia="FangSong_GB2312" w:cs="FangSong_GB2312"/>
                <w:spacing w:val="-2"/>
                <w:sz w:val="22"/>
                <w:szCs w:val="22"/>
              </w:rPr>
              <w:t>以本项分值。根据基本条件中机构基本标准核查情况进行评估。</w:t>
            </w:r>
          </w:p>
        </w:tc>
        <w:tc>
          <w:tcPr>
            <w:tcW w:w="1513" w:type="dxa"/>
            <w:vAlign w:val="top"/>
          </w:tcPr>
          <w:p w14:paraId="2C2210A7">
            <w:pPr>
              <w:rPr>
                <w:rFonts w:ascii="Arial"/>
                <w:sz w:val="21"/>
              </w:rPr>
            </w:pPr>
          </w:p>
        </w:tc>
      </w:tr>
      <w:tr w14:paraId="55423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6" w:type="dxa"/>
            <w:vMerge w:val="continue"/>
            <w:tcBorders>
              <w:top w:val="nil"/>
              <w:bottom w:val="nil"/>
            </w:tcBorders>
            <w:vAlign w:val="top"/>
          </w:tcPr>
          <w:p w14:paraId="57B1F510">
            <w:pPr>
              <w:rPr>
                <w:rFonts w:ascii="Arial"/>
                <w:sz w:val="21"/>
              </w:rPr>
            </w:pPr>
          </w:p>
        </w:tc>
        <w:tc>
          <w:tcPr>
            <w:tcW w:w="1811" w:type="dxa"/>
            <w:vAlign w:val="top"/>
          </w:tcPr>
          <w:p w14:paraId="6F98097B">
            <w:pPr>
              <w:spacing w:before="52" w:line="217" w:lineRule="auto"/>
              <w:ind w:left="41"/>
              <w:rPr>
                <w:rFonts w:ascii="FangSong_GB2312" w:hAnsi="FangSong_GB2312" w:eastAsia="FangSong_GB2312" w:cs="FangSong_GB2312"/>
                <w:sz w:val="22"/>
                <w:szCs w:val="22"/>
              </w:rPr>
            </w:pPr>
            <w:r>
              <w:rPr>
                <w:rFonts w:ascii="FangSong_GB2312" w:hAnsi="FangSong_GB2312" w:eastAsia="FangSong_GB2312" w:cs="FangSong_GB2312"/>
                <w:spacing w:val="-3"/>
                <w:sz w:val="22"/>
                <w:szCs w:val="22"/>
              </w:rPr>
              <w:t>劳动合同及保险缴</w:t>
            </w:r>
          </w:p>
          <w:p w14:paraId="16ABF2DC">
            <w:pPr>
              <w:spacing w:before="22" w:line="217" w:lineRule="auto"/>
              <w:ind w:left="585"/>
              <w:rPr>
                <w:rFonts w:ascii="FangSong_GB2312" w:hAnsi="FangSong_GB2312" w:eastAsia="FangSong_GB2312" w:cs="FangSong_GB2312"/>
                <w:sz w:val="22"/>
                <w:szCs w:val="22"/>
              </w:rPr>
            </w:pPr>
            <w:r>
              <w:rPr>
                <w:rFonts w:ascii="FangSong_GB2312" w:hAnsi="FangSong_GB2312" w:eastAsia="FangSong_GB2312" w:cs="FangSong_GB2312"/>
                <w:spacing w:val="-5"/>
                <w:sz w:val="22"/>
                <w:szCs w:val="22"/>
              </w:rPr>
              <w:t>纳情况</w:t>
            </w:r>
          </w:p>
          <w:p w14:paraId="52807784">
            <w:pPr>
              <w:pStyle w:val="7"/>
              <w:spacing w:before="23" w:line="209" w:lineRule="auto"/>
              <w:ind w:left="490"/>
              <w:rPr>
                <w:rFonts w:ascii="FangSong_GB2312" w:hAnsi="FangSong_GB2312" w:eastAsia="FangSong_GB2312" w:cs="FangSong_GB2312"/>
                <w:sz w:val="22"/>
                <w:szCs w:val="22"/>
              </w:rPr>
            </w:pPr>
            <w:r>
              <w:rPr>
                <w:rFonts w:ascii="FangSong_GB2312" w:hAnsi="FangSong_GB2312" w:eastAsia="FangSong_GB2312" w:cs="FangSong_GB2312"/>
                <w:spacing w:val="13"/>
                <w:sz w:val="22"/>
                <w:szCs w:val="22"/>
              </w:rPr>
              <w:t>（</w:t>
            </w:r>
            <w:r>
              <w:rPr>
                <w:spacing w:val="13"/>
                <w:sz w:val="22"/>
                <w:szCs w:val="22"/>
              </w:rPr>
              <w:t>7</w:t>
            </w:r>
            <w:r>
              <w:rPr>
                <w:rFonts w:ascii="FangSong_GB2312" w:hAnsi="FangSong_GB2312" w:eastAsia="FangSong_GB2312" w:cs="FangSong_GB2312"/>
                <w:spacing w:val="13"/>
                <w:sz w:val="22"/>
                <w:szCs w:val="22"/>
              </w:rPr>
              <w:t>分）</w:t>
            </w:r>
          </w:p>
        </w:tc>
        <w:tc>
          <w:tcPr>
            <w:tcW w:w="9054" w:type="dxa"/>
            <w:vAlign w:val="top"/>
          </w:tcPr>
          <w:p w14:paraId="71567433">
            <w:pPr>
              <w:spacing w:before="52" w:line="227" w:lineRule="auto"/>
              <w:ind w:left="126" w:right="114" w:firstLine="9"/>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劳动年龄内的卫生技术人员（医、技、护、药）签订劳动合同并在本单位缴纳医保</w:t>
            </w:r>
            <w:r>
              <w:rPr>
                <w:rFonts w:ascii="FangSong_GB2312" w:hAnsi="FangSong_GB2312" w:eastAsia="FangSong_GB2312" w:cs="FangSong_GB2312"/>
                <w:spacing w:val="-1"/>
                <w:sz w:val="22"/>
                <w:szCs w:val="22"/>
              </w:rPr>
              <w:t>人数占总</w:t>
            </w:r>
            <w:r>
              <w:rPr>
                <w:rFonts w:ascii="FangSong_GB2312" w:hAnsi="FangSong_GB2312" w:eastAsia="FangSong_GB2312" w:cs="FangSong_GB2312"/>
                <w:sz w:val="22"/>
                <w:szCs w:val="22"/>
              </w:rPr>
              <w:t>人数的百分比乘以本项分值计算得分。根据基本条件中机构基本标准核查情况进行评估。其</w:t>
            </w:r>
            <w:r>
              <w:rPr>
                <w:rFonts w:ascii="FangSong_GB2312" w:hAnsi="FangSong_GB2312" w:eastAsia="FangSong_GB2312" w:cs="FangSong_GB2312"/>
                <w:spacing w:val="-1"/>
                <w:sz w:val="22"/>
                <w:szCs w:val="22"/>
              </w:rPr>
              <w:t>中村卫生室人员缴纳居民医保可纳入计算口径。</w:t>
            </w:r>
          </w:p>
        </w:tc>
        <w:tc>
          <w:tcPr>
            <w:tcW w:w="1513" w:type="dxa"/>
            <w:vAlign w:val="top"/>
          </w:tcPr>
          <w:p w14:paraId="1EA684F5">
            <w:pPr>
              <w:rPr>
                <w:rFonts w:ascii="Arial"/>
                <w:sz w:val="21"/>
              </w:rPr>
            </w:pPr>
          </w:p>
        </w:tc>
      </w:tr>
      <w:tr w14:paraId="4661A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1516" w:type="dxa"/>
            <w:vMerge w:val="continue"/>
            <w:tcBorders>
              <w:top w:val="nil"/>
            </w:tcBorders>
            <w:vAlign w:val="top"/>
          </w:tcPr>
          <w:p w14:paraId="4E5FF202">
            <w:pPr>
              <w:rPr>
                <w:rFonts w:ascii="Arial"/>
                <w:sz w:val="21"/>
              </w:rPr>
            </w:pPr>
          </w:p>
        </w:tc>
        <w:tc>
          <w:tcPr>
            <w:tcW w:w="1811" w:type="dxa"/>
            <w:vAlign w:val="top"/>
          </w:tcPr>
          <w:p w14:paraId="1DD9A490">
            <w:pPr>
              <w:spacing w:line="261" w:lineRule="auto"/>
              <w:rPr>
                <w:rFonts w:ascii="Arial"/>
                <w:sz w:val="21"/>
              </w:rPr>
            </w:pPr>
          </w:p>
          <w:p w14:paraId="7B23D92C">
            <w:pPr>
              <w:spacing w:before="72" w:line="217" w:lineRule="auto"/>
              <w:ind w:left="52"/>
              <w:rPr>
                <w:rFonts w:ascii="FangSong_GB2312" w:hAnsi="FangSong_GB2312" w:eastAsia="FangSong_GB2312" w:cs="FangSong_GB2312"/>
                <w:sz w:val="22"/>
                <w:szCs w:val="22"/>
              </w:rPr>
            </w:pPr>
            <w:r>
              <w:rPr>
                <w:rFonts w:ascii="FangSong_GB2312" w:hAnsi="FangSong_GB2312" w:eastAsia="FangSong_GB2312" w:cs="FangSong_GB2312"/>
                <w:spacing w:val="-4"/>
                <w:sz w:val="22"/>
                <w:szCs w:val="22"/>
              </w:rPr>
              <w:t>既往定点相关情况</w:t>
            </w:r>
          </w:p>
        </w:tc>
        <w:tc>
          <w:tcPr>
            <w:tcW w:w="9054" w:type="dxa"/>
            <w:vAlign w:val="top"/>
          </w:tcPr>
          <w:p w14:paraId="5A139953">
            <w:pPr>
              <w:pStyle w:val="7"/>
              <w:spacing w:before="56" w:line="226" w:lineRule="auto"/>
              <w:ind w:left="123" w:right="114"/>
              <w:jc w:val="both"/>
              <w:rPr>
                <w:rFonts w:ascii="FangSong_GB2312" w:hAnsi="FangSong_GB2312" w:eastAsia="FangSong_GB2312" w:cs="FangSong_GB2312"/>
                <w:sz w:val="22"/>
                <w:szCs w:val="22"/>
              </w:rPr>
            </w:pPr>
            <w:r>
              <w:rPr>
                <w:rFonts w:ascii="FangSong_GB2312" w:hAnsi="FangSong_GB2312" w:eastAsia="FangSong_GB2312" w:cs="FangSong_GB2312"/>
                <w:sz w:val="22"/>
                <w:szCs w:val="22"/>
              </w:rPr>
              <w:t>核查医疗机构是否存在申请过医保定点，但未在规定时间完成联网结算、协议签订以及主动提出或被解除定点等情形，其中被解除定点原因属于不予受理情形的，不予纳入，其他情形</w:t>
            </w:r>
            <w:r>
              <w:rPr>
                <w:rFonts w:ascii="FangSong_GB2312" w:hAnsi="FangSong_GB2312" w:eastAsia="FangSong_GB2312" w:cs="FangSong_GB2312"/>
                <w:spacing w:val="-1"/>
                <w:sz w:val="22"/>
                <w:szCs w:val="22"/>
              </w:rPr>
              <w:t>纳入此项评估。存在上述任一情形的，直接</w:t>
            </w:r>
            <w:r>
              <w:rPr>
                <w:rFonts w:ascii="FangSong_GB2312" w:hAnsi="FangSong_GB2312" w:eastAsia="FangSong_GB2312" w:cs="FangSong_GB2312"/>
                <w:spacing w:val="-2"/>
                <w:sz w:val="22"/>
                <w:szCs w:val="22"/>
              </w:rPr>
              <w:t>扣</w:t>
            </w:r>
            <w:r>
              <w:rPr>
                <w:rFonts w:ascii="FangSong_GB2312" w:hAnsi="FangSong_GB2312" w:eastAsia="FangSong_GB2312" w:cs="FangSong_GB2312"/>
                <w:spacing w:val="-31"/>
                <w:sz w:val="22"/>
                <w:szCs w:val="22"/>
              </w:rPr>
              <w:t xml:space="preserve"> </w:t>
            </w:r>
            <w:r>
              <w:rPr>
                <w:spacing w:val="-2"/>
                <w:sz w:val="22"/>
                <w:szCs w:val="22"/>
              </w:rPr>
              <w:t xml:space="preserve">10 </w:t>
            </w:r>
            <w:r>
              <w:rPr>
                <w:rFonts w:ascii="FangSong_GB2312" w:hAnsi="FangSong_GB2312" w:eastAsia="FangSong_GB2312" w:cs="FangSong_GB2312"/>
                <w:spacing w:val="-2"/>
                <w:sz w:val="22"/>
                <w:szCs w:val="22"/>
              </w:rPr>
              <w:t>分。</w:t>
            </w:r>
          </w:p>
        </w:tc>
        <w:tc>
          <w:tcPr>
            <w:tcW w:w="1513" w:type="dxa"/>
            <w:vAlign w:val="top"/>
          </w:tcPr>
          <w:p w14:paraId="48120F9E">
            <w:pPr>
              <w:rPr>
                <w:rFonts w:ascii="Arial"/>
                <w:sz w:val="21"/>
              </w:rPr>
            </w:pPr>
          </w:p>
        </w:tc>
      </w:tr>
      <w:tr w14:paraId="28F69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0" w:hRule="atLeast"/>
        </w:trPr>
        <w:tc>
          <w:tcPr>
            <w:tcW w:w="1516" w:type="dxa"/>
            <w:vAlign w:val="top"/>
          </w:tcPr>
          <w:p w14:paraId="1CAB858D">
            <w:pPr>
              <w:spacing w:before="217" w:line="214" w:lineRule="auto"/>
              <w:ind w:left="138"/>
              <w:rPr>
                <w:rFonts w:ascii="FangSong_GB2312" w:hAnsi="FangSong_GB2312" w:eastAsia="FangSong_GB2312" w:cs="FangSong_GB2312"/>
                <w:sz w:val="22"/>
                <w:szCs w:val="22"/>
              </w:rPr>
            </w:pPr>
            <w:r>
              <w:rPr>
                <w:rFonts w:ascii="FangSong_GB2312" w:hAnsi="FangSong_GB2312" w:eastAsia="FangSong_GB2312" w:cs="FangSong_GB2312"/>
                <w:b/>
                <w:bCs/>
                <w:spacing w:val="-5"/>
                <w:sz w:val="22"/>
                <w:szCs w:val="22"/>
              </w:rPr>
              <w:t>最终结果</w:t>
            </w:r>
          </w:p>
        </w:tc>
        <w:tc>
          <w:tcPr>
            <w:tcW w:w="10865" w:type="dxa"/>
            <w:gridSpan w:val="2"/>
            <w:vAlign w:val="top"/>
          </w:tcPr>
          <w:p w14:paraId="53FBCEF7">
            <w:pPr>
              <w:pStyle w:val="7"/>
              <w:spacing w:before="210" w:line="214" w:lineRule="auto"/>
              <w:ind w:left="2330"/>
              <w:rPr>
                <w:rFonts w:ascii="FangSong_GB2312" w:hAnsi="FangSong_GB2312" w:eastAsia="FangSong_GB2312" w:cs="FangSong_GB2312"/>
                <w:sz w:val="22"/>
                <w:szCs w:val="22"/>
              </w:rPr>
            </w:pPr>
            <w:r>
              <w:rPr>
                <w:rFonts w:ascii="FangSong_GB2312" w:hAnsi="FangSong_GB2312" w:eastAsia="FangSong_GB2312" w:cs="FangSong_GB2312"/>
                <w:sz w:val="22"/>
                <w:szCs w:val="22"/>
              </w:rPr>
              <w:t>基本条件：  合格</w:t>
            </w:r>
            <w:r>
              <w:rPr>
                <w:sz w:val="22"/>
                <w:szCs w:val="22"/>
              </w:rPr>
              <w:t xml:space="preserve">□            </w:t>
            </w:r>
            <w:r>
              <w:rPr>
                <w:rFonts w:ascii="FangSong_GB2312" w:hAnsi="FangSong_GB2312" w:eastAsia="FangSong_GB2312" w:cs="FangSong_GB2312"/>
                <w:sz w:val="22"/>
                <w:szCs w:val="22"/>
              </w:rPr>
              <w:t>不合格</w:t>
            </w:r>
            <w:r>
              <w:rPr>
                <w:sz w:val="22"/>
                <w:szCs w:val="22"/>
              </w:rPr>
              <w:t xml:space="preserve">□                    </w:t>
            </w:r>
            <w:r>
              <w:rPr>
                <w:rFonts w:ascii="FangSong_GB2312" w:hAnsi="FangSong_GB2312" w:eastAsia="FangSong_GB2312" w:cs="FangSong_GB2312"/>
                <w:sz w:val="22"/>
                <w:szCs w:val="22"/>
              </w:rPr>
              <w:t>其</w:t>
            </w:r>
            <w:r>
              <w:rPr>
                <w:rFonts w:ascii="FangSong_GB2312" w:hAnsi="FangSong_GB2312" w:eastAsia="FangSong_GB2312" w:cs="FangSong_GB2312"/>
                <w:spacing w:val="-1"/>
                <w:sz w:val="22"/>
                <w:szCs w:val="22"/>
              </w:rPr>
              <w:t>他条件总得分：</w:t>
            </w:r>
          </w:p>
        </w:tc>
        <w:tc>
          <w:tcPr>
            <w:tcW w:w="1513" w:type="dxa"/>
            <w:vAlign w:val="top"/>
          </w:tcPr>
          <w:p w14:paraId="23D7FEC7">
            <w:pPr>
              <w:rPr>
                <w:rFonts w:ascii="Arial"/>
                <w:sz w:val="21"/>
              </w:rPr>
            </w:pPr>
          </w:p>
        </w:tc>
      </w:tr>
    </w:tbl>
    <w:p w14:paraId="22E23BF8">
      <w:pPr>
        <w:pStyle w:val="2"/>
        <w:spacing w:before="98" w:line="290" w:lineRule="exact"/>
        <w:rPr>
          <w:sz w:val="22"/>
          <w:szCs w:val="22"/>
        </w:rPr>
      </w:pPr>
      <w:bookmarkStart w:id="0" w:name="_GoBack"/>
      <w:bookmarkEnd w:id="0"/>
      <w:r>
        <w:rPr>
          <w:position w:val="1"/>
          <w:sz w:val="22"/>
          <w:szCs w:val="22"/>
        </w:rPr>
        <w:t>备注：基础条件一项不合格，评估结果即为不合格；其他条件总得分</w:t>
      </w:r>
      <w:r>
        <w:rPr>
          <w:spacing w:val="-44"/>
          <w:position w:val="1"/>
          <w:sz w:val="22"/>
          <w:szCs w:val="22"/>
        </w:rPr>
        <w:t xml:space="preserve"> </w:t>
      </w:r>
      <w:r>
        <w:rPr>
          <w:rFonts w:ascii="Times New Roman" w:hAnsi="Times New Roman" w:eastAsia="Times New Roman" w:cs="Times New Roman"/>
          <w:position w:val="1"/>
          <w:sz w:val="22"/>
          <w:szCs w:val="22"/>
        </w:rPr>
        <w:t xml:space="preserve">85 </w:t>
      </w:r>
      <w:r>
        <w:rPr>
          <w:position w:val="1"/>
          <w:sz w:val="22"/>
          <w:szCs w:val="22"/>
        </w:rPr>
        <w:t>分（含）以上，</w:t>
      </w:r>
      <w:r>
        <w:rPr>
          <w:spacing w:val="-1"/>
          <w:position w:val="1"/>
          <w:sz w:val="22"/>
          <w:szCs w:val="22"/>
        </w:rPr>
        <w:t>评估结果为合格，</w:t>
      </w:r>
      <w:r>
        <w:rPr>
          <w:rFonts w:ascii="Times New Roman" w:hAnsi="Times New Roman" w:eastAsia="Times New Roman" w:cs="Times New Roman"/>
          <w:spacing w:val="-1"/>
          <w:position w:val="1"/>
          <w:sz w:val="22"/>
          <w:szCs w:val="22"/>
        </w:rPr>
        <w:t xml:space="preserve">85 </w:t>
      </w:r>
      <w:r>
        <w:rPr>
          <w:spacing w:val="-1"/>
          <w:position w:val="1"/>
          <w:sz w:val="22"/>
          <w:szCs w:val="22"/>
        </w:rPr>
        <w:t>分以下，评估结果为不合格。</w:t>
      </w:r>
    </w:p>
    <w:p w14:paraId="24426324">
      <w:pPr>
        <w:spacing w:line="406" w:lineRule="auto"/>
        <w:rPr>
          <w:rFonts w:ascii="Arial"/>
          <w:sz w:val="21"/>
        </w:rPr>
      </w:pPr>
    </w:p>
    <w:p w14:paraId="3168E199">
      <w:pPr>
        <w:pStyle w:val="2"/>
        <w:spacing w:before="78" w:line="214" w:lineRule="auto"/>
        <w:ind w:left="99"/>
        <w:rPr>
          <w:sz w:val="24"/>
          <w:szCs w:val="24"/>
        </w:rPr>
      </w:pPr>
      <w:r>
        <w:rPr>
          <w:spacing w:val="-2"/>
          <w:sz w:val="24"/>
          <w:szCs w:val="24"/>
        </w:rPr>
        <w:t>医疗机构主要负责人签字（盖章</w:t>
      </w:r>
      <w:r>
        <w:rPr>
          <w:spacing w:val="2"/>
          <w:sz w:val="24"/>
          <w:szCs w:val="24"/>
        </w:rPr>
        <w:t>）：</w:t>
      </w:r>
      <w:r>
        <w:rPr>
          <w:spacing w:val="1"/>
          <w:sz w:val="24"/>
          <w:szCs w:val="24"/>
        </w:rPr>
        <w:t xml:space="preserve">          </w:t>
      </w:r>
      <w:r>
        <w:rPr>
          <w:spacing w:val="-2"/>
          <w:sz w:val="24"/>
          <w:szCs w:val="24"/>
        </w:rPr>
        <w:t>评估人员签字（两人以上</w:t>
      </w:r>
      <w:r>
        <w:rPr>
          <w:spacing w:val="2"/>
          <w:sz w:val="24"/>
          <w:szCs w:val="24"/>
        </w:rPr>
        <w:t>）：</w:t>
      </w:r>
      <w:r>
        <w:rPr>
          <w:spacing w:val="1"/>
          <w:sz w:val="24"/>
          <w:szCs w:val="24"/>
        </w:rPr>
        <w:t xml:space="preserve">          </w:t>
      </w:r>
      <w:r>
        <w:rPr>
          <w:spacing w:val="-2"/>
          <w:sz w:val="24"/>
          <w:szCs w:val="24"/>
        </w:rPr>
        <w:t>经办机构主要负责人签字（盖章</w:t>
      </w:r>
      <w:r>
        <w:rPr>
          <w:spacing w:val="2"/>
          <w:sz w:val="24"/>
          <w:szCs w:val="24"/>
        </w:rPr>
        <w:t>）：</w:t>
      </w:r>
    </w:p>
    <w:sectPr>
      <w:headerReference r:id="rId8" w:type="default"/>
      <w:footerReference r:id="rId9" w:type="default"/>
      <w:pgSz w:w="16839" w:h="11906" w:orient="landscape"/>
      <w:pgMar w:top="1561" w:right="2282" w:bottom="1589" w:left="1176" w:header="1134" w:footer="86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200D9">
    <w:pPr>
      <w:spacing w:line="232" w:lineRule="auto"/>
      <w:ind w:left="6477"/>
      <w:rPr>
        <w:rFonts w:ascii="宋体" w:hAnsi="宋体" w:eastAsia="宋体" w:cs="宋体"/>
        <w:sz w:val="24"/>
        <w:szCs w:val="24"/>
      </w:rPr>
    </w:pPr>
    <w:r>
      <w:rPr>
        <w:rFonts w:ascii="宋体" w:hAnsi="宋体" w:eastAsia="宋体" w:cs="宋体"/>
        <w:spacing w:val="-5"/>
        <w:sz w:val="24"/>
        <w:szCs w:val="24"/>
      </w:rPr>
      <w:t>—</w:t>
    </w:r>
    <w:r>
      <w:rPr>
        <w:rFonts w:ascii="宋体" w:hAnsi="宋体" w:eastAsia="宋体" w:cs="宋体"/>
        <w:spacing w:val="12"/>
        <w:sz w:val="24"/>
        <w:szCs w:val="24"/>
      </w:rPr>
      <w:t xml:space="preserve"> </w:t>
    </w:r>
    <w:r>
      <w:rPr>
        <w:rFonts w:ascii="宋体" w:hAnsi="宋体" w:eastAsia="宋体" w:cs="宋体"/>
        <w:spacing w:val="-5"/>
        <w:sz w:val="24"/>
        <w:szCs w:val="24"/>
      </w:rPr>
      <w:t>20</w:t>
    </w:r>
    <w:r>
      <w:rPr>
        <w:rFonts w:ascii="宋体" w:hAnsi="宋体" w:eastAsia="宋体" w:cs="宋体"/>
        <w:spacing w:val="7"/>
        <w:sz w:val="24"/>
        <w:szCs w:val="24"/>
      </w:rPr>
      <w:t xml:space="preserve"> </w:t>
    </w:r>
    <w:r>
      <w:rPr>
        <w:rFonts w:ascii="宋体" w:hAnsi="宋体" w:eastAsia="宋体" w:cs="宋体"/>
        <w:spacing w:val="-5"/>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1BD80">
    <w:pPr>
      <w:spacing w:line="234" w:lineRule="auto"/>
      <w:ind w:left="6477"/>
      <w:rPr>
        <w:rFonts w:ascii="宋体" w:hAnsi="宋体" w:eastAsia="宋体" w:cs="宋体"/>
        <w:sz w:val="24"/>
        <w:szCs w:val="24"/>
      </w:rPr>
    </w:pPr>
    <w:r>
      <w:rPr>
        <w:rFonts w:ascii="宋体" w:hAnsi="宋体" w:eastAsia="宋体" w:cs="宋体"/>
        <w:spacing w:val="-5"/>
        <w:sz w:val="24"/>
        <w:szCs w:val="24"/>
      </w:rPr>
      <w:t>—</w:t>
    </w:r>
    <w:r>
      <w:rPr>
        <w:rFonts w:ascii="宋体" w:hAnsi="宋体" w:eastAsia="宋体" w:cs="宋体"/>
        <w:spacing w:val="12"/>
        <w:sz w:val="24"/>
        <w:szCs w:val="24"/>
      </w:rPr>
      <w:t xml:space="preserve"> </w:t>
    </w:r>
    <w:r>
      <w:rPr>
        <w:rFonts w:ascii="宋体" w:hAnsi="宋体" w:eastAsia="宋体" w:cs="宋体"/>
        <w:spacing w:val="-5"/>
        <w:sz w:val="24"/>
        <w:szCs w:val="24"/>
      </w:rPr>
      <w:t>21</w:t>
    </w:r>
    <w:r>
      <w:rPr>
        <w:rFonts w:ascii="宋体" w:hAnsi="宋体" w:eastAsia="宋体" w:cs="宋体"/>
        <w:spacing w:val="7"/>
        <w:sz w:val="24"/>
        <w:szCs w:val="24"/>
      </w:rPr>
      <w:t xml:space="preserve"> </w:t>
    </w:r>
    <w:r>
      <w:rPr>
        <w:rFonts w:ascii="宋体" w:hAnsi="宋体" w:eastAsia="宋体" w:cs="宋体"/>
        <w:spacing w:val="-5"/>
        <w:sz w:val="24"/>
        <w:szCs w:val="24"/>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071E9">
    <w:pPr>
      <w:spacing w:line="234" w:lineRule="auto"/>
      <w:ind w:left="6477"/>
      <w:rPr>
        <w:rFonts w:ascii="宋体" w:hAnsi="宋体" w:eastAsia="宋体" w:cs="宋体"/>
        <w:sz w:val="24"/>
        <w:szCs w:val="24"/>
      </w:rPr>
    </w:pPr>
    <w:r>
      <w:rPr>
        <w:rFonts w:ascii="宋体" w:hAnsi="宋体" w:eastAsia="宋体" w:cs="宋体"/>
        <w:spacing w:val="-5"/>
        <w:sz w:val="24"/>
        <w:szCs w:val="24"/>
      </w:rPr>
      <w:t>—</w:t>
    </w:r>
    <w:r>
      <w:rPr>
        <w:rFonts w:ascii="宋体" w:hAnsi="宋体" w:eastAsia="宋体" w:cs="宋体"/>
        <w:spacing w:val="12"/>
        <w:sz w:val="24"/>
        <w:szCs w:val="24"/>
      </w:rPr>
      <w:t xml:space="preserve"> </w:t>
    </w:r>
    <w:r>
      <w:rPr>
        <w:rFonts w:ascii="宋体" w:hAnsi="宋体" w:eastAsia="宋体" w:cs="宋体"/>
        <w:spacing w:val="-5"/>
        <w:sz w:val="24"/>
        <w:szCs w:val="24"/>
      </w:rPr>
      <w:t>22</w:t>
    </w:r>
    <w:r>
      <w:rPr>
        <w:rFonts w:ascii="宋体" w:hAnsi="宋体" w:eastAsia="宋体" w:cs="宋体"/>
        <w:spacing w:val="7"/>
        <w:sz w:val="24"/>
        <w:szCs w:val="24"/>
      </w:rPr>
      <w:t xml:space="preserve"> </w:t>
    </w:r>
    <w:r>
      <w:rPr>
        <w:rFonts w:ascii="宋体" w:hAnsi="宋体" w:eastAsia="宋体" w:cs="宋体"/>
        <w:spacing w:val="-5"/>
        <w:sz w:val="24"/>
        <w:szCs w:val="24"/>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9E18F">
    <w:pPr>
      <w:spacing w:line="232" w:lineRule="auto"/>
      <w:ind w:left="0" w:leftChars="0" w:firstLine="0" w:firstLineChars="0"/>
      <w:jc w:val="center"/>
      <w:rPr>
        <w:rFonts w:ascii="宋体" w:hAnsi="宋体" w:eastAsia="宋体" w:cs="宋体"/>
        <w:sz w:val="24"/>
        <w:szCs w:val="24"/>
      </w:rPr>
    </w:pPr>
    <w:r>
      <w:rPr>
        <w:rFonts w:ascii="宋体" w:hAnsi="宋体" w:eastAsia="宋体" w:cs="宋体"/>
        <w:spacing w:val="-5"/>
        <w:sz w:val="24"/>
        <w:szCs w:val="24"/>
      </w:rPr>
      <w:t>—</w:t>
    </w:r>
    <w:r>
      <w:rPr>
        <w:rFonts w:hint="eastAsia" w:ascii="宋体" w:hAnsi="宋体" w:eastAsia="宋体" w:cs="宋体"/>
        <w:spacing w:val="-5"/>
        <w:sz w:val="24"/>
        <w:szCs w:val="24"/>
        <w:lang w:val="en-US" w:eastAsia="zh-CN"/>
      </w:rPr>
      <w:t>23</w:t>
    </w:r>
    <w:r>
      <w:rPr>
        <w:rFonts w:ascii="宋体" w:hAnsi="宋体" w:eastAsia="宋体" w:cs="宋体"/>
        <w:spacing w:val="-5"/>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9F792">
    <w:pPr>
      <w:spacing w:before="83" w:line="230" w:lineRule="auto"/>
      <w:rPr>
        <w:rFonts w:ascii="Times New Roman" w:hAnsi="Times New Roman" w:eastAsia="Times New Roman" w:cs="Times New Roman"/>
        <w:sz w:val="31"/>
        <w:szCs w:val="3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D016439"/>
    <w:rsid w:val="4B9ABF05"/>
    <w:rsid w:val="549157F9"/>
    <w:rsid w:val="5AE71ACF"/>
    <w:rsid w:val="5F7FAB18"/>
    <w:rsid w:val="73FF6F81"/>
    <w:rsid w:val="75EB2BA1"/>
    <w:rsid w:val="77FDF60B"/>
    <w:rsid w:val="7EF34E1A"/>
    <w:rsid w:val="7F74192F"/>
    <w:rsid w:val="7FE6E0E0"/>
    <w:rsid w:val="7FF7B6D0"/>
    <w:rsid w:val="DFE7EB74"/>
    <w:rsid w:val="F6FD6826"/>
    <w:rsid w:val="F7BF9970"/>
    <w:rsid w:val="FF7EEF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Times New Roman" w:hAnsi="Times New Roman" w:eastAsia="Times New Roman" w:cs="Times New Roman"/>
      <w:sz w:val="30"/>
      <w:szCs w:val="3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TotalTime>0</TotalTime>
  <ScaleCrop>false</ScaleCrop>
  <LinksUpToDate>false</LinksUpToDate>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2026-05-26T17:04:00Z</dcterms:created>
  <dc:creator>Administrator</dc:creator>
  <cp:lastModifiedBy>user</cp:lastModifiedBy>
  <dcterms:modified xsi:type="dcterms:W3CDTF">2026-05-27T16:34:17Z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2026-05-27T09:30:50Z</vt:filetime>
  </property>
  <property fmtid="{D5CDD505-2E9C-101B-9397-08002B2CF9AE}" pid="4" name="KSOProductBuildVer">
    <vt:lpwstr>2052-12.1.2.24730</vt:lpwstr>
  </property>
  <property fmtid="{D5CDD505-2E9C-101B-9397-08002B2CF9AE}" pid="5" name="ICV">
    <vt:lpwstr>47F1C0D39B96417A85D12C4B8251CCEE_13</vt:lpwstr>
  </property>
</Properties>
</file>