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F79C85">
      <w:pPr>
        <w:spacing w:before="101" w:line="419" w:lineRule="exact"/>
        <w:ind w:left="91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24"/>
          <w:position w:val="1"/>
          <w:sz w:val="31"/>
          <w:szCs w:val="31"/>
        </w:rPr>
        <w:t>附件</w:t>
      </w:r>
      <w:r>
        <w:rPr>
          <w:rFonts w:ascii="Times New Roman" w:hAnsi="Times New Roman" w:eastAsia="Times New Roman" w:cs="Times New Roman"/>
          <w:spacing w:val="24"/>
          <w:position w:val="1"/>
          <w:sz w:val="31"/>
          <w:szCs w:val="31"/>
        </w:rPr>
        <w:t>6</w:t>
      </w:r>
    </w:p>
    <w:p w14:paraId="35F85510">
      <w:pPr>
        <w:spacing w:before="143" w:line="502" w:lineRule="exact"/>
        <w:ind w:left="2769"/>
        <w:outlineLvl w:val="0"/>
        <w:rPr>
          <w:rFonts w:ascii="微软雅黑" w:hAnsi="微软雅黑" w:eastAsia="微软雅黑" w:cs="微软雅黑"/>
          <w:sz w:val="50"/>
          <w:szCs w:val="50"/>
        </w:rPr>
      </w:pPr>
      <w:r>
        <w:rPr>
          <w:rFonts w:ascii="微软雅黑" w:hAnsi="微软雅黑" w:eastAsia="微软雅黑" w:cs="微软雅黑"/>
          <w:spacing w:val="-10"/>
          <w:w w:val="90"/>
          <w:position w:val="-2"/>
          <w:sz w:val="50"/>
          <w:szCs w:val="50"/>
        </w:rPr>
        <w:t>枣庄市医疗保险协议定点零售药店评估标准</w:t>
      </w:r>
    </w:p>
    <w:p w14:paraId="6279C12F">
      <w:pPr>
        <w:spacing w:before="178" w:line="222" w:lineRule="auto"/>
        <w:ind w:left="76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1"/>
          <w:sz w:val="28"/>
          <w:szCs w:val="28"/>
        </w:rPr>
        <w:t>零售药店名称：</w:t>
      </w:r>
      <w:r>
        <w:rPr>
          <w:rFonts w:ascii="黑体" w:hAnsi="黑体" w:eastAsia="黑体" w:cs="黑体"/>
          <w:sz w:val="28"/>
          <w:szCs w:val="28"/>
        </w:rPr>
        <w:t xml:space="preserve">                                                         </w:t>
      </w:r>
      <w:r>
        <w:rPr>
          <w:rFonts w:ascii="黑体" w:hAnsi="黑体" w:eastAsia="黑体" w:cs="黑体"/>
          <w:spacing w:val="-1"/>
          <w:sz w:val="28"/>
          <w:szCs w:val="28"/>
        </w:rPr>
        <w:t xml:space="preserve">评估日期：    年  </w:t>
      </w:r>
      <w:r>
        <w:rPr>
          <w:rFonts w:ascii="黑体" w:hAnsi="黑体" w:eastAsia="黑体" w:cs="黑体"/>
          <w:spacing w:val="-2"/>
          <w:sz w:val="28"/>
          <w:szCs w:val="28"/>
        </w:rPr>
        <w:t xml:space="preserve"> 月</w:t>
      </w:r>
      <w:r>
        <w:rPr>
          <w:rFonts w:ascii="黑体" w:hAnsi="黑体" w:eastAsia="黑体" w:cs="黑体"/>
          <w:spacing w:val="21"/>
          <w:sz w:val="28"/>
          <w:szCs w:val="28"/>
        </w:rPr>
        <w:t xml:space="preserve">   </w:t>
      </w:r>
      <w:r>
        <w:rPr>
          <w:rFonts w:ascii="黑体" w:hAnsi="黑体" w:eastAsia="黑体" w:cs="黑体"/>
          <w:spacing w:val="-2"/>
          <w:sz w:val="28"/>
          <w:szCs w:val="28"/>
        </w:rPr>
        <w:t>日</w:t>
      </w:r>
    </w:p>
    <w:p w14:paraId="72AE986B">
      <w:pPr>
        <w:spacing w:line="117" w:lineRule="exact"/>
      </w:pPr>
    </w:p>
    <w:tbl>
      <w:tblPr>
        <w:tblStyle w:val="6"/>
        <w:tblW w:w="138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3"/>
        <w:gridCol w:w="1811"/>
        <w:gridCol w:w="9056"/>
        <w:gridCol w:w="1514"/>
      </w:tblGrid>
      <w:tr w14:paraId="54E89C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513" w:type="dxa"/>
            <w:vAlign w:val="top"/>
          </w:tcPr>
          <w:p w14:paraId="52F6AFED">
            <w:pPr>
              <w:spacing w:before="232" w:line="222" w:lineRule="auto"/>
              <w:ind w:left="20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指标类别</w:t>
            </w:r>
          </w:p>
        </w:tc>
        <w:tc>
          <w:tcPr>
            <w:tcW w:w="1811" w:type="dxa"/>
            <w:vAlign w:val="top"/>
          </w:tcPr>
          <w:p w14:paraId="19689DD8">
            <w:pPr>
              <w:spacing w:before="233" w:line="222" w:lineRule="auto"/>
              <w:ind w:left="35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评估项目</w:t>
            </w:r>
          </w:p>
        </w:tc>
        <w:tc>
          <w:tcPr>
            <w:tcW w:w="9056" w:type="dxa"/>
            <w:vAlign w:val="top"/>
          </w:tcPr>
          <w:p w14:paraId="518DAFE3">
            <w:pPr>
              <w:spacing w:before="233" w:line="222" w:lineRule="auto"/>
              <w:ind w:left="3976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评估标准</w:t>
            </w:r>
          </w:p>
        </w:tc>
        <w:tc>
          <w:tcPr>
            <w:tcW w:w="1514" w:type="dxa"/>
            <w:vAlign w:val="top"/>
          </w:tcPr>
          <w:p w14:paraId="1BAAABF9">
            <w:pPr>
              <w:spacing w:before="233" w:line="222" w:lineRule="auto"/>
              <w:ind w:left="205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评估情况</w:t>
            </w:r>
          </w:p>
        </w:tc>
      </w:tr>
      <w:tr w14:paraId="61824A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4" w:hRule="atLeast"/>
        </w:trPr>
        <w:tc>
          <w:tcPr>
            <w:tcW w:w="1513" w:type="dxa"/>
            <w:vMerge w:val="restart"/>
            <w:tcBorders>
              <w:bottom w:val="nil"/>
            </w:tcBorders>
            <w:vAlign w:val="top"/>
          </w:tcPr>
          <w:p w14:paraId="11758C7B">
            <w:pPr>
              <w:spacing w:line="248" w:lineRule="auto"/>
              <w:rPr>
                <w:rFonts w:ascii="Arial"/>
                <w:sz w:val="21"/>
              </w:rPr>
            </w:pPr>
          </w:p>
          <w:p w14:paraId="5CC99CAD">
            <w:pPr>
              <w:spacing w:line="248" w:lineRule="auto"/>
              <w:rPr>
                <w:rFonts w:ascii="Arial"/>
                <w:sz w:val="21"/>
              </w:rPr>
            </w:pPr>
          </w:p>
          <w:p w14:paraId="524F11BF">
            <w:pPr>
              <w:spacing w:line="248" w:lineRule="auto"/>
              <w:rPr>
                <w:rFonts w:ascii="Arial"/>
                <w:sz w:val="21"/>
              </w:rPr>
            </w:pPr>
          </w:p>
          <w:p w14:paraId="1E52F624">
            <w:pPr>
              <w:spacing w:line="249" w:lineRule="auto"/>
              <w:rPr>
                <w:rFonts w:ascii="Arial"/>
                <w:sz w:val="21"/>
              </w:rPr>
            </w:pPr>
          </w:p>
          <w:p w14:paraId="4634D2DF">
            <w:pPr>
              <w:spacing w:line="249" w:lineRule="auto"/>
              <w:rPr>
                <w:rFonts w:ascii="Arial"/>
                <w:sz w:val="21"/>
              </w:rPr>
            </w:pPr>
          </w:p>
          <w:p w14:paraId="2497420B">
            <w:pPr>
              <w:spacing w:line="249" w:lineRule="auto"/>
              <w:rPr>
                <w:rFonts w:ascii="Arial"/>
                <w:sz w:val="21"/>
              </w:rPr>
            </w:pPr>
          </w:p>
          <w:p w14:paraId="7AD1FC1C">
            <w:pPr>
              <w:spacing w:line="249" w:lineRule="auto"/>
              <w:rPr>
                <w:rFonts w:ascii="Arial"/>
                <w:sz w:val="21"/>
              </w:rPr>
            </w:pPr>
          </w:p>
          <w:p w14:paraId="422E29AE">
            <w:pPr>
              <w:spacing w:line="249" w:lineRule="auto"/>
              <w:rPr>
                <w:rFonts w:ascii="Arial"/>
                <w:sz w:val="21"/>
              </w:rPr>
            </w:pPr>
          </w:p>
          <w:p w14:paraId="6EB21ABD">
            <w:pPr>
              <w:spacing w:line="249" w:lineRule="auto"/>
              <w:rPr>
                <w:rFonts w:ascii="Arial"/>
                <w:sz w:val="21"/>
              </w:rPr>
            </w:pPr>
          </w:p>
          <w:p w14:paraId="6CE48C4B">
            <w:pPr>
              <w:spacing w:line="249" w:lineRule="auto"/>
              <w:rPr>
                <w:rFonts w:ascii="Arial"/>
                <w:sz w:val="21"/>
              </w:rPr>
            </w:pPr>
          </w:p>
          <w:p w14:paraId="080870FA">
            <w:pPr>
              <w:spacing w:line="249" w:lineRule="auto"/>
              <w:rPr>
                <w:rFonts w:ascii="Arial"/>
                <w:sz w:val="21"/>
              </w:rPr>
            </w:pPr>
          </w:p>
          <w:p w14:paraId="64E84108">
            <w:pPr>
              <w:spacing w:before="72" w:line="214" w:lineRule="auto"/>
              <w:ind w:left="318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2"/>
                <w:szCs w:val="22"/>
              </w:rPr>
              <w:t>基本条件</w:t>
            </w:r>
          </w:p>
        </w:tc>
        <w:tc>
          <w:tcPr>
            <w:tcW w:w="1811" w:type="dxa"/>
            <w:vAlign w:val="top"/>
          </w:tcPr>
          <w:p w14:paraId="3723488C">
            <w:pPr>
              <w:spacing w:line="398" w:lineRule="auto"/>
              <w:rPr>
                <w:rFonts w:ascii="Arial"/>
                <w:sz w:val="21"/>
              </w:rPr>
            </w:pPr>
          </w:p>
          <w:p w14:paraId="30D810E6">
            <w:pPr>
              <w:spacing w:before="71" w:line="217" w:lineRule="auto"/>
              <w:ind w:left="477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证照情况</w:t>
            </w:r>
          </w:p>
        </w:tc>
        <w:tc>
          <w:tcPr>
            <w:tcW w:w="9056" w:type="dxa"/>
            <w:vAlign w:val="top"/>
          </w:tcPr>
          <w:p w14:paraId="3FFA48BD">
            <w:pPr>
              <w:pStyle w:val="7"/>
              <w:spacing w:before="52" w:line="229" w:lineRule="auto"/>
              <w:ind w:left="126" w:right="113" w:hanging="9"/>
              <w:jc w:val="both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《药品经营许可证》《营业执照》等证照齐全的，申请材料与实际情况一致，按规定完成校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验。完全符合要求的，为合格。核查营业执照、药品经营许可证</w:t>
            </w:r>
            <w:r>
              <w:rPr>
                <w:spacing w:val="-2"/>
                <w:sz w:val="22"/>
                <w:szCs w:val="22"/>
              </w:rPr>
              <w:t>(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医疗器械经营许可证）等相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关材料和法定代表人、企业负责人或实际控制人身份证。经营场所产权证明或租赁合同等有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关材料是否与注册地址一致，是否固定、独立。</w:t>
            </w:r>
          </w:p>
        </w:tc>
        <w:tc>
          <w:tcPr>
            <w:tcW w:w="1514" w:type="dxa"/>
            <w:vAlign w:val="top"/>
          </w:tcPr>
          <w:p w14:paraId="65F0A3A5">
            <w:pPr>
              <w:rPr>
                <w:rFonts w:ascii="Arial"/>
                <w:sz w:val="21"/>
              </w:rPr>
            </w:pPr>
          </w:p>
        </w:tc>
      </w:tr>
      <w:tr w14:paraId="5C078A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</w:trPr>
        <w:tc>
          <w:tcPr>
            <w:tcW w:w="1513" w:type="dxa"/>
            <w:vMerge w:val="continue"/>
            <w:tcBorders>
              <w:top w:val="nil"/>
              <w:bottom w:val="nil"/>
            </w:tcBorders>
            <w:vAlign w:val="top"/>
          </w:tcPr>
          <w:p w14:paraId="0E674503">
            <w:pPr>
              <w:rPr>
                <w:rFonts w:ascii="Arial"/>
                <w:sz w:val="21"/>
              </w:rPr>
            </w:pPr>
          </w:p>
        </w:tc>
        <w:tc>
          <w:tcPr>
            <w:tcW w:w="1811" w:type="dxa"/>
            <w:vAlign w:val="top"/>
          </w:tcPr>
          <w:p w14:paraId="5810CC56">
            <w:pPr>
              <w:spacing w:line="348" w:lineRule="auto"/>
              <w:rPr>
                <w:rFonts w:ascii="Arial"/>
                <w:sz w:val="21"/>
              </w:rPr>
            </w:pPr>
          </w:p>
          <w:p w14:paraId="2A114BBD">
            <w:pPr>
              <w:spacing w:before="72" w:line="216" w:lineRule="auto"/>
              <w:ind w:left="30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周边现有定点情况</w:t>
            </w:r>
          </w:p>
        </w:tc>
        <w:tc>
          <w:tcPr>
            <w:tcW w:w="9056" w:type="dxa"/>
            <w:vAlign w:val="top"/>
          </w:tcPr>
          <w:p w14:paraId="578A9F86">
            <w:pPr>
              <w:pStyle w:val="7"/>
              <w:spacing w:before="110" w:line="247" w:lineRule="auto"/>
              <w:ind w:left="125" w:right="48" w:firstLine="6"/>
              <w:jc w:val="both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2"/>
                <w:szCs w:val="22"/>
              </w:rPr>
              <w:t>步行距离</w:t>
            </w:r>
            <w:r>
              <w:rPr>
                <w:rFonts w:ascii="FangSong_GB2312" w:hAnsi="FangSong_GB2312" w:eastAsia="FangSong_GB2312" w:cs="FangSong_GB2312"/>
                <w:spacing w:val="-31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 xml:space="preserve">15 </w:t>
            </w:r>
            <w:r>
              <w:rPr>
                <w:rFonts w:ascii="FangSong_GB2312" w:hAnsi="FangSong_GB2312" w:eastAsia="FangSong_GB2312" w:cs="FangSong_GB2312"/>
                <w:spacing w:val="-3"/>
                <w:sz w:val="22"/>
                <w:szCs w:val="22"/>
              </w:rPr>
              <w:t>分钟范围内未有定点零售药店。符合要求的为合格，不符合的为</w:t>
            </w: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不合格。评估零</w:t>
            </w:r>
            <w:r>
              <w:rPr>
                <w:rFonts w:ascii="FangSong_GB2312" w:hAnsi="FangSong_GB2312" w:eastAsia="FangSong_GB2312" w:cs="FangSong_GB2312"/>
                <w:spacing w:val="-3"/>
                <w:sz w:val="22"/>
                <w:szCs w:val="22"/>
              </w:rPr>
              <w:t>售药店经营场所周边医保定点配置情况，核</w:t>
            </w: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查是否符合我市定点医药机构资源配置规划要求。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其中仅申请个账定点的不受</w:t>
            </w:r>
            <w:r>
              <w:rPr>
                <w:rFonts w:ascii="FangSong_GB2312" w:hAnsi="FangSong_GB2312" w:eastAsia="FangSong_GB2312" w:cs="FangSong_GB2312"/>
                <w:spacing w:val="-2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 xml:space="preserve">15 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分钟限制要求。</w:t>
            </w:r>
          </w:p>
        </w:tc>
        <w:tc>
          <w:tcPr>
            <w:tcW w:w="1514" w:type="dxa"/>
            <w:vAlign w:val="top"/>
          </w:tcPr>
          <w:p w14:paraId="2A587BDF">
            <w:pPr>
              <w:rPr>
                <w:rFonts w:ascii="Arial"/>
                <w:sz w:val="21"/>
              </w:rPr>
            </w:pPr>
          </w:p>
        </w:tc>
      </w:tr>
      <w:tr w14:paraId="405539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1513" w:type="dxa"/>
            <w:vMerge w:val="continue"/>
            <w:tcBorders>
              <w:top w:val="nil"/>
              <w:bottom w:val="nil"/>
            </w:tcBorders>
            <w:vAlign w:val="top"/>
          </w:tcPr>
          <w:p w14:paraId="58EFC039">
            <w:pPr>
              <w:rPr>
                <w:rFonts w:ascii="Arial"/>
                <w:sz w:val="21"/>
              </w:rPr>
            </w:pPr>
          </w:p>
        </w:tc>
        <w:tc>
          <w:tcPr>
            <w:tcW w:w="1811" w:type="dxa"/>
            <w:vAlign w:val="top"/>
          </w:tcPr>
          <w:p w14:paraId="67A55C3B">
            <w:pPr>
              <w:spacing w:line="259" w:lineRule="auto"/>
              <w:rPr>
                <w:rFonts w:ascii="Arial"/>
                <w:sz w:val="21"/>
              </w:rPr>
            </w:pPr>
          </w:p>
          <w:p w14:paraId="442C1D1F">
            <w:pPr>
              <w:spacing w:before="72" w:line="216" w:lineRule="auto"/>
              <w:ind w:left="256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2"/>
                <w:szCs w:val="22"/>
              </w:rPr>
              <w:t>正式运营时间</w:t>
            </w:r>
          </w:p>
        </w:tc>
        <w:tc>
          <w:tcPr>
            <w:tcW w:w="9056" w:type="dxa"/>
            <w:vAlign w:val="top"/>
          </w:tcPr>
          <w:p w14:paraId="02390D45">
            <w:pPr>
              <w:pStyle w:val="7"/>
              <w:spacing w:before="20" w:line="236" w:lineRule="auto"/>
              <w:ind w:left="134" w:right="113" w:hanging="2"/>
              <w:jc w:val="both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1"/>
                <w:sz w:val="22"/>
                <w:szCs w:val="22"/>
              </w:rPr>
              <w:t>正式运营满</w:t>
            </w:r>
            <w:r>
              <w:rPr>
                <w:spacing w:val="1"/>
                <w:sz w:val="22"/>
                <w:szCs w:val="22"/>
              </w:rPr>
              <w:t xml:space="preserve">3 </w:t>
            </w:r>
            <w:r>
              <w:rPr>
                <w:rFonts w:ascii="FangSong_GB2312" w:hAnsi="FangSong_GB2312" w:eastAsia="FangSong_GB2312" w:cs="FangSong_GB2312"/>
                <w:spacing w:val="1"/>
                <w:sz w:val="22"/>
                <w:szCs w:val="22"/>
              </w:rPr>
              <w:t>个月（含）以上为合格；不足</w:t>
            </w:r>
            <w:r>
              <w:rPr>
                <w:rFonts w:ascii="FangSong_GB2312" w:hAnsi="FangSong_GB2312" w:eastAsia="FangSong_GB2312" w:cs="FangSong_GB2312"/>
                <w:spacing w:val="-39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 xml:space="preserve">3 </w:t>
            </w:r>
            <w:r>
              <w:rPr>
                <w:rFonts w:ascii="FangSong_GB2312" w:hAnsi="FangSong_GB2312" w:eastAsia="FangSong_GB2312" w:cs="FangSong_GB2312"/>
                <w:spacing w:val="1"/>
                <w:sz w:val="22"/>
                <w:szCs w:val="22"/>
              </w:rPr>
              <w:t>个月的，暂不纳入。核查正式运营时间是否达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到三个月，以最后取得的证照日期为准，通过查阅处方、发票及进出货凭证等，证实正式运</w:t>
            </w:r>
            <w:r>
              <w:rPr>
                <w:rFonts w:ascii="FangSong_GB2312" w:hAnsi="FangSong_GB2312" w:eastAsia="FangSong_GB2312" w:cs="FangSong_GB2312"/>
                <w:spacing w:val="4"/>
                <w:sz w:val="22"/>
                <w:szCs w:val="22"/>
              </w:rPr>
              <w:t>营至少</w:t>
            </w:r>
            <w:r>
              <w:rPr>
                <w:spacing w:val="4"/>
                <w:sz w:val="22"/>
                <w:szCs w:val="22"/>
              </w:rPr>
              <w:t xml:space="preserve">3 </w:t>
            </w:r>
            <w:r>
              <w:rPr>
                <w:rFonts w:ascii="FangSong_GB2312" w:hAnsi="FangSong_GB2312" w:eastAsia="FangSong_GB2312" w:cs="FangSong_GB2312"/>
                <w:spacing w:val="4"/>
                <w:sz w:val="22"/>
                <w:szCs w:val="22"/>
              </w:rPr>
              <w:t>个月。</w:t>
            </w:r>
          </w:p>
        </w:tc>
        <w:tc>
          <w:tcPr>
            <w:tcW w:w="1514" w:type="dxa"/>
            <w:vAlign w:val="top"/>
          </w:tcPr>
          <w:p w14:paraId="15895DB3">
            <w:pPr>
              <w:rPr>
                <w:rFonts w:ascii="Arial"/>
                <w:sz w:val="21"/>
              </w:rPr>
            </w:pPr>
          </w:p>
        </w:tc>
      </w:tr>
      <w:tr w14:paraId="3AAE82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4" w:hRule="atLeast"/>
        </w:trPr>
        <w:tc>
          <w:tcPr>
            <w:tcW w:w="1513" w:type="dxa"/>
            <w:vMerge w:val="continue"/>
            <w:tcBorders>
              <w:top w:val="nil"/>
              <w:bottom w:val="nil"/>
            </w:tcBorders>
            <w:vAlign w:val="top"/>
          </w:tcPr>
          <w:p w14:paraId="16A8107A">
            <w:pPr>
              <w:rPr>
                <w:rFonts w:ascii="Arial"/>
                <w:sz w:val="21"/>
              </w:rPr>
            </w:pPr>
          </w:p>
        </w:tc>
        <w:tc>
          <w:tcPr>
            <w:tcW w:w="1811" w:type="dxa"/>
            <w:vAlign w:val="top"/>
          </w:tcPr>
          <w:p w14:paraId="0003FC56">
            <w:pPr>
              <w:spacing w:line="309" w:lineRule="auto"/>
              <w:rPr>
                <w:rFonts w:ascii="Arial"/>
                <w:sz w:val="21"/>
              </w:rPr>
            </w:pPr>
          </w:p>
          <w:p w14:paraId="7515B921">
            <w:pPr>
              <w:spacing w:line="310" w:lineRule="auto"/>
              <w:rPr>
                <w:rFonts w:ascii="Arial"/>
                <w:sz w:val="21"/>
              </w:rPr>
            </w:pPr>
          </w:p>
          <w:p w14:paraId="46F7341F">
            <w:pPr>
              <w:spacing w:before="72" w:line="215" w:lineRule="auto"/>
              <w:ind w:left="482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2"/>
                <w:szCs w:val="22"/>
              </w:rPr>
              <w:t>药师配备</w:t>
            </w:r>
          </w:p>
        </w:tc>
        <w:tc>
          <w:tcPr>
            <w:tcW w:w="9056" w:type="dxa"/>
            <w:vAlign w:val="top"/>
          </w:tcPr>
          <w:p w14:paraId="15179804">
            <w:pPr>
              <w:pStyle w:val="7"/>
              <w:spacing w:before="97" w:line="237" w:lineRule="auto"/>
              <w:ind w:left="124" w:right="113" w:firstLine="10"/>
              <w:jc w:val="both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配备至少</w:t>
            </w:r>
            <w:r>
              <w:rPr>
                <w:rFonts w:ascii="FangSong_GB2312" w:hAnsi="FangSong_GB2312" w:eastAsia="FangSong_GB2312" w:cs="FangSong_GB2312"/>
                <w:spacing w:val="-14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 xml:space="preserve">1 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名取得执业药师资格证书或具有药学、临床药学、中药学专业技术资格证书的药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师，且注册地在该药店所在地，药师须签订</w:t>
            </w:r>
            <w:r>
              <w:rPr>
                <w:rFonts w:ascii="FangSong_GB2312" w:hAnsi="FangSong_GB2312" w:eastAsia="FangSong_GB2312" w:cs="FangSong_GB2312"/>
                <w:spacing w:val="-3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1 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年以上劳动合同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且在合同期内。核查执业药师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资格证书或药学技术人员资格证书及执业地，是否正常在岗，核查劳动合同及参保缴费证明等，连续足额缴纳社会保险</w:t>
            </w:r>
            <w:r>
              <w:rPr>
                <w:rFonts w:ascii="FangSong_GB2312" w:hAnsi="FangSong_GB2312" w:eastAsia="FangSong_GB2312" w:cs="FangSong_GB2312"/>
                <w:spacing w:val="-4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 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个月以上，且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合同有效期为</w:t>
            </w:r>
            <w:r>
              <w:rPr>
                <w:rFonts w:ascii="FangSong_GB2312" w:hAnsi="FangSong_GB2312" w:eastAsia="FangSong_GB2312" w:cs="FangSong_GB2312"/>
                <w:spacing w:val="-3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 xml:space="preserve">1 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年以上。完全符合要求的视为合格，不符合的视为不合格。</w:t>
            </w:r>
          </w:p>
        </w:tc>
        <w:tc>
          <w:tcPr>
            <w:tcW w:w="1514" w:type="dxa"/>
            <w:vAlign w:val="top"/>
          </w:tcPr>
          <w:p w14:paraId="1EECD4AC">
            <w:pPr>
              <w:rPr>
                <w:rFonts w:ascii="Arial"/>
                <w:sz w:val="21"/>
              </w:rPr>
            </w:pPr>
          </w:p>
        </w:tc>
      </w:tr>
      <w:tr w14:paraId="66EC82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4" w:hRule="atLeast"/>
        </w:trPr>
        <w:tc>
          <w:tcPr>
            <w:tcW w:w="1513" w:type="dxa"/>
            <w:vMerge w:val="continue"/>
            <w:tcBorders>
              <w:top w:val="nil"/>
            </w:tcBorders>
            <w:vAlign w:val="top"/>
          </w:tcPr>
          <w:p w14:paraId="0EE92DD2">
            <w:pPr>
              <w:rPr>
                <w:rFonts w:ascii="Arial"/>
                <w:sz w:val="21"/>
              </w:rPr>
            </w:pPr>
          </w:p>
        </w:tc>
        <w:tc>
          <w:tcPr>
            <w:tcW w:w="1811" w:type="dxa"/>
            <w:vAlign w:val="top"/>
          </w:tcPr>
          <w:p w14:paraId="5E02CDEE">
            <w:pPr>
              <w:spacing w:line="404" w:lineRule="auto"/>
              <w:rPr>
                <w:rFonts w:ascii="Arial"/>
                <w:sz w:val="21"/>
              </w:rPr>
            </w:pPr>
          </w:p>
          <w:p w14:paraId="43537ED4">
            <w:pPr>
              <w:spacing w:before="72" w:line="214" w:lineRule="auto"/>
              <w:ind w:left="496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22"/>
                <w:szCs w:val="22"/>
              </w:rPr>
              <w:t>医保管理</w:t>
            </w:r>
          </w:p>
        </w:tc>
        <w:tc>
          <w:tcPr>
            <w:tcW w:w="9056" w:type="dxa"/>
            <w:vAlign w:val="top"/>
          </w:tcPr>
          <w:p w14:paraId="7504CC1E">
            <w:pPr>
              <w:pStyle w:val="7"/>
              <w:spacing w:before="163" w:line="238" w:lineRule="auto"/>
              <w:ind w:left="135" w:right="113" w:firstLine="4"/>
              <w:jc w:val="both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至少有</w:t>
            </w:r>
            <w:r>
              <w:rPr>
                <w:rFonts w:ascii="FangSong_GB2312" w:hAnsi="FangSong_GB2312" w:eastAsia="FangSong_GB2312" w:cs="FangSong_GB2312"/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 xml:space="preserve">2 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名熟悉医保相关法律法规和制度规定的专（兼）职医保管理人员，签订</w:t>
            </w:r>
            <w:r>
              <w:rPr>
                <w:rFonts w:ascii="FangSong_GB2312" w:hAnsi="FangSong_GB2312" w:eastAsia="FangSong_GB2312" w:cs="FangSong_GB2312"/>
                <w:spacing w:val="-29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 xml:space="preserve">1 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年以上劳动合同且在合同期内，合同有效期为</w:t>
            </w:r>
            <w:r>
              <w:rPr>
                <w:rFonts w:ascii="FangSong_GB2312" w:hAnsi="FangSong_GB2312" w:eastAsia="FangSong_GB2312" w:cs="FangSong_GB2312"/>
                <w:spacing w:val="-29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1</w:t>
            </w:r>
            <w:r>
              <w:rPr>
                <w:spacing w:val="13"/>
                <w:w w:val="101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年以上，连续缴纳社会保险</w:t>
            </w:r>
            <w:r>
              <w:rPr>
                <w:rFonts w:ascii="FangSong_GB2312" w:hAnsi="FangSong_GB2312" w:eastAsia="FangSong_GB2312" w:cs="FangSong_GB2312"/>
                <w:spacing w:val="-48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 xml:space="preserve">3 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个月以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上。完全符合要求的视为合格，不符合的视为不合格。</w:t>
            </w:r>
          </w:p>
        </w:tc>
        <w:tc>
          <w:tcPr>
            <w:tcW w:w="1514" w:type="dxa"/>
            <w:vAlign w:val="top"/>
          </w:tcPr>
          <w:p w14:paraId="075F2CC1">
            <w:pPr>
              <w:rPr>
                <w:rFonts w:ascii="Arial"/>
                <w:sz w:val="21"/>
              </w:rPr>
            </w:pPr>
          </w:p>
        </w:tc>
      </w:tr>
    </w:tbl>
    <w:p w14:paraId="22072383">
      <w:pPr>
        <w:rPr>
          <w:rFonts w:ascii="Arial"/>
          <w:sz w:val="21"/>
        </w:rPr>
      </w:pPr>
    </w:p>
    <w:p w14:paraId="08C867E3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6839" w:h="11906"/>
          <w:pgMar w:top="1012" w:right="1469" w:bottom="1318" w:left="1469" w:header="0" w:footer="1004" w:gutter="0"/>
          <w:cols w:space="720" w:num="1"/>
        </w:sectPr>
      </w:pPr>
    </w:p>
    <w:tbl>
      <w:tblPr>
        <w:tblStyle w:val="6"/>
        <w:tblW w:w="138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3"/>
        <w:gridCol w:w="1811"/>
        <w:gridCol w:w="9056"/>
        <w:gridCol w:w="1514"/>
      </w:tblGrid>
      <w:tr w14:paraId="4839D7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513" w:type="dxa"/>
            <w:vAlign w:val="top"/>
          </w:tcPr>
          <w:p w14:paraId="28B52B6A">
            <w:pPr>
              <w:spacing w:before="232" w:line="222" w:lineRule="auto"/>
              <w:ind w:left="20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指标类别</w:t>
            </w:r>
          </w:p>
        </w:tc>
        <w:tc>
          <w:tcPr>
            <w:tcW w:w="1811" w:type="dxa"/>
            <w:vAlign w:val="top"/>
          </w:tcPr>
          <w:p w14:paraId="15C1480A">
            <w:pPr>
              <w:spacing w:before="233" w:line="222" w:lineRule="auto"/>
              <w:ind w:left="35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评估项目</w:t>
            </w:r>
          </w:p>
        </w:tc>
        <w:tc>
          <w:tcPr>
            <w:tcW w:w="9056" w:type="dxa"/>
            <w:vAlign w:val="top"/>
          </w:tcPr>
          <w:p w14:paraId="3ED71AC1">
            <w:pPr>
              <w:spacing w:before="233" w:line="222" w:lineRule="auto"/>
              <w:ind w:left="3976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评估标准</w:t>
            </w:r>
          </w:p>
        </w:tc>
        <w:tc>
          <w:tcPr>
            <w:tcW w:w="1514" w:type="dxa"/>
            <w:vAlign w:val="top"/>
          </w:tcPr>
          <w:p w14:paraId="09EE2626">
            <w:pPr>
              <w:spacing w:before="233" w:line="222" w:lineRule="auto"/>
              <w:ind w:left="205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评估情况</w:t>
            </w:r>
          </w:p>
        </w:tc>
      </w:tr>
      <w:tr w14:paraId="534CB9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513" w:type="dxa"/>
            <w:vMerge w:val="restart"/>
            <w:tcBorders>
              <w:bottom w:val="nil"/>
            </w:tcBorders>
            <w:vAlign w:val="top"/>
          </w:tcPr>
          <w:p w14:paraId="0EE3A201">
            <w:pPr>
              <w:rPr>
                <w:rFonts w:ascii="Arial"/>
                <w:sz w:val="21"/>
              </w:rPr>
            </w:pPr>
          </w:p>
        </w:tc>
        <w:tc>
          <w:tcPr>
            <w:tcW w:w="1811" w:type="dxa"/>
            <w:vAlign w:val="top"/>
          </w:tcPr>
          <w:p w14:paraId="01A4FFE2">
            <w:pPr>
              <w:spacing w:before="214" w:line="214" w:lineRule="auto"/>
              <w:ind w:left="463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信息系统</w:t>
            </w:r>
          </w:p>
        </w:tc>
        <w:tc>
          <w:tcPr>
            <w:tcW w:w="9056" w:type="dxa"/>
            <w:vAlign w:val="top"/>
          </w:tcPr>
          <w:p w14:paraId="721E800E">
            <w:pPr>
              <w:spacing w:before="73" w:line="233" w:lineRule="auto"/>
              <w:ind w:left="129" w:right="54" w:hanging="3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确定系统开发商，签订合作协议，具备必要完善的药店信息系统。完全符合要求的视为合格，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不符合的视为不合格。</w:t>
            </w:r>
          </w:p>
        </w:tc>
        <w:tc>
          <w:tcPr>
            <w:tcW w:w="1514" w:type="dxa"/>
            <w:vAlign w:val="top"/>
          </w:tcPr>
          <w:p w14:paraId="5DD21F55">
            <w:pPr>
              <w:rPr>
                <w:rFonts w:ascii="Arial"/>
                <w:sz w:val="21"/>
              </w:rPr>
            </w:pPr>
          </w:p>
        </w:tc>
      </w:tr>
      <w:tr w14:paraId="369E62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4" w:hRule="atLeast"/>
        </w:trPr>
        <w:tc>
          <w:tcPr>
            <w:tcW w:w="1513" w:type="dxa"/>
            <w:vMerge w:val="continue"/>
            <w:tcBorders>
              <w:top w:val="nil"/>
              <w:bottom w:val="nil"/>
            </w:tcBorders>
            <w:vAlign w:val="top"/>
          </w:tcPr>
          <w:p w14:paraId="385BC7E8">
            <w:pPr>
              <w:rPr>
                <w:rFonts w:ascii="Arial"/>
                <w:sz w:val="21"/>
              </w:rPr>
            </w:pPr>
          </w:p>
        </w:tc>
        <w:tc>
          <w:tcPr>
            <w:tcW w:w="1811" w:type="dxa"/>
            <w:vAlign w:val="top"/>
          </w:tcPr>
          <w:p w14:paraId="01740B6E">
            <w:pPr>
              <w:spacing w:line="398" w:lineRule="auto"/>
              <w:rPr>
                <w:rFonts w:ascii="Arial"/>
                <w:sz w:val="21"/>
              </w:rPr>
            </w:pPr>
          </w:p>
          <w:p w14:paraId="3BCF4C1D">
            <w:pPr>
              <w:spacing w:before="72" w:line="214" w:lineRule="auto"/>
              <w:ind w:left="482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2"/>
                <w:szCs w:val="22"/>
              </w:rPr>
              <w:t>药品管理</w:t>
            </w:r>
          </w:p>
        </w:tc>
        <w:tc>
          <w:tcPr>
            <w:tcW w:w="9056" w:type="dxa"/>
            <w:vAlign w:val="top"/>
          </w:tcPr>
          <w:p w14:paraId="6B0087D8">
            <w:pPr>
              <w:spacing w:before="52" w:line="229" w:lineRule="auto"/>
              <w:ind w:left="137" w:right="113" w:hanging="11"/>
              <w:jc w:val="both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按照药品经营质量管理规范要求，开展药品分类分区管理，并对所售药品设立明确的医保用药标识。完全符合要求的视为合格，不符合的视为不合格。核查零售药店经营范围（区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分医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药用品专营、兼营食品日用品等</w:t>
            </w:r>
            <w:r>
              <w:rPr>
                <w:rFonts w:ascii="FangSong_GB2312" w:hAnsi="FangSong_GB2312" w:eastAsia="FangSong_GB2312" w:cs="FangSong_GB2312"/>
                <w:spacing w:val="3"/>
                <w:sz w:val="22"/>
                <w:szCs w:val="22"/>
              </w:rPr>
              <w:t>），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是否开展药品分类分区管理，并对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所售药品设立明确的</w:t>
            </w:r>
            <w:r>
              <w:rPr>
                <w:rFonts w:ascii="FangSong_GB2312" w:hAnsi="FangSong_GB2312" w:eastAsia="FangSong_GB2312" w:cs="FangSong_GB2312"/>
                <w:spacing w:val="-3"/>
                <w:sz w:val="22"/>
                <w:szCs w:val="22"/>
              </w:rPr>
              <w:t>医保用药标识。</w:t>
            </w:r>
          </w:p>
        </w:tc>
        <w:tc>
          <w:tcPr>
            <w:tcW w:w="1514" w:type="dxa"/>
            <w:vAlign w:val="top"/>
          </w:tcPr>
          <w:p w14:paraId="04BEE510">
            <w:pPr>
              <w:rPr>
                <w:rFonts w:ascii="Arial"/>
                <w:sz w:val="21"/>
              </w:rPr>
            </w:pPr>
          </w:p>
        </w:tc>
      </w:tr>
      <w:tr w14:paraId="764310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1513" w:type="dxa"/>
            <w:vMerge w:val="continue"/>
            <w:tcBorders>
              <w:top w:val="nil"/>
              <w:bottom w:val="nil"/>
            </w:tcBorders>
            <w:vAlign w:val="top"/>
          </w:tcPr>
          <w:p w14:paraId="1A865428">
            <w:pPr>
              <w:rPr>
                <w:rFonts w:ascii="Arial"/>
                <w:sz w:val="21"/>
              </w:rPr>
            </w:pPr>
          </w:p>
        </w:tc>
        <w:tc>
          <w:tcPr>
            <w:tcW w:w="1811" w:type="dxa"/>
            <w:vAlign w:val="top"/>
          </w:tcPr>
          <w:p w14:paraId="7BCF5D80">
            <w:pPr>
              <w:spacing w:line="259" w:lineRule="auto"/>
              <w:rPr>
                <w:rFonts w:ascii="Arial"/>
                <w:sz w:val="21"/>
              </w:rPr>
            </w:pPr>
          </w:p>
          <w:p w14:paraId="0E2FBEA9">
            <w:pPr>
              <w:spacing w:before="71" w:line="217" w:lineRule="auto"/>
              <w:ind w:left="463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信用制度</w:t>
            </w:r>
          </w:p>
        </w:tc>
        <w:tc>
          <w:tcPr>
            <w:tcW w:w="9056" w:type="dxa"/>
            <w:vAlign w:val="top"/>
          </w:tcPr>
          <w:p w14:paraId="76162FC3">
            <w:pPr>
              <w:spacing w:before="53" w:line="227" w:lineRule="auto"/>
              <w:ind w:left="125" w:right="113" w:firstLine="12"/>
              <w:jc w:val="both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药店的法定代表人、主要负责人或实际控制人未被列入失信人名单；原是医保定点被解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除协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议后符合重新受理相关规定。完全符合要求的视为合格，不符合的视为不合格。重点核查是否存在不予受理定点申请的情况，存在不予受理情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形的，暂不纳入。</w:t>
            </w:r>
          </w:p>
        </w:tc>
        <w:tc>
          <w:tcPr>
            <w:tcW w:w="1514" w:type="dxa"/>
            <w:vAlign w:val="top"/>
          </w:tcPr>
          <w:p w14:paraId="30620589">
            <w:pPr>
              <w:rPr>
                <w:rFonts w:ascii="Arial"/>
                <w:sz w:val="21"/>
              </w:rPr>
            </w:pPr>
          </w:p>
        </w:tc>
      </w:tr>
      <w:tr w14:paraId="1C7158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1513" w:type="dxa"/>
            <w:vMerge w:val="continue"/>
            <w:tcBorders>
              <w:top w:val="nil"/>
            </w:tcBorders>
            <w:vAlign w:val="top"/>
          </w:tcPr>
          <w:p w14:paraId="2D28BE6C">
            <w:pPr>
              <w:rPr>
                <w:rFonts w:ascii="Arial"/>
                <w:sz w:val="21"/>
              </w:rPr>
            </w:pPr>
          </w:p>
        </w:tc>
        <w:tc>
          <w:tcPr>
            <w:tcW w:w="1811" w:type="dxa"/>
            <w:vAlign w:val="top"/>
          </w:tcPr>
          <w:p w14:paraId="744D7EC5">
            <w:pPr>
              <w:spacing w:line="387" w:lineRule="auto"/>
              <w:rPr>
                <w:rFonts w:ascii="Arial"/>
                <w:sz w:val="21"/>
              </w:rPr>
            </w:pPr>
          </w:p>
          <w:p w14:paraId="0F9C9FA5">
            <w:pPr>
              <w:spacing w:before="72" w:line="214" w:lineRule="auto"/>
              <w:ind w:left="471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2"/>
                <w:szCs w:val="22"/>
              </w:rPr>
              <w:t>管理制度</w:t>
            </w:r>
          </w:p>
        </w:tc>
        <w:tc>
          <w:tcPr>
            <w:tcW w:w="9056" w:type="dxa"/>
            <w:vAlign w:val="top"/>
          </w:tcPr>
          <w:p w14:paraId="55E9B75E">
            <w:pPr>
              <w:spacing w:before="180" w:line="234" w:lineRule="auto"/>
              <w:ind w:left="118" w:right="44" w:firstLine="13"/>
              <w:jc w:val="both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具有符合医保协议管理要求的医保药品管理制度、财务管理制度、医保人员管理制度、统计</w:t>
            </w:r>
            <w:r>
              <w:rPr>
                <w:rFonts w:ascii="FangSong_GB2312" w:hAnsi="FangSong_GB2312" w:eastAsia="FangSong_GB2312" w:cs="FangSong_GB2312"/>
                <w:spacing w:val="-3"/>
                <w:sz w:val="22"/>
                <w:szCs w:val="22"/>
              </w:rPr>
              <w:t>信息管理制度和医保费用结算制度等，纳入定点后使用医疗保障基金</w:t>
            </w: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的预测性分析报告科学、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合理，有数据支撑，具有参考性。完全符合要求的视为合格，不符合的视为不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合格。</w:t>
            </w:r>
          </w:p>
        </w:tc>
        <w:tc>
          <w:tcPr>
            <w:tcW w:w="1514" w:type="dxa"/>
            <w:vAlign w:val="top"/>
          </w:tcPr>
          <w:p w14:paraId="09EAB0D4">
            <w:pPr>
              <w:rPr>
                <w:rFonts w:ascii="Arial"/>
                <w:sz w:val="21"/>
              </w:rPr>
            </w:pPr>
          </w:p>
        </w:tc>
      </w:tr>
      <w:tr w14:paraId="2F8BB8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513" w:type="dxa"/>
            <w:vMerge w:val="restart"/>
            <w:tcBorders>
              <w:bottom w:val="nil"/>
            </w:tcBorders>
            <w:vAlign w:val="top"/>
          </w:tcPr>
          <w:p w14:paraId="0A65B6D5">
            <w:pPr>
              <w:spacing w:line="256" w:lineRule="auto"/>
              <w:rPr>
                <w:rFonts w:ascii="Arial"/>
                <w:sz w:val="21"/>
              </w:rPr>
            </w:pPr>
          </w:p>
          <w:p w14:paraId="28279901">
            <w:pPr>
              <w:spacing w:line="256" w:lineRule="auto"/>
              <w:rPr>
                <w:rFonts w:ascii="Arial"/>
                <w:sz w:val="21"/>
              </w:rPr>
            </w:pPr>
          </w:p>
          <w:p w14:paraId="6E2F8EB8">
            <w:pPr>
              <w:spacing w:line="256" w:lineRule="auto"/>
              <w:rPr>
                <w:rFonts w:ascii="Arial"/>
                <w:sz w:val="21"/>
              </w:rPr>
            </w:pPr>
          </w:p>
          <w:p w14:paraId="08E409FD">
            <w:pPr>
              <w:spacing w:line="256" w:lineRule="auto"/>
              <w:rPr>
                <w:rFonts w:ascii="Arial"/>
                <w:sz w:val="21"/>
              </w:rPr>
            </w:pPr>
          </w:p>
          <w:p w14:paraId="20545BA2">
            <w:pPr>
              <w:spacing w:line="256" w:lineRule="auto"/>
              <w:rPr>
                <w:rFonts w:ascii="Arial"/>
                <w:sz w:val="21"/>
              </w:rPr>
            </w:pPr>
          </w:p>
          <w:p w14:paraId="597E606B">
            <w:pPr>
              <w:spacing w:line="256" w:lineRule="auto"/>
              <w:rPr>
                <w:rFonts w:ascii="Arial"/>
                <w:sz w:val="21"/>
              </w:rPr>
            </w:pPr>
          </w:p>
          <w:p w14:paraId="32DEB21D">
            <w:pPr>
              <w:spacing w:line="257" w:lineRule="auto"/>
              <w:rPr>
                <w:rFonts w:ascii="Arial"/>
                <w:sz w:val="21"/>
              </w:rPr>
            </w:pPr>
          </w:p>
          <w:p w14:paraId="2B93CCC9">
            <w:pPr>
              <w:spacing w:before="72" w:line="214" w:lineRule="auto"/>
              <w:ind w:left="321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2"/>
                <w:szCs w:val="22"/>
              </w:rPr>
              <w:t>场所条件</w:t>
            </w:r>
          </w:p>
        </w:tc>
        <w:tc>
          <w:tcPr>
            <w:tcW w:w="1811" w:type="dxa"/>
            <w:vAlign w:val="top"/>
          </w:tcPr>
          <w:p w14:paraId="00EF2274">
            <w:pPr>
              <w:spacing w:before="53" w:line="217" w:lineRule="auto"/>
              <w:ind w:left="475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经营情况</w:t>
            </w:r>
          </w:p>
          <w:p w14:paraId="7FBCC53C">
            <w:pPr>
              <w:pStyle w:val="7"/>
              <w:spacing w:before="22" w:line="210" w:lineRule="auto"/>
              <w:ind w:left="488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14"/>
                <w:sz w:val="22"/>
                <w:szCs w:val="22"/>
              </w:rPr>
              <w:t>（</w:t>
            </w:r>
            <w:r>
              <w:rPr>
                <w:spacing w:val="14"/>
                <w:sz w:val="22"/>
                <w:szCs w:val="22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4"/>
                <w:sz w:val="22"/>
                <w:szCs w:val="22"/>
              </w:rPr>
              <w:t>分）</w:t>
            </w:r>
          </w:p>
        </w:tc>
        <w:tc>
          <w:tcPr>
            <w:tcW w:w="9056" w:type="dxa"/>
            <w:vAlign w:val="top"/>
          </w:tcPr>
          <w:p w14:paraId="017F2496">
            <w:pPr>
              <w:pStyle w:val="7"/>
              <w:spacing w:before="53" w:line="206" w:lineRule="auto"/>
              <w:ind w:left="148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同一法定代表人（主要负责人）在现地址连续经营满一年及以上的，得</w:t>
            </w:r>
            <w:r>
              <w:rPr>
                <w:rFonts w:ascii="FangSong_GB2312" w:hAnsi="FangSong_GB2312" w:eastAsia="FangSong_GB2312" w:cs="FangSong_GB2312"/>
                <w:spacing w:val="-29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 xml:space="preserve">5 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分；一年内法定代</w:t>
            </w:r>
          </w:p>
          <w:p w14:paraId="5A3FE4A7">
            <w:pPr>
              <w:pStyle w:val="7"/>
              <w:spacing w:line="239" w:lineRule="auto"/>
              <w:ind w:left="123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表人（主要负责人）有变更，或在现地址经营不满一年的，得</w:t>
            </w:r>
            <w:r>
              <w:rPr>
                <w:rFonts w:ascii="FangSong_GB2312" w:hAnsi="FangSong_GB2312" w:eastAsia="FangSong_GB2312" w:cs="FangSong_GB2312"/>
                <w:spacing w:val="-29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 xml:space="preserve">1 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分。</w:t>
            </w:r>
          </w:p>
        </w:tc>
        <w:tc>
          <w:tcPr>
            <w:tcW w:w="1514" w:type="dxa"/>
            <w:vAlign w:val="top"/>
          </w:tcPr>
          <w:p w14:paraId="381336C1">
            <w:pPr>
              <w:rPr>
                <w:rFonts w:ascii="Arial"/>
                <w:sz w:val="21"/>
              </w:rPr>
            </w:pPr>
          </w:p>
        </w:tc>
      </w:tr>
      <w:tr w14:paraId="35ABE6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1513" w:type="dxa"/>
            <w:vMerge w:val="continue"/>
            <w:tcBorders>
              <w:top w:val="nil"/>
              <w:bottom w:val="nil"/>
            </w:tcBorders>
            <w:vAlign w:val="top"/>
          </w:tcPr>
          <w:p w14:paraId="2C220AF7">
            <w:pPr>
              <w:rPr>
                <w:rFonts w:ascii="Arial"/>
                <w:sz w:val="21"/>
              </w:rPr>
            </w:pPr>
          </w:p>
        </w:tc>
        <w:tc>
          <w:tcPr>
            <w:tcW w:w="1811" w:type="dxa"/>
            <w:vAlign w:val="top"/>
          </w:tcPr>
          <w:p w14:paraId="3F8F8854">
            <w:pPr>
              <w:spacing w:line="261" w:lineRule="auto"/>
              <w:rPr>
                <w:rFonts w:ascii="Arial"/>
                <w:sz w:val="21"/>
              </w:rPr>
            </w:pPr>
          </w:p>
          <w:p w14:paraId="01155A0D">
            <w:pPr>
              <w:spacing w:before="71" w:line="217" w:lineRule="auto"/>
              <w:ind w:left="248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场所设立情况</w:t>
            </w:r>
          </w:p>
          <w:p w14:paraId="7E964AC7">
            <w:pPr>
              <w:pStyle w:val="7"/>
              <w:spacing w:before="20" w:line="218" w:lineRule="auto"/>
              <w:ind w:left="488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14"/>
                <w:sz w:val="22"/>
                <w:szCs w:val="22"/>
              </w:rPr>
              <w:t>（</w:t>
            </w:r>
            <w:r>
              <w:rPr>
                <w:spacing w:val="14"/>
                <w:sz w:val="22"/>
                <w:szCs w:val="22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4"/>
                <w:sz w:val="22"/>
                <w:szCs w:val="22"/>
              </w:rPr>
              <w:t>分）</w:t>
            </w:r>
          </w:p>
        </w:tc>
        <w:tc>
          <w:tcPr>
            <w:tcW w:w="9056" w:type="dxa"/>
            <w:vAlign w:val="top"/>
          </w:tcPr>
          <w:p w14:paraId="14BDA996">
            <w:pPr>
              <w:pStyle w:val="7"/>
              <w:spacing w:before="192" w:line="239" w:lineRule="auto"/>
              <w:ind w:left="126" w:right="56" w:firstLine="11"/>
              <w:jc w:val="both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药店独立设置，主体经营场所连续、便民，得</w:t>
            </w:r>
            <w:r>
              <w:rPr>
                <w:rFonts w:ascii="FangSong_GB2312" w:hAnsi="FangSong_GB2312" w:eastAsia="FangSong_GB2312" w:cs="FangSong_GB2312"/>
                <w:spacing w:val="-47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 xml:space="preserve">5 </w:t>
            </w: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分。有下列情形之一的：药店未独</w:t>
            </w:r>
            <w:r>
              <w:rPr>
                <w:rFonts w:ascii="FangSong_GB2312" w:hAnsi="FangSong_GB2312" w:eastAsia="FangSong_GB2312" w:cs="FangSong_GB2312"/>
                <w:spacing w:val="-5"/>
                <w:sz w:val="22"/>
                <w:szCs w:val="22"/>
              </w:rPr>
              <w:t>立设置的，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主体经营场所平面隔断或楼层不连续的，经营场所起始楼层位于二层及二层以上的，经营场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所无独立进出通道的，得</w:t>
            </w:r>
            <w:r>
              <w:rPr>
                <w:rFonts w:ascii="FangSong_GB2312" w:hAnsi="FangSong_GB2312" w:eastAsia="FangSong_GB2312" w:cs="FangSong_GB2312"/>
                <w:spacing w:val="-50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 xml:space="preserve">0 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分。</w:t>
            </w:r>
          </w:p>
        </w:tc>
        <w:tc>
          <w:tcPr>
            <w:tcW w:w="1514" w:type="dxa"/>
            <w:vAlign w:val="top"/>
          </w:tcPr>
          <w:p w14:paraId="518C37F9">
            <w:pPr>
              <w:rPr>
                <w:rFonts w:ascii="Arial"/>
                <w:sz w:val="21"/>
              </w:rPr>
            </w:pPr>
          </w:p>
        </w:tc>
      </w:tr>
      <w:tr w14:paraId="07F934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4" w:hRule="atLeast"/>
        </w:trPr>
        <w:tc>
          <w:tcPr>
            <w:tcW w:w="1513" w:type="dxa"/>
            <w:vMerge w:val="continue"/>
            <w:tcBorders>
              <w:top w:val="nil"/>
              <w:bottom w:val="nil"/>
            </w:tcBorders>
            <w:vAlign w:val="top"/>
          </w:tcPr>
          <w:p w14:paraId="4BB2D16A">
            <w:pPr>
              <w:rPr>
                <w:rFonts w:ascii="Arial"/>
                <w:sz w:val="21"/>
              </w:rPr>
            </w:pPr>
          </w:p>
        </w:tc>
        <w:tc>
          <w:tcPr>
            <w:tcW w:w="1811" w:type="dxa"/>
            <w:vAlign w:val="top"/>
          </w:tcPr>
          <w:p w14:paraId="0B5AAEB2">
            <w:pPr>
              <w:spacing w:before="55" w:line="216" w:lineRule="auto"/>
              <w:ind w:left="146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经营场所使用权</w:t>
            </w:r>
          </w:p>
          <w:p w14:paraId="3D7E1B5F">
            <w:pPr>
              <w:spacing w:before="21" w:line="214" w:lineRule="auto"/>
              <w:ind w:left="141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或租赁合同剩余</w:t>
            </w:r>
          </w:p>
          <w:p w14:paraId="056911A0">
            <w:pPr>
              <w:spacing w:before="25" w:line="216" w:lineRule="auto"/>
              <w:ind w:left="475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有效期限</w:t>
            </w:r>
          </w:p>
          <w:p w14:paraId="3FC6037C">
            <w:pPr>
              <w:pStyle w:val="7"/>
              <w:spacing w:before="23" w:line="208" w:lineRule="auto"/>
              <w:ind w:left="488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14"/>
                <w:sz w:val="22"/>
                <w:szCs w:val="22"/>
              </w:rPr>
              <w:t>（</w:t>
            </w:r>
            <w:r>
              <w:rPr>
                <w:spacing w:val="14"/>
                <w:sz w:val="22"/>
                <w:szCs w:val="22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4"/>
                <w:sz w:val="22"/>
                <w:szCs w:val="22"/>
              </w:rPr>
              <w:t>分）</w:t>
            </w:r>
          </w:p>
        </w:tc>
        <w:tc>
          <w:tcPr>
            <w:tcW w:w="9056" w:type="dxa"/>
            <w:vAlign w:val="top"/>
          </w:tcPr>
          <w:p w14:paraId="242FD6AB">
            <w:pPr>
              <w:pStyle w:val="7"/>
              <w:spacing w:before="301" w:line="255" w:lineRule="auto"/>
              <w:ind w:left="128" w:right="116" w:firstLine="37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自提交申请之日起算，剩余有效期限满</w:t>
            </w:r>
            <w:r>
              <w:rPr>
                <w:rFonts w:ascii="FangSong_GB2312" w:hAnsi="FangSong_GB2312" w:eastAsia="FangSong_GB2312" w:cs="FangSong_GB2312"/>
                <w:spacing w:val="-31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 xml:space="preserve">1 </w:t>
            </w: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年不足</w:t>
            </w:r>
            <w:r>
              <w:rPr>
                <w:spacing w:val="-4"/>
                <w:sz w:val="22"/>
                <w:szCs w:val="22"/>
              </w:rPr>
              <w:t xml:space="preserve">3 </w:t>
            </w: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年，得</w:t>
            </w:r>
            <w:r>
              <w:rPr>
                <w:rFonts w:ascii="FangSong_GB2312" w:hAnsi="FangSong_GB2312" w:eastAsia="FangSong_GB2312" w:cs="FangSong_GB2312"/>
                <w:spacing w:val="-29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 xml:space="preserve">1 </w:t>
            </w: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分；满</w:t>
            </w:r>
            <w:r>
              <w:rPr>
                <w:rFonts w:ascii="FangSong_GB2312" w:hAnsi="FangSong_GB2312" w:eastAsia="FangSong_GB2312" w:cs="FangSong_GB2312"/>
                <w:spacing w:val="-49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 xml:space="preserve">3 </w:t>
            </w: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年不足</w:t>
            </w:r>
            <w:r>
              <w:rPr>
                <w:rFonts w:ascii="FangSong_GB2312" w:hAnsi="FangSong_GB2312" w:eastAsia="FangSong_GB2312" w:cs="FangSong_GB2312"/>
                <w:spacing w:val="-44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5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年，</w:t>
            </w:r>
            <w:r>
              <w:rPr>
                <w:rFonts w:ascii="FangSong_GB2312" w:hAnsi="FangSong_GB2312" w:eastAsia="FangSong_GB2312" w:cs="FangSong_GB2312"/>
                <w:spacing w:val="-5"/>
                <w:sz w:val="22"/>
                <w:szCs w:val="22"/>
              </w:rPr>
              <w:t>得</w:t>
            </w:r>
            <w:r>
              <w:rPr>
                <w:rFonts w:ascii="FangSong_GB2312" w:hAnsi="FangSong_GB2312" w:eastAsia="FangSong_GB2312" w:cs="FangSong_GB2312"/>
                <w:spacing w:val="-46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3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22"/>
                <w:szCs w:val="22"/>
              </w:rPr>
              <w:t>分；</w:t>
            </w:r>
            <w:r>
              <w:rPr>
                <w:spacing w:val="-5"/>
                <w:sz w:val="22"/>
                <w:szCs w:val="22"/>
              </w:rPr>
              <w:t>5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年及以上或产权所有，得</w:t>
            </w:r>
            <w:r>
              <w:rPr>
                <w:rFonts w:ascii="FangSong_GB2312" w:hAnsi="FangSong_GB2312" w:eastAsia="FangSong_GB2312" w:cs="FangSong_GB2312"/>
                <w:spacing w:val="-4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 xml:space="preserve">5 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分，不满</w:t>
            </w:r>
            <w:r>
              <w:rPr>
                <w:rFonts w:ascii="FangSong_GB2312" w:hAnsi="FangSong_GB2312" w:eastAsia="FangSong_GB2312" w:cs="FangSong_GB2312"/>
                <w:spacing w:val="-3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 xml:space="preserve">1 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年的不得分。</w:t>
            </w:r>
          </w:p>
        </w:tc>
        <w:tc>
          <w:tcPr>
            <w:tcW w:w="1514" w:type="dxa"/>
            <w:vAlign w:val="top"/>
          </w:tcPr>
          <w:p w14:paraId="252B56BC">
            <w:pPr>
              <w:rPr>
                <w:rFonts w:ascii="Arial"/>
                <w:sz w:val="21"/>
              </w:rPr>
            </w:pPr>
          </w:p>
        </w:tc>
      </w:tr>
      <w:tr w14:paraId="38B3E5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8" w:hRule="atLeast"/>
        </w:trPr>
        <w:tc>
          <w:tcPr>
            <w:tcW w:w="1513" w:type="dxa"/>
            <w:vMerge w:val="continue"/>
            <w:tcBorders>
              <w:top w:val="nil"/>
            </w:tcBorders>
            <w:vAlign w:val="top"/>
          </w:tcPr>
          <w:p w14:paraId="3967FEEB">
            <w:pPr>
              <w:rPr>
                <w:rFonts w:ascii="Arial"/>
                <w:sz w:val="21"/>
              </w:rPr>
            </w:pPr>
          </w:p>
        </w:tc>
        <w:tc>
          <w:tcPr>
            <w:tcW w:w="1811" w:type="dxa"/>
            <w:vAlign w:val="top"/>
          </w:tcPr>
          <w:p w14:paraId="047C7B7D">
            <w:pPr>
              <w:spacing w:before="276" w:line="206" w:lineRule="auto"/>
              <w:ind w:left="146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经营环境及内容</w:t>
            </w:r>
          </w:p>
          <w:p w14:paraId="7AC29B0B">
            <w:pPr>
              <w:pStyle w:val="7"/>
              <w:spacing w:line="289" w:lineRule="exact"/>
              <w:ind w:left="433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2"/>
                <w:position w:val="1"/>
                <w:sz w:val="22"/>
                <w:szCs w:val="22"/>
              </w:rPr>
              <w:t>（</w:t>
            </w:r>
            <w:r>
              <w:rPr>
                <w:spacing w:val="-2"/>
                <w:position w:val="1"/>
                <w:sz w:val="22"/>
                <w:szCs w:val="22"/>
              </w:rPr>
              <w:t>10</w:t>
            </w:r>
            <w:r>
              <w:rPr>
                <w:spacing w:val="1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position w:val="1"/>
                <w:sz w:val="22"/>
                <w:szCs w:val="22"/>
              </w:rPr>
              <w:t>分）</w:t>
            </w:r>
          </w:p>
        </w:tc>
        <w:tc>
          <w:tcPr>
            <w:tcW w:w="9056" w:type="dxa"/>
            <w:vAlign w:val="top"/>
          </w:tcPr>
          <w:p w14:paraId="3A692A0C">
            <w:pPr>
              <w:pStyle w:val="7"/>
              <w:spacing w:before="102" w:line="243" w:lineRule="auto"/>
              <w:ind w:left="127" w:right="155" w:firstLine="12"/>
              <w:jc w:val="both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1"/>
                <w:sz w:val="22"/>
                <w:szCs w:val="22"/>
              </w:rPr>
              <w:t>营业面积在</w:t>
            </w:r>
            <w:r>
              <w:rPr>
                <w:spacing w:val="1"/>
                <w:sz w:val="22"/>
                <w:szCs w:val="22"/>
              </w:rPr>
              <w:t>60m</w:t>
            </w:r>
            <w:r>
              <w:rPr>
                <w:spacing w:val="1"/>
                <w:position w:val="7"/>
                <w:sz w:val="14"/>
                <w:szCs w:val="14"/>
              </w:rPr>
              <w:t xml:space="preserve">2   </w:t>
            </w:r>
            <w:r>
              <w:rPr>
                <w:rFonts w:ascii="FangSong_GB2312" w:hAnsi="FangSong_GB2312" w:eastAsia="FangSong_GB2312" w:cs="FangSong_GB2312"/>
                <w:spacing w:val="1"/>
                <w:sz w:val="22"/>
                <w:szCs w:val="22"/>
              </w:rPr>
              <w:t>以上的，得</w:t>
            </w:r>
            <w:r>
              <w:rPr>
                <w:rFonts w:ascii="FangSong_GB2312" w:hAnsi="FangSong_GB2312" w:eastAsia="FangSong_GB2312" w:cs="FangSong_GB2312"/>
                <w:spacing w:val="-48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 xml:space="preserve">2 </w:t>
            </w:r>
            <w:r>
              <w:rPr>
                <w:rFonts w:ascii="FangSong_GB2312" w:hAnsi="FangSong_GB2312" w:eastAsia="FangSong_GB2312" w:cs="FangSong_GB2312"/>
                <w:spacing w:val="1"/>
                <w:sz w:val="22"/>
                <w:szCs w:val="22"/>
              </w:rPr>
              <w:t>分；营业、办公和仓储实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行区域划分或实现隔离，得</w:t>
            </w:r>
            <w:r>
              <w:rPr>
                <w:rFonts w:ascii="FangSong_GB2312" w:hAnsi="FangSong_GB2312" w:eastAsia="FangSong_GB2312" w:cs="FangSong_GB2312"/>
                <w:spacing w:val="-4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 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分，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药店经营范围符合证照许可范围，对个人账户金支付范围内的商品和范围外的商品分区域、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分货架摆放，并设置明显标识和服务提示，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符合的，得</w:t>
            </w:r>
            <w:r>
              <w:rPr>
                <w:rFonts w:ascii="FangSong_GB2312" w:hAnsi="FangSong_GB2312" w:eastAsia="FangSong_GB2312" w:cs="FangSong_GB2312"/>
                <w:spacing w:val="-47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 xml:space="preserve">5 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分。不符合的，不得分。</w:t>
            </w:r>
          </w:p>
        </w:tc>
        <w:tc>
          <w:tcPr>
            <w:tcW w:w="1514" w:type="dxa"/>
            <w:vAlign w:val="top"/>
          </w:tcPr>
          <w:p w14:paraId="3AF4D01C">
            <w:pPr>
              <w:rPr>
                <w:rFonts w:ascii="Arial"/>
                <w:sz w:val="21"/>
              </w:rPr>
            </w:pPr>
          </w:p>
        </w:tc>
      </w:tr>
    </w:tbl>
    <w:p w14:paraId="66DE5F41">
      <w:pPr>
        <w:rPr>
          <w:rFonts w:ascii="Arial"/>
          <w:sz w:val="21"/>
        </w:rPr>
      </w:pPr>
    </w:p>
    <w:p w14:paraId="2AD1638B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6839" w:h="11906"/>
          <w:pgMar w:top="1012" w:right="1469" w:bottom="1318" w:left="1469" w:header="0" w:footer="1006" w:gutter="0"/>
          <w:cols w:space="720" w:num="1"/>
        </w:sectPr>
      </w:pPr>
    </w:p>
    <w:tbl>
      <w:tblPr>
        <w:tblStyle w:val="6"/>
        <w:tblW w:w="138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3"/>
        <w:gridCol w:w="1811"/>
        <w:gridCol w:w="9056"/>
        <w:gridCol w:w="1514"/>
      </w:tblGrid>
      <w:tr w14:paraId="620AA8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513" w:type="dxa"/>
            <w:vAlign w:val="top"/>
          </w:tcPr>
          <w:p w14:paraId="65EB28C9">
            <w:pPr>
              <w:spacing w:before="232" w:line="222" w:lineRule="auto"/>
              <w:ind w:left="20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指标类别</w:t>
            </w:r>
          </w:p>
        </w:tc>
        <w:tc>
          <w:tcPr>
            <w:tcW w:w="1811" w:type="dxa"/>
            <w:vAlign w:val="top"/>
          </w:tcPr>
          <w:p w14:paraId="7F4AE568">
            <w:pPr>
              <w:spacing w:before="233" w:line="222" w:lineRule="auto"/>
              <w:ind w:left="35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评估项目</w:t>
            </w:r>
          </w:p>
        </w:tc>
        <w:tc>
          <w:tcPr>
            <w:tcW w:w="9056" w:type="dxa"/>
            <w:vAlign w:val="top"/>
          </w:tcPr>
          <w:p w14:paraId="387E8A75">
            <w:pPr>
              <w:spacing w:before="233" w:line="222" w:lineRule="auto"/>
              <w:ind w:left="3976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评估标准</w:t>
            </w:r>
          </w:p>
        </w:tc>
        <w:tc>
          <w:tcPr>
            <w:tcW w:w="1514" w:type="dxa"/>
            <w:vAlign w:val="top"/>
          </w:tcPr>
          <w:p w14:paraId="1B78E876">
            <w:pPr>
              <w:spacing w:before="233" w:line="222" w:lineRule="auto"/>
              <w:ind w:left="205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评估情况</w:t>
            </w:r>
          </w:p>
        </w:tc>
      </w:tr>
      <w:tr w14:paraId="64B5BE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</w:trPr>
        <w:tc>
          <w:tcPr>
            <w:tcW w:w="1513" w:type="dxa"/>
            <w:vAlign w:val="top"/>
          </w:tcPr>
          <w:p w14:paraId="01D7744D">
            <w:pPr>
              <w:rPr>
                <w:rFonts w:ascii="Arial"/>
                <w:sz w:val="21"/>
              </w:rPr>
            </w:pPr>
          </w:p>
        </w:tc>
        <w:tc>
          <w:tcPr>
            <w:tcW w:w="1811" w:type="dxa"/>
            <w:vAlign w:val="top"/>
          </w:tcPr>
          <w:p w14:paraId="3128A3B3">
            <w:pPr>
              <w:spacing w:before="60" w:line="214" w:lineRule="auto"/>
              <w:ind w:left="43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22"/>
                <w:szCs w:val="22"/>
              </w:rPr>
              <w:t>与</w:t>
            </w:r>
            <w:r>
              <w:rPr>
                <w:rFonts w:ascii="FangSong_GB2312" w:hAnsi="FangSong_GB2312" w:eastAsia="FangSong_GB2312" w:cs="FangSong_GB2312"/>
                <w:spacing w:val="-59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22"/>
                <w:szCs w:val="22"/>
              </w:rPr>
              <w:t>已有定点零售药</w:t>
            </w:r>
          </w:p>
          <w:p w14:paraId="4C4D7DA6">
            <w:pPr>
              <w:spacing w:before="25" w:line="216" w:lineRule="auto"/>
              <w:ind w:left="362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店间距情况</w:t>
            </w:r>
          </w:p>
          <w:p w14:paraId="37E146E6">
            <w:pPr>
              <w:pStyle w:val="7"/>
              <w:spacing w:before="21" w:line="218" w:lineRule="auto"/>
              <w:ind w:left="488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14"/>
                <w:sz w:val="22"/>
                <w:szCs w:val="22"/>
              </w:rPr>
              <w:t>（</w:t>
            </w:r>
            <w:r>
              <w:rPr>
                <w:spacing w:val="14"/>
                <w:sz w:val="22"/>
                <w:szCs w:val="22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4"/>
                <w:sz w:val="22"/>
                <w:szCs w:val="22"/>
              </w:rPr>
              <w:t>分）</w:t>
            </w:r>
          </w:p>
        </w:tc>
        <w:tc>
          <w:tcPr>
            <w:tcW w:w="9056" w:type="dxa"/>
            <w:vAlign w:val="top"/>
          </w:tcPr>
          <w:p w14:paraId="2CCD69F4">
            <w:pPr>
              <w:pStyle w:val="7"/>
              <w:spacing w:before="166" w:line="241" w:lineRule="auto"/>
              <w:ind w:left="143" w:right="113" w:hanging="13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距最近定点零售药店步行距离</w:t>
            </w:r>
            <w:r>
              <w:rPr>
                <w:rFonts w:ascii="FangSong_GB2312" w:hAnsi="FangSong_GB2312" w:eastAsia="FangSong_GB2312" w:cs="FangSong_GB2312"/>
                <w:spacing w:val="-2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 xml:space="preserve">15 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分钟以上不足</w:t>
            </w:r>
            <w:r>
              <w:rPr>
                <w:rFonts w:ascii="FangSong_GB2312" w:hAnsi="FangSong_GB2312" w:eastAsia="FangSong_GB2312" w:cs="FangSong_GB2312"/>
                <w:spacing w:val="-5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 xml:space="preserve">20 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分钟的，得</w:t>
            </w:r>
            <w:r>
              <w:rPr>
                <w:rFonts w:ascii="FangSong_GB2312" w:hAnsi="FangSong_GB2312" w:eastAsia="FangSong_GB2312" w:cs="FangSong_GB2312"/>
                <w:spacing w:val="-4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 xml:space="preserve">3 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分；步行距离</w:t>
            </w:r>
            <w:r>
              <w:rPr>
                <w:spacing w:val="-2"/>
                <w:sz w:val="22"/>
                <w:szCs w:val="22"/>
              </w:rPr>
              <w:t xml:space="preserve">20 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分钟及以上</w:t>
            </w:r>
            <w:r>
              <w:rPr>
                <w:rFonts w:ascii="FangSong_GB2312" w:hAnsi="FangSong_GB2312" w:eastAsia="FangSong_GB2312" w:cs="FangSong_GB2312"/>
                <w:spacing w:val="-13"/>
                <w:sz w:val="22"/>
                <w:szCs w:val="22"/>
              </w:rPr>
              <w:t>的</w:t>
            </w:r>
            <w:r>
              <w:rPr>
                <w:rFonts w:ascii="FangSong_GB2312" w:hAnsi="FangSong_GB2312" w:eastAsia="FangSong_GB2312" w:cs="FangSong_GB2312"/>
                <w:spacing w:val="-80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3"/>
                <w:sz w:val="22"/>
                <w:szCs w:val="22"/>
              </w:rPr>
              <w:t>，得</w:t>
            </w:r>
            <w:r>
              <w:rPr>
                <w:rFonts w:ascii="FangSong_GB2312" w:hAnsi="FangSong_GB2312" w:eastAsia="FangSong_GB2312" w:cs="FangSong_GB2312"/>
                <w:spacing w:val="-45"/>
                <w:sz w:val="22"/>
                <w:szCs w:val="22"/>
              </w:rPr>
              <w:t xml:space="preserve"> </w:t>
            </w:r>
            <w:r>
              <w:rPr>
                <w:spacing w:val="-13"/>
                <w:sz w:val="22"/>
                <w:szCs w:val="22"/>
              </w:rPr>
              <w:t>5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3"/>
                <w:sz w:val="22"/>
                <w:szCs w:val="22"/>
              </w:rPr>
              <w:t>分。</w:t>
            </w:r>
          </w:p>
        </w:tc>
        <w:tc>
          <w:tcPr>
            <w:tcW w:w="1514" w:type="dxa"/>
            <w:vAlign w:val="top"/>
          </w:tcPr>
          <w:p w14:paraId="1F5D296E">
            <w:pPr>
              <w:rPr>
                <w:rFonts w:ascii="Arial"/>
                <w:sz w:val="21"/>
              </w:rPr>
            </w:pPr>
          </w:p>
        </w:tc>
      </w:tr>
      <w:tr w14:paraId="7E380B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2" w:hRule="atLeast"/>
        </w:trPr>
        <w:tc>
          <w:tcPr>
            <w:tcW w:w="1513" w:type="dxa"/>
            <w:vMerge w:val="restart"/>
            <w:tcBorders>
              <w:bottom w:val="nil"/>
            </w:tcBorders>
            <w:vAlign w:val="top"/>
          </w:tcPr>
          <w:p w14:paraId="64500D60">
            <w:pPr>
              <w:spacing w:line="256" w:lineRule="auto"/>
              <w:rPr>
                <w:rFonts w:ascii="Arial"/>
                <w:sz w:val="21"/>
              </w:rPr>
            </w:pPr>
          </w:p>
          <w:p w14:paraId="293E44A9">
            <w:pPr>
              <w:spacing w:line="256" w:lineRule="auto"/>
              <w:rPr>
                <w:rFonts w:ascii="Arial"/>
                <w:sz w:val="21"/>
              </w:rPr>
            </w:pPr>
          </w:p>
          <w:p w14:paraId="5165B33B">
            <w:pPr>
              <w:spacing w:line="256" w:lineRule="auto"/>
              <w:rPr>
                <w:rFonts w:ascii="Arial"/>
                <w:sz w:val="21"/>
              </w:rPr>
            </w:pPr>
          </w:p>
          <w:p w14:paraId="6112FCEA">
            <w:pPr>
              <w:spacing w:line="256" w:lineRule="auto"/>
              <w:rPr>
                <w:rFonts w:ascii="Arial"/>
                <w:sz w:val="21"/>
              </w:rPr>
            </w:pPr>
          </w:p>
          <w:p w14:paraId="5918BC38">
            <w:pPr>
              <w:spacing w:line="256" w:lineRule="auto"/>
              <w:rPr>
                <w:rFonts w:ascii="Arial"/>
                <w:sz w:val="21"/>
              </w:rPr>
            </w:pPr>
          </w:p>
          <w:p w14:paraId="59C30437">
            <w:pPr>
              <w:spacing w:line="257" w:lineRule="auto"/>
              <w:rPr>
                <w:rFonts w:ascii="Arial"/>
                <w:sz w:val="21"/>
              </w:rPr>
            </w:pPr>
          </w:p>
          <w:p w14:paraId="48C7E652">
            <w:pPr>
              <w:spacing w:line="257" w:lineRule="auto"/>
              <w:rPr>
                <w:rFonts w:ascii="Arial"/>
                <w:sz w:val="21"/>
              </w:rPr>
            </w:pPr>
          </w:p>
          <w:p w14:paraId="58B8A407">
            <w:pPr>
              <w:spacing w:before="72" w:line="214" w:lineRule="auto"/>
              <w:ind w:left="332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22"/>
                <w:szCs w:val="22"/>
              </w:rPr>
              <w:t>系统条件</w:t>
            </w:r>
          </w:p>
        </w:tc>
        <w:tc>
          <w:tcPr>
            <w:tcW w:w="1811" w:type="dxa"/>
            <w:vAlign w:val="top"/>
          </w:tcPr>
          <w:p w14:paraId="1096C246">
            <w:pPr>
              <w:spacing w:line="350" w:lineRule="auto"/>
              <w:rPr>
                <w:rFonts w:ascii="Arial"/>
                <w:sz w:val="21"/>
              </w:rPr>
            </w:pPr>
          </w:p>
          <w:p w14:paraId="21559A1C">
            <w:pPr>
              <w:spacing w:line="351" w:lineRule="auto"/>
              <w:rPr>
                <w:rFonts w:ascii="Arial"/>
                <w:sz w:val="21"/>
              </w:rPr>
            </w:pPr>
          </w:p>
          <w:p w14:paraId="027C5AF0">
            <w:pPr>
              <w:spacing w:before="72" w:line="206" w:lineRule="auto"/>
              <w:ind w:left="24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信息系统建设情况</w:t>
            </w:r>
          </w:p>
          <w:p w14:paraId="5181A066">
            <w:pPr>
              <w:pStyle w:val="7"/>
              <w:spacing w:line="289" w:lineRule="exact"/>
              <w:ind w:left="433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2"/>
                <w:position w:val="1"/>
                <w:sz w:val="22"/>
                <w:szCs w:val="22"/>
              </w:rPr>
              <w:t>（</w:t>
            </w:r>
            <w:r>
              <w:rPr>
                <w:spacing w:val="-2"/>
                <w:position w:val="1"/>
                <w:sz w:val="22"/>
                <w:szCs w:val="22"/>
              </w:rPr>
              <w:t>10</w:t>
            </w:r>
            <w:r>
              <w:rPr>
                <w:spacing w:val="1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position w:val="1"/>
                <w:sz w:val="22"/>
                <w:szCs w:val="22"/>
              </w:rPr>
              <w:t>分）</w:t>
            </w:r>
          </w:p>
        </w:tc>
        <w:tc>
          <w:tcPr>
            <w:tcW w:w="9056" w:type="dxa"/>
            <w:vAlign w:val="top"/>
          </w:tcPr>
          <w:p w14:paraId="2E41F256">
            <w:pPr>
              <w:pStyle w:val="7"/>
              <w:spacing w:before="213" w:line="237" w:lineRule="auto"/>
              <w:ind w:left="129" w:right="65" w:firstLine="3"/>
              <w:jc w:val="both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具备符合医保协议管理要求的医院信息系统技术和接口标准，进销存、智能监控等系统具备与医保系统对接条件，得</w:t>
            </w:r>
            <w:r>
              <w:rPr>
                <w:rFonts w:ascii="FangSong_GB2312" w:hAnsi="FangSong_GB2312" w:eastAsia="FangSong_GB2312" w:cs="FangSong_GB2312"/>
                <w:spacing w:val="-4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 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分；是否具备设立医保药品、医用耗材等基础数据库的条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件，按</w:t>
            </w: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规定使用国家统一医保编码，已进行医保编码贯标的，得</w:t>
            </w:r>
            <w:r>
              <w:rPr>
                <w:rFonts w:ascii="FangSong_GB2312" w:hAnsi="FangSong_GB2312" w:eastAsia="FangSong_GB2312" w:cs="FangSong_GB2312"/>
                <w:spacing w:val="-49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 xml:space="preserve">2 </w:t>
            </w: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分。具备推进医保</w:t>
            </w:r>
            <w:r>
              <w:rPr>
                <w:spacing w:val="-4"/>
                <w:sz w:val="22"/>
                <w:szCs w:val="22"/>
              </w:rPr>
              <w:t>“</w:t>
            </w:r>
            <w:r>
              <w:rPr>
                <w:spacing w:val="-30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三电子两支付</w:t>
            </w:r>
            <w:r>
              <w:rPr>
                <w:spacing w:val="-4"/>
                <w:sz w:val="22"/>
                <w:szCs w:val="22"/>
              </w:rPr>
              <w:t>”</w:t>
            </w:r>
            <w:r>
              <w:rPr>
                <w:rFonts w:ascii="FangSong_GB2312" w:hAnsi="FangSong_GB2312" w:eastAsia="FangSong_GB2312" w:cs="FangSong_GB2312"/>
                <w:spacing w:val="3"/>
                <w:sz w:val="22"/>
                <w:szCs w:val="22"/>
              </w:rPr>
              <w:t>医保数字化等有关应用以及开通本地、异地医保个人账户</w:t>
            </w:r>
            <w:r>
              <w:rPr>
                <w:spacing w:val="3"/>
                <w:sz w:val="22"/>
                <w:szCs w:val="22"/>
              </w:rPr>
              <w:t>“</w:t>
            </w:r>
            <w:r>
              <w:rPr>
                <w:spacing w:val="-41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3"/>
                <w:sz w:val="22"/>
                <w:szCs w:val="22"/>
              </w:rPr>
              <w:t>持医保电子凭</w:t>
            </w:r>
            <w:r>
              <w:rPr>
                <w:rFonts w:ascii="FangSong_GB2312" w:hAnsi="FangSong_GB2312" w:eastAsia="FangSong_GB2312" w:cs="FangSong_GB2312"/>
                <w:spacing w:val="2"/>
                <w:sz w:val="22"/>
                <w:szCs w:val="22"/>
              </w:rPr>
              <w:t>证和实体社保卡支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付</w:t>
            </w:r>
            <w:r>
              <w:rPr>
                <w:spacing w:val="-1"/>
                <w:sz w:val="22"/>
                <w:szCs w:val="22"/>
              </w:rPr>
              <w:t>”</w:t>
            </w:r>
            <w:r>
              <w:rPr>
                <w:spacing w:val="-36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两种消费模式等条件，按要求向医保信息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系统传送相关信息，具备直接联网结算条件的，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得</w:t>
            </w:r>
            <w:r>
              <w:rPr>
                <w:rFonts w:ascii="FangSong_GB2312" w:hAnsi="FangSong_GB2312" w:eastAsia="FangSong_GB2312" w:cs="FangSong_GB2312"/>
                <w:spacing w:val="-3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 xml:space="preserve">3 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分。是否具备应用药品耗材追溯码的条件，能够及时准确采集追溯码的，得</w:t>
            </w:r>
            <w:r>
              <w:rPr>
                <w:rFonts w:ascii="FangSong_GB2312" w:hAnsi="FangSong_GB2312" w:eastAsia="FangSong_GB2312" w:cs="FangSong_GB2312"/>
                <w:spacing w:val="-5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 xml:space="preserve">2 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分。</w:t>
            </w:r>
          </w:p>
        </w:tc>
        <w:tc>
          <w:tcPr>
            <w:tcW w:w="1514" w:type="dxa"/>
            <w:vAlign w:val="top"/>
          </w:tcPr>
          <w:p w14:paraId="01E5772B">
            <w:pPr>
              <w:rPr>
                <w:rFonts w:ascii="Arial"/>
                <w:sz w:val="21"/>
              </w:rPr>
            </w:pPr>
          </w:p>
        </w:tc>
      </w:tr>
      <w:tr w14:paraId="2D653E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5" w:hRule="atLeast"/>
        </w:trPr>
        <w:tc>
          <w:tcPr>
            <w:tcW w:w="1513" w:type="dxa"/>
            <w:vMerge w:val="continue"/>
            <w:tcBorders>
              <w:top w:val="nil"/>
              <w:bottom w:val="nil"/>
            </w:tcBorders>
            <w:vAlign w:val="top"/>
          </w:tcPr>
          <w:p w14:paraId="02BE65AA">
            <w:pPr>
              <w:rPr>
                <w:rFonts w:ascii="Arial"/>
                <w:sz w:val="21"/>
              </w:rPr>
            </w:pPr>
          </w:p>
        </w:tc>
        <w:tc>
          <w:tcPr>
            <w:tcW w:w="1811" w:type="dxa"/>
            <w:vAlign w:val="top"/>
          </w:tcPr>
          <w:p w14:paraId="697448B3">
            <w:pPr>
              <w:spacing w:line="255" w:lineRule="auto"/>
              <w:rPr>
                <w:rFonts w:ascii="Arial"/>
                <w:sz w:val="21"/>
              </w:rPr>
            </w:pPr>
          </w:p>
          <w:p w14:paraId="01E5AAFC">
            <w:pPr>
              <w:spacing w:before="72" w:line="217" w:lineRule="auto"/>
              <w:ind w:left="256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2"/>
                <w:szCs w:val="22"/>
              </w:rPr>
              <w:t>监控设备情况</w:t>
            </w:r>
          </w:p>
          <w:p w14:paraId="644805A9">
            <w:pPr>
              <w:pStyle w:val="7"/>
              <w:spacing w:before="22" w:line="218" w:lineRule="auto"/>
              <w:ind w:left="488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14"/>
                <w:sz w:val="22"/>
                <w:szCs w:val="22"/>
              </w:rPr>
              <w:t>（</w:t>
            </w:r>
            <w:r>
              <w:rPr>
                <w:spacing w:val="14"/>
                <w:sz w:val="22"/>
                <w:szCs w:val="22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4"/>
                <w:sz w:val="22"/>
                <w:szCs w:val="22"/>
              </w:rPr>
              <w:t>分）</w:t>
            </w:r>
          </w:p>
        </w:tc>
        <w:tc>
          <w:tcPr>
            <w:tcW w:w="9056" w:type="dxa"/>
            <w:vAlign w:val="top"/>
          </w:tcPr>
          <w:p w14:paraId="72DE06DC">
            <w:pPr>
              <w:pStyle w:val="7"/>
              <w:spacing w:before="191" w:line="237" w:lineRule="auto"/>
              <w:ind w:left="120" w:right="48" w:firstLine="7"/>
              <w:jc w:val="both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在收费结算处等公共场所安装监控设备，确保正常使用，角度正确，能清晰地辨认出参保人员面部特征。并能提供营业期间不少于</w:t>
            </w:r>
            <w:r>
              <w:rPr>
                <w:rFonts w:ascii="FangSong_GB2312" w:hAnsi="FangSong_GB2312" w:eastAsia="FangSong_GB2312" w:cs="FangSong_GB2312"/>
                <w:spacing w:val="-4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 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个月不间断的监控影像资料的，得</w:t>
            </w:r>
            <w:r>
              <w:rPr>
                <w:rFonts w:ascii="FangSong_GB2312" w:hAnsi="FangSong_GB2312" w:eastAsia="FangSong_GB2312" w:cs="FangSong_GB2312"/>
                <w:spacing w:val="-4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5 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分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；可提供影</w:t>
            </w: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像资料但不足</w:t>
            </w:r>
            <w:r>
              <w:rPr>
                <w:rFonts w:ascii="FangSong_GB2312" w:hAnsi="FangSong_GB2312" w:eastAsia="FangSong_GB2312" w:cs="FangSong_GB2312"/>
                <w:spacing w:val="-31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 xml:space="preserve">3 </w:t>
            </w: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个月的，得</w:t>
            </w:r>
            <w:r>
              <w:rPr>
                <w:rFonts w:ascii="FangSong_GB2312" w:hAnsi="FangSong_GB2312" w:eastAsia="FangSong_GB2312" w:cs="FangSong_GB2312"/>
                <w:spacing w:val="-48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 xml:space="preserve">3 </w:t>
            </w: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分；不能正常使用、不能提供影像资料以及未安装的，得</w:t>
            </w:r>
            <w:r>
              <w:rPr>
                <w:rFonts w:ascii="FangSong_GB2312" w:hAnsi="FangSong_GB2312" w:eastAsia="FangSong_GB2312" w:cs="FangSong_GB2312"/>
                <w:spacing w:val="-50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 xml:space="preserve">0 </w:t>
            </w: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分。</w:t>
            </w:r>
          </w:p>
        </w:tc>
        <w:tc>
          <w:tcPr>
            <w:tcW w:w="1514" w:type="dxa"/>
            <w:vAlign w:val="top"/>
          </w:tcPr>
          <w:p w14:paraId="64860B07">
            <w:pPr>
              <w:rPr>
                <w:rFonts w:ascii="Arial"/>
                <w:sz w:val="21"/>
              </w:rPr>
            </w:pPr>
          </w:p>
        </w:tc>
      </w:tr>
      <w:tr w14:paraId="6C1793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1513" w:type="dxa"/>
            <w:vMerge w:val="continue"/>
            <w:tcBorders>
              <w:top w:val="nil"/>
            </w:tcBorders>
            <w:vAlign w:val="top"/>
          </w:tcPr>
          <w:p w14:paraId="6461B0F4">
            <w:pPr>
              <w:rPr>
                <w:rFonts w:ascii="Arial"/>
                <w:sz w:val="21"/>
              </w:rPr>
            </w:pPr>
          </w:p>
        </w:tc>
        <w:tc>
          <w:tcPr>
            <w:tcW w:w="1811" w:type="dxa"/>
            <w:vAlign w:val="top"/>
          </w:tcPr>
          <w:p w14:paraId="0CDF3348">
            <w:pPr>
              <w:spacing w:before="138" w:line="208" w:lineRule="auto"/>
              <w:ind w:left="24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信息系统管理人员</w:t>
            </w:r>
          </w:p>
          <w:p w14:paraId="15D171A3">
            <w:pPr>
              <w:pStyle w:val="7"/>
              <w:spacing w:line="289" w:lineRule="exact"/>
              <w:ind w:left="488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14"/>
                <w:position w:val="1"/>
                <w:sz w:val="22"/>
                <w:szCs w:val="22"/>
              </w:rPr>
              <w:t>（</w:t>
            </w:r>
            <w:r>
              <w:rPr>
                <w:spacing w:val="14"/>
                <w:position w:val="1"/>
                <w:sz w:val="22"/>
                <w:szCs w:val="22"/>
              </w:rPr>
              <w:t>2</w:t>
            </w:r>
            <w:r>
              <w:rPr>
                <w:rFonts w:ascii="FangSong_GB2312" w:hAnsi="FangSong_GB2312" w:eastAsia="FangSong_GB2312" w:cs="FangSong_GB2312"/>
                <w:spacing w:val="14"/>
                <w:position w:val="1"/>
                <w:sz w:val="22"/>
                <w:szCs w:val="22"/>
              </w:rPr>
              <w:t>分）</w:t>
            </w:r>
          </w:p>
        </w:tc>
        <w:tc>
          <w:tcPr>
            <w:tcW w:w="9056" w:type="dxa"/>
            <w:vAlign w:val="top"/>
          </w:tcPr>
          <w:p w14:paraId="1F25069C">
            <w:pPr>
              <w:pStyle w:val="7"/>
              <w:spacing w:before="140" w:line="241" w:lineRule="auto"/>
              <w:ind w:left="132" w:right="113" w:hanging="10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是否按照要求配备专（兼）职信息系统管理人员，并签订劳动合同，严格规范落实相关制度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并开展实际工作。符合要求的，得</w:t>
            </w:r>
            <w:r>
              <w:rPr>
                <w:rFonts w:ascii="FangSong_GB2312" w:hAnsi="FangSong_GB2312" w:eastAsia="FangSong_GB2312" w:cs="FangSong_GB2312"/>
                <w:spacing w:val="-44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 xml:space="preserve">2 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分，不符合的不得分。</w:t>
            </w:r>
          </w:p>
        </w:tc>
        <w:tc>
          <w:tcPr>
            <w:tcW w:w="1514" w:type="dxa"/>
            <w:vAlign w:val="top"/>
          </w:tcPr>
          <w:p w14:paraId="6737EA19">
            <w:pPr>
              <w:rPr>
                <w:rFonts w:ascii="Arial"/>
                <w:sz w:val="21"/>
              </w:rPr>
            </w:pPr>
          </w:p>
        </w:tc>
      </w:tr>
      <w:tr w14:paraId="6D5A48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1513" w:type="dxa"/>
            <w:vMerge w:val="restart"/>
            <w:tcBorders>
              <w:bottom w:val="nil"/>
            </w:tcBorders>
            <w:vAlign w:val="top"/>
          </w:tcPr>
          <w:p w14:paraId="13AC3728">
            <w:pPr>
              <w:spacing w:line="297" w:lineRule="auto"/>
              <w:rPr>
                <w:rFonts w:ascii="Arial"/>
                <w:sz w:val="21"/>
              </w:rPr>
            </w:pPr>
          </w:p>
          <w:p w14:paraId="7B9E6A01">
            <w:pPr>
              <w:spacing w:line="298" w:lineRule="auto"/>
              <w:rPr>
                <w:rFonts w:ascii="Arial"/>
                <w:sz w:val="21"/>
              </w:rPr>
            </w:pPr>
          </w:p>
          <w:p w14:paraId="310BE5F8">
            <w:pPr>
              <w:spacing w:line="298" w:lineRule="auto"/>
              <w:rPr>
                <w:rFonts w:ascii="Arial"/>
                <w:sz w:val="21"/>
              </w:rPr>
            </w:pPr>
          </w:p>
          <w:p w14:paraId="65CE617E">
            <w:pPr>
              <w:spacing w:line="298" w:lineRule="auto"/>
              <w:rPr>
                <w:rFonts w:ascii="Arial"/>
                <w:sz w:val="21"/>
              </w:rPr>
            </w:pPr>
          </w:p>
          <w:p w14:paraId="3013D304">
            <w:pPr>
              <w:spacing w:before="72" w:line="214" w:lineRule="auto"/>
              <w:ind w:left="101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2"/>
                <w:szCs w:val="22"/>
              </w:rPr>
              <w:t>服务能力条件</w:t>
            </w:r>
          </w:p>
        </w:tc>
        <w:tc>
          <w:tcPr>
            <w:tcW w:w="1811" w:type="dxa"/>
            <w:vAlign w:val="top"/>
          </w:tcPr>
          <w:p w14:paraId="5C00E7A6">
            <w:pPr>
              <w:spacing w:line="344" w:lineRule="auto"/>
              <w:rPr>
                <w:rFonts w:ascii="Arial"/>
                <w:sz w:val="21"/>
              </w:rPr>
            </w:pPr>
          </w:p>
          <w:p w14:paraId="27F8BA80">
            <w:pPr>
              <w:spacing w:before="72" w:line="214" w:lineRule="auto"/>
              <w:ind w:left="252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财务及进销存</w:t>
            </w:r>
          </w:p>
          <w:p w14:paraId="7CB10ABF">
            <w:pPr>
              <w:spacing w:before="24" w:line="206" w:lineRule="auto"/>
              <w:ind w:left="471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2"/>
                <w:szCs w:val="22"/>
              </w:rPr>
              <w:t>管理情况</w:t>
            </w:r>
          </w:p>
          <w:p w14:paraId="7AE939D2">
            <w:pPr>
              <w:pStyle w:val="7"/>
              <w:spacing w:line="289" w:lineRule="exact"/>
              <w:ind w:left="433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2"/>
                <w:position w:val="1"/>
                <w:sz w:val="22"/>
                <w:szCs w:val="22"/>
              </w:rPr>
              <w:t>（</w:t>
            </w:r>
            <w:r>
              <w:rPr>
                <w:spacing w:val="-2"/>
                <w:position w:val="1"/>
                <w:sz w:val="22"/>
                <w:szCs w:val="22"/>
              </w:rPr>
              <w:t>15</w:t>
            </w:r>
            <w:r>
              <w:rPr>
                <w:spacing w:val="1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position w:val="1"/>
                <w:sz w:val="22"/>
                <w:szCs w:val="22"/>
              </w:rPr>
              <w:t>分）</w:t>
            </w:r>
          </w:p>
        </w:tc>
        <w:tc>
          <w:tcPr>
            <w:tcW w:w="9056" w:type="dxa"/>
            <w:vAlign w:val="top"/>
          </w:tcPr>
          <w:p w14:paraId="41F344DA">
            <w:pPr>
              <w:pStyle w:val="7"/>
              <w:spacing w:before="102" w:line="243" w:lineRule="auto"/>
              <w:ind w:left="131" w:right="113" w:firstLine="11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1.</w:t>
            </w:r>
            <w:r>
              <w:rPr>
                <w:rFonts w:ascii="FangSong_GB2312" w:hAnsi="FangSong_GB2312" w:eastAsia="FangSong_GB2312" w:cs="FangSong_GB2312"/>
                <w:spacing w:val="-3"/>
                <w:sz w:val="22"/>
                <w:szCs w:val="22"/>
              </w:rPr>
              <w:t>设置会计岗位，建立会计核算管理系统，得</w:t>
            </w:r>
            <w:r>
              <w:rPr>
                <w:rFonts w:ascii="FangSong_GB2312" w:hAnsi="FangSong_GB2312" w:eastAsia="FangSong_GB2312" w:cs="FangSong_GB2312"/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 xml:space="preserve">5 </w:t>
            </w:r>
            <w:r>
              <w:rPr>
                <w:rFonts w:ascii="FangSong_GB2312" w:hAnsi="FangSong_GB2312" w:eastAsia="FangSong_GB2312" w:cs="FangSong_GB2312"/>
                <w:spacing w:val="-3"/>
                <w:sz w:val="22"/>
                <w:szCs w:val="22"/>
              </w:rPr>
              <w:t>分，未建立</w:t>
            </w:r>
            <w:r>
              <w:rPr>
                <w:rFonts w:ascii="FangSong_GB2312" w:hAnsi="FangSong_GB2312" w:eastAsia="FangSong_GB2312" w:cs="FangSong_GB2312"/>
                <w:spacing w:val="-49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 xml:space="preserve">0 </w:t>
            </w:r>
            <w:r>
              <w:rPr>
                <w:rFonts w:ascii="FangSong_GB2312" w:hAnsi="FangSong_GB2312" w:eastAsia="FangSong_GB2312" w:cs="FangSong_GB2312"/>
                <w:spacing w:val="-3"/>
                <w:sz w:val="22"/>
                <w:szCs w:val="22"/>
              </w:rPr>
              <w:t>分。</w:t>
            </w:r>
            <w:r>
              <w:rPr>
                <w:spacing w:val="-3"/>
                <w:sz w:val="22"/>
                <w:szCs w:val="22"/>
              </w:rPr>
              <w:t>2.</w:t>
            </w:r>
            <w:r>
              <w:rPr>
                <w:rFonts w:ascii="FangSong_GB2312" w:hAnsi="FangSong_GB2312" w:eastAsia="FangSong_GB2312" w:cs="FangSong_GB2312"/>
                <w:spacing w:val="-3"/>
                <w:sz w:val="22"/>
                <w:szCs w:val="22"/>
              </w:rPr>
              <w:t>核查零售药店是否按照要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求建立完整的药品耗材进销存管理系统并实际运用不少于</w:t>
            </w:r>
            <w:r>
              <w:rPr>
                <w:rFonts w:ascii="FangSong_GB2312" w:hAnsi="FangSong_GB2312" w:eastAsia="FangSong_GB2312" w:cs="FangSong_GB2312"/>
                <w:spacing w:val="-4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 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个月，贮存、审核、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发放等是否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符合要求，抽查药品、器械、耗材等购、销、存记录，真实完整，符合要求的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，得</w:t>
            </w:r>
            <w:r>
              <w:rPr>
                <w:rFonts w:ascii="FangSong_GB2312" w:hAnsi="FangSong_GB2312" w:eastAsia="FangSong_GB2312" w:cs="FangSong_GB2312"/>
                <w:spacing w:val="-44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 xml:space="preserve">5 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分，不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符合的不得分；</w:t>
            </w:r>
            <w:r>
              <w:rPr>
                <w:sz w:val="22"/>
                <w:szCs w:val="22"/>
              </w:rPr>
              <w:t>3.</w:t>
            </w:r>
            <w:r>
              <w:rPr>
                <w:spacing w:val="-32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票、账、货相符，资料按规定期限保存齐全得</w:t>
            </w:r>
            <w:r>
              <w:rPr>
                <w:rFonts w:ascii="FangSong_GB2312" w:hAnsi="FangSong_GB2312" w:eastAsia="FangSong_GB2312" w:cs="FangSong_GB2312"/>
                <w:spacing w:val="-4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5 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分，发现</w:t>
            </w:r>
            <w:r>
              <w:rPr>
                <w:rFonts w:ascii="FangSong_GB2312" w:hAnsi="FangSong_GB2312" w:eastAsia="FangSong_GB2312" w:cs="FangSong_GB2312"/>
                <w:spacing w:val="-2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1 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例次票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、账、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货不相符或资料未按规定保存的，得</w:t>
            </w:r>
            <w:r>
              <w:rPr>
                <w:rFonts w:ascii="FangSong_GB2312" w:hAnsi="FangSong_GB2312" w:eastAsia="FangSong_GB2312" w:cs="FangSong_GB2312"/>
                <w:spacing w:val="-3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 xml:space="preserve">0 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分。</w:t>
            </w:r>
          </w:p>
        </w:tc>
        <w:tc>
          <w:tcPr>
            <w:tcW w:w="1514" w:type="dxa"/>
            <w:vAlign w:val="top"/>
          </w:tcPr>
          <w:p w14:paraId="1BB7B775">
            <w:pPr>
              <w:rPr>
                <w:rFonts w:ascii="Arial"/>
                <w:sz w:val="21"/>
              </w:rPr>
            </w:pPr>
          </w:p>
        </w:tc>
      </w:tr>
      <w:tr w14:paraId="2895A9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3" w:hRule="atLeast"/>
        </w:trPr>
        <w:tc>
          <w:tcPr>
            <w:tcW w:w="1513" w:type="dxa"/>
            <w:vMerge w:val="continue"/>
            <w:tcBorders>
              <w:top w:val="nil"/>
            </w:tcBorders>
            <w:vAlign w:val="top"/>
          </w:tcPr>
          <w:p w14:paraId="7CD6CC40">
            <w:pPr>
              <w:rPr>
                <w:rFonts w:ascii="Arial"/>
                <w:sz w:val="21"/>
              </w:rPr>
            </w:pPr>
          </w:p>
        </w:tc>
        <w:tc>
          <w:tcPr>
            <w:tcW w:w="1811" w:type="dxa"/>
            <w:vAlign w:val="top"/>
          </w:tcPr>
          <w:p w14:paraId="56868ADB">
            <w:pPr>
              <w:spacing w:line="256" w:lineRule="auto"/>
              <w:rPr>
                <w:rFonts w:ascii="Arial"/>
                <w:sz w:val="21"/>
              </w:rPr>
            </w:pPr>
          </w:p>
          <w:p w14:paraId="1216F198">
            <w:pPr>
              <w:pStyle w:val="7"/>
              <w:spacing w:before="72" w:line="235" w:lineRule="auto"/>
              <w:ind w:left="487" w:right="463" w:hanging="9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2"/>
                <w:szCs w:val="22"/>
              </w:rPr>
              <w:t>处方管理</w:t>
            </w:r>
            <w:r>
              <w:rPr>
                <w:rFonts w:ascii="FangSong_GB2312" w:hAnsi="FangSong_GB2312" w:eastAsia="FangSong_GB2312" w:cs="FangSong_GB2312"/>
                <w:spacing w:val="14"/>
                <w:sz w:val="22"/>
                <w:szCs w:val="22"/>
              </w:rPr>
              <w:t>（</w:t>
            </w:r>
            <w:r>
              <w:rPr>
                <w:spacing w:val="14"/>
                <w:sz w:val="22"/>
                <w:szCs w:val="22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4"/>
                <w:sz w:val="22"/>
                <w:szCs w:val="22"/>
              </w:rPr>
              <w:t>分）</w:t>
            </w:r>
          </w:p>
        </w:tc>
        <w:tc>
          <w:tcPr>
            <w:tcW w:w="9056" w:type="dxa"/>
            <w:vAlign w:val="top"/>
          </w:tcPr>
          <w:p w14:paraId="3332EB44">
            <w:pPr>
              <w:pStyle w:val="7"/>
              <w:spacing w:before="189" w:line="236" w:lineRule="auto"/>
              <w:ind w:left="135" w:right="54" w:hanging="11"/>
              <w:jc w:val="both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核查零售药店是否严格执行处方管理有关规定，处方药管理规范，处方保存、登记制度健全，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外配处方实行审方、配方、复核程序，并有人员签字。完全符合要求的得</w:t>
            </w:r>
            <w:r>
              <w:rPr>
                <w:rFonts w:ascii="FangSong_GB2312" w:hAnsi="FangSong_GB2312" w:eastAsia="FangSong_GB2312" w:cs="FangSong_GB2312"/>
                <w:spacing w:val="-46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 xml:space="preserve">5 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分，不符合要求</w:t>
            </w: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的不得分。</w:t>
            </w:r>
          </w:p>
        </w:tc>
        <w:tc>
          <w:tcPr>
            <w:tcW w:w="1514" w:type="dxa"/>
            <w:vAlign w:val="top"/>
          </w:tcPr>
          <w:p w14:paraId="32A75050">
            <w:pPr>
              <w:rPr>
                <w:rFonts w:ascii="Arial"/>
                <w:sz w:val="21"/>
              </w:rPr>
            </w:pPr>
          </w:p>
        </w:tc>
      </w:tr>
    </w:tbl>
    <w:p w14:paraId="5CFB7E62">
      <w:pPr>
        <w:rPr>
          <w:rFonts w:ascii="Arial"/>
          <w:sz w:val="21"/>
        </w:rPr>
      </w:pPr>
    </w:p>
    <w:p w14:paraId="718719AD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6839" w:h="11906"/>
          <w:pgMar w:top="1012" w:right="1469" w:bottom="1318" w:left="1469" w:header="0" w:footer="1006" w:gutter="0"/>
          <w:cols w:space="720" w:num="1"/>
        </w:sectPr>
      </w:pPr>
    </w:p>
    <w:tbl>
      <w:tblPr>
        <w:tblStyle w:val="6"/>
        <w:tblW w:w="138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3"/>
        <w:gridCol w:w="1811"/>
        <w:gridCol w:w="9056"/>
        <w:gridCol w:w="1514"/>
      </w:tblGrid>
      <w:tr w14:paraId="0B2B2D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513" w:type="dxa"/>
            <w:vAlign w:val="top"/>
          </w:tcPr>
          <w:p w14:paraId="1424C87E">
            <w:pPr>
              <w:spacing w:before="232" w:line="222" w:lineRule="auto"/>
              <w:ind w:left="20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指标类别</w:t>
            </w:r>
          </w:p>
        </w:tc>
        <w:tc>
          <w:tcPr>
            <w:tcW w:w="1811" w:type="dxa"/>
            <w:vAlign w:val="top"/>
          </w:tcPr>
          <w:p w14:paraId="22EFDFED">
            <w:pPr>
              <w:spacing w:before="233" w:line="222" w:lineRule="auto"/>
              <w:ind w:left="35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评估项目</w:t>
            </w:r>
          </w:p>
        </w:tc>
        <w:tc>
          <w:tcPr>
            <w:tcW w:w="9056" w:type="dxa"/>
            <w:vAlign w:val="top"/>
          </w:tcPr>
          <w:p w14:paraId="6D57C61C">
            <w:pPr>
              <w:spacing w:before="233" w:line="222" w:lineRule="auto"/>
              <w:ind w:left="3976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评估标准</w:t>
            </w:r>
          </w:p>
        </w:tc>
        <w:tc>
          <w:tcPr>
            <w:tcW w:w="1514" w:type="dxa"/>
            <w:vAlign w:val="top"/>
          </w:tcPr>
          <w:p w14:paraId="1717A7F5">
            <w:pPr>
              <w:spacing w:before="233" w:line="222" w:lineRule="auto"/>
              <w:ind w:left="205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评估情况</w:t>
            </w:r>
          </w:p>
        </w:tc>
      </w:tr>
      <w:tr w14:paraId="63ACE0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1513" w:type="dxa"/>
            <w:vMerge w:val="restart"/>
            <w:tcBorders>
              <w:bottom w:val="nil"/>
            </w:tcBorders>
            <w:vAlign w:val="top"/>
          </w:tcPr>
          <w:p w14:paraId="727A4571">
            <w:pPr>
              <w:rPr>
                <w:rFonts w:ascii="Arial"/>
                <w:sz w:val="21"/>
              </w:rPr>
            </w:pPr>
          </w:p>
        </w:tc>
        <w:tc>
          <w:tcPr>
            <w:tcW w:w="1811" w:type="dxa"/>
            <w:vAlign w:val="top"/>
          </w:tcPr>
          <w:p w14:paraId="4022500F">
            <w:pPr>
              <w:pStyle w:val="7"/>
              <w:spacing w:before="141" w:line="237" w:lineRule="auto"/>
              <w:ind w:left="487" w:right="463" w:hanging="15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2"/>
                <w:szCs w:val="22"/>
              </w:rPr>
              <w:t>合理定价</w:t>
            </w:r>
            <w:r>
              <w:rPr>
                <w:rFonts w:ascii="FangSong_GB2312" w:hAnsi="FangSong_GB2312" w:eastAsia="FangSong_GB2312" w:cs="FangSong_GB2312"/>
                <w:spacing w:val="14"/>
                <w:sz w:val="22"/>
                <w:szCs w:val="22"/>
              </w:rPr>
              <w:t>（</w:t>
            </w:r>
            <w:r>
              <w:rPr>
                <w:spacing w:val="14"/>
                <w:sz w:val="22"/>
                <w:szCs w:val="22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4"/>
                <w:sz w:val="22"/>
                <w:szCs w:val="22"/>
              </w:rPr>
              <w:t>分）</w:t>
            </w:r>
          </w:p>
        </w:tc>
        <w:tc>
          <w:tcPr>
            <w:tcW w:w="9056" w:type="dxa"/>
            <w:vAlign w:val="top"/>
          </w:tcPr>
          <w:p w14:paraId="70681CB3">
            <w:pPr>
              <w:pStyle w:val="7"/>
              <w:spacing w:before="142" w:line="236" w:lineRule="auto"/>
              <w:ind w:left="131" w:right="113" w:hanging="5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按照公平、合法、诚实守信原则对药品、耗材等进行明码标价。完全符合要求的得</w:t>
            </w:r>
            <w:r>
              <w:rPr>
                <w:rFonts w:ascii="FangSong_GB2312" w:hAnsi="FangSong_GB2312" w:eastAsia="FangSong_GB2312" w:cs="FangSong_GB2312"/>
                <w:spacing w:val="-4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5 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分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，不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符合要求的不得分。</w:t>
            </w:r>
          </w:p>
        </w:tc>
        <w:tc>
          <w:tcPr>
            <w:tcW w:w="1514" w:type="dxa"/>
            <w:vAlign w:val="top"/>
          </w:tcPr>
          <w:p w14:paraId="42970B5B">
            <w:pPr>
              <w:rPr>
                <w:rFonts w:ascii="Arial"/>
                <w:sz w:val="21"/>
              </w:rPr>
            </w:pPr>
          </w:p>
        </w:tc>
      </w:tr>
      <w:tr w14:paraId="1448B1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1513" w:type="dxa"/>
            <w:vMerge w:val="continue"/>
            <w:tcBorders>
              <w:top w:val="nil"/>
              <w:bottom w:val="nil"/>
            </w:tcBorders>
            <w:vAlign w:val="top"/>
          </w:tcPr>
          <w:p w14:paraId="123694B0">
            <w:pPr>
              <w:rPr>
                <w:rFonts w:ascii="Arial"/>
                <w:sz w:val="21"/>
              </w:rPr>
            </w:pPr>
          </w:p>
        </w:tc>
        <w:tc>
          <w:tcPr>
            <w:tcW w:w="1811" w:type="dxa"/>
            <w:vAlign w:val="top"/>
          </w:tcPr>
          <w:p w14:paraId="6C97ACB2">
            <w:pPr>
              <w:pStyle w:val="7"/>
              <w:spacing w:before="244" w:line="235" w:lineRule="auto"/>
              <w:ind w:left="487" w:right="463" w:hanging="12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经营品种</w:t>
            </w:r>
            <w:r>
              <w:rPr>
                <w:rFonts w:ascii="FangSong_GB2312" w:hAnsi="FangSong_GB2312" w:eastAsia="FangSong_GB2312" w:cs="FangSong_GB2312"/>
                <w:spacing w:val="14"/>
                <w:sz w:val="22"/>
                <w:szCs w:val="22"/>
              </w:rPr>
              <w:t>（</w:t>
            </w:r>
            <w:r>
              <w:rPr>
                <w:spacing w:val="14"/>
                <w:sz w:val="22"/>
                <w:szCs w:val="22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4"/>
                <w:sz w:val="22"/>
                <w:szCs w:val="22"/>
              </w:rPr>
              <w:t>分）</w:t>
            </w:r>
          </w:p>
        </w:tc>
        <w:tc>
          <w:tcPr>
            <w:tcW w:w="9056" w:type="dxa"/>
            <w:vAlign w:val="top"/>
          </w:tcPr>
          <w:p w14:paraId="3EA2A809">
            <w:pPr>
              <w:pStyle w:val="7"/>
              <w:spacing w:before="69" w:line="238" w:lineRule="auto"/>
              <w:ind w:left="128" w:right="113" w:hanging="2"/>
              <w:jc w:val="both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按照山东省现行药品目录，药品品种数超过</w:t>
            </w:r>
            <w:r>
              <w:rPr>
                <w:sz w:val="22"/>
                <w:szCs w:val="22"/>
              </w:rPr>
              <w:t>600</w:t>
            </w:r>
            <w:r>
              <w:rPr>
                <w:spacing w:val="44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的得</w:t>
            </w:r>
            <w:r>
              <w:rPr>
                <w:rFonts w:ascii="FangSong_GB2312" w:hAnsi="FangSong_GB2312" w:eastAsia="FangSong_GB2312" w:cs="FangSong_GB2312"/>
                <w:spacing w:val="-4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5 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分，超过</w:t>
            </w:r>
            <w:r>
              <w:rPr>
                <w:rFonts w:ascii="FangSong_GB2312" w:hAnsi="FangSong_GB2312" w:eastAsia="FangSong_GB2312" w:cs="FangSong_GB2312"/>
                <w:spacing w:val="-4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500</w:t>
            </w:r>
            <w:r>
              <w:rPr>
                <w:spacing w:val="27"/>
                <w:w w:val="101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的得</w:t>
            </w:r>
            <w:r>
              <w:rPr>
                <w:rFonts w:ascii="FangSong_GB2312" w:hAnsi="FangSong_GB2312" w:eastAsia="FangSong_GB2312" w:cs="FangSong_GB2312"/>
                <w:spacing w:val="-5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4 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分，超过</w:t>
            </w:r>
            <w:r>
              <w:rPr>
                <w:sz w:val="22"/>
                <w:szCs w:val="22"/>
              </w:rPr>
              <w:t>400</w:t>
            </w:r>
            <w:r>
              <w:rPr>
                <w:spacing w:val="25"/>
                <w:w w:val="101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的</w:t>
            </w:r>
            <w:r>
              <w:rPr>
                <w:rFonts w:ascii="FangSong_GB2312" w:hAnsi="FangSong_GB2312" w:eastAsia="FangSong_GB2312" w:cs="FangSong_GB2312"/>
                <w:spacing w:val="1"/>
                <w:sz w:val="22"/>
                <w:szCs w:val="22"/>
              </w:rPr>
              <w:t>得</w:t>
            </w:r>
            <w:r>
              <w:rPr>
                <w:rFonts w:ascii="FangSong_GB2312" w:hAnsi="FangSong_GB2312" w:eastAsia="FangSong_GB2312" w:cs="FangSong_GB2312"/>
                <w:spacing w:val="-38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 xml:space="preserve">3 </w:t>
            </w:r>
            <w:r>
              <w:rPr>
                <w:rFonts w:ascii="FangSong_GB2312" w:hAnsi="FangSong_GB2312" w:eastAsia="FangSong_GB2312" w:cs="FangSong_GB2312"/>
                <w:spacing w:val="1"/>
                <w:sz w:val="22"/>
                <w:szCs w:val="22"/>
              </w:rPr>
              <w:t>分，超过</w:t>
            </w:r>
            <w:r>
              <w:rPr>
                <w:spacing w:val="1"/>
                <w:sz w:val="22"/>
                <w:szCs w:val="22"/>
              </w:rPr>
              <w:t>300</w:t>
            </w:r>
            <w:r>
              <w:rPr>
                <w:spacing w:val="25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"/>
                <w:sz w:val="22"/>
                <w:szCs w:val="22"/>
              </w:rPr>
              <w:t>的得</w:t>
            </w:r>
            <w:r>
              <w:rPr>
                <w:rFonts w:ascii="FangSong_GB2312" w:hAnsi="FangSong_GB2312" w:eastAsia="FangSong_GB2312" w:cs="FangSong_GB2312"/>
                <w:spacing w:val="-50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 xml:space="preserve">2 </w:t>
            </w:r>
            <w:r>
              <w:rPr>
                <w:rFonts w:ascii="FangSong_GB2312" w:hAnsi="FangSong_GB2312" w:eastAsia="FangSong_GB2312" w:cs="FangSong_GB2312"/>
                <w:spacing w:val="1"/>
                <w:sz w:val="22"/>
                <w:szCs w:val="22"/>
              </w:rPr>
              <w:t>分，超过</w:t>
            </w:r>
            <w:r>
              <w:rPr>
                <w:spacing w:val="1"/>
                <w:sz w:val="22"/>
                <w:szCs w:val="22"/>
              </w:rPr>
              <w:t>200</w:t>
            </w:r>
            <w:r>
              <w:rPr>
                <w:spacing w:val="25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"/>
                <w:sz w:val="22"/>
                <w:szCs w:val="22"/>
              </w:rPr>
              <w:t>的得</w:t>
            </w:r>
            <w:r>
              <w:rPr>
                <w:rFonts w:ascii="FangSong_GB2312" w:hAnsi="FangSong_GB2312" w:eastAsia="FangSong_GB2312" w:cs="FangSong_GB2312"/>
                <w:spacing w:val="-29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 xml:space="preserve">1 </w:t>
            </w:r>
            <w:r>
              <w:rPr>
                <w:rFonts w:ascii="FangSong_GB2312" w:hAnsi="FangSong_GB2312" w:eastAsia="FangSong_GB2312" w:cs="FangSong_GB2312"/>
                <w:spacing w:val="1"/>
                <w:sz w:val="22"/>
                <w:szCs w:val="22"/>
              </w:rPr>
              <w:t>分，低于</w:t>
            </w:r>
            <w:r>
              <w:rPr>
                <w:spacing w:val="1"/>
                <w:sz w:val="22"/>
                <w:szCs w:val="22"/>
              </w:rPr>
              <w:t>200</w:t>
            </w:r>
            <w:r>
              <w:rPr>
                <w:spacing w:val="28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"/>
                <w:sz w:val="22"/>
                <w:szCs w:val="22"/>
              </w:rPr>
              <w:t>的不得分。按照药品批准文号为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单位统计计算。</w:t>
            </w:r>
          </w:p>
        </w:tc>
        <w:tc>
          <w:tcPr>
            <w:tcW w:w="1514" w:type="dxa"/>
            <w:vAlign w:val="top"/>
          </w:tcPr>
          <w:p w14:paraId="1C89D849">
            <w:pPr>
              <w:rPr>
                <w:rFonts w:ascii="Arial"/>
                <w:sz w:val="21"/>
              </w:rPr>
            </w:pPr>
          </w:p>
        </w:tc>
      </w:tr>
      <w:tr w14:paraId="1193FF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513" w:type="dxa"/>
            <w:vMerge w:val="continue"/>
            <w:tcBorders>
              <w:top w:val="nil"/>
              <w:bottom w:val="nil"/>
            </w:tcBorders>
            <w:vAlign w:val="top"/>
          </w:tcPr>
          <w:p w14:paraId="52852621">
            <w:pPr>
              <w:rPr>
                <w:rFonts w:ascii="Arial"/>
                <w:sz w:val="21"/>
              </w:rPr>
            </w:pPr>
          </w:p>
        </w:tc>
        <w:tc>
          <w:tcPr>
            <w:tcW w:w="1811" w:type="dxa"/>
            <w:vAlign w:val="top"/>
          </w:tcPr>
          <w:p w14:paraId="1C9DE3DC">
            <w:pPr>
              <w:pStyle w:val="7"/>
              <w:spacing w:before="53" w:line="223" w:lineRule="auto"/>
              <w:ind w:left="487" w:right="353" w:hanging="132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储存及配送</w:t>
            </w:r>
            <w:r>
              <w:rPr>
                <w:rFonts w:ascii="FangSong_GB2312" w:hAnsi="FangSong_GB2312" w:eastAsia="FangSong_GB2312" w:cs="FangSong_GB2312"/>
                <w:spacing w:val="14"/>
                <w:sz w:val="22"/>
                <w:szCs w:val="22"/>
              </w:rPr>
              <w:t>（</w:t>
            </w:r>
            <w:r>
              <w:rPr>
                <w:spacing w:val="14"/>
                <w:sz w:val="22"/>
                <w:szCs w:val="22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4"/>
                <w:sz w:val="22"/>
                <w:szCs w:val="22"/>
              </w:rPr>
              <w:t>分）</w:t>
            </w:r>
          </w:p>
        </w:tc>
        <w:tc>
          <w:tcPr>
            <w:tcW w:w="9056" w:type="dxa"/>
            <w:vAlign w:val="top"/>
          </w:tcPr>
          <w:p w14:paraId="0CF9CC42">
            <w:pPr>
              <w:pStyle w:val="7"/>
              <w:spacing w:before="17" w:line="238" w:lineRule="auto"/>
              <w:ind w:left="128" w:right="113" w:firstLine="4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具备全程冷链运输、储存管理等服务能力的，得</w:t>
            </w:r>
            <w:r>
              <w:rPr>
                <w:rFonts w:ascii="FangSong_GB2312" w:hAnsi="FangSong_GB2312" w:eastAsia="FangSong_GB2312" w:cs="FangSong_GB2312"/>
                <w:spacing w:val="-4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 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分，提供送药上门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服务的，得</w:t>
            </w:r>
            <w:r>
              <w:rPr>
                <w:rFonts w:ascii="FangSong_GB2312" w:hAnsi="FangSong_GB2312" w:eastAsia="FangSong_GB2312" w:cs="FangSong_GB2312"/>
                <w:spacing w:val="-5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 xml:space="preserve">2 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分。不具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备相应能力的不得分。</w:t>
            </w:r>
          </w:p>
        </w:tc>
        <w:tc>
          <w:tcPr>
            <w:tcW w:w="1514" w:type="dxa"/>
            <w:vAlign w:val="top"/>
          </w:tcPr>
          <w:p w14:paraId="32B00D13">
            <w:pPr>
              <w:rPr>
                <w:rFonts w:ascii="Arial"/>
                <w:sz w:val="21"/>
              </w:rPr>
            </w:pPr>
          </w:p>
        </w:tc>
      </w:tr>
      <w:tr w14:paraId="09E1DE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3" w:hRule="atLeast"/>
        </w:trPr>
        <w:tc>
          <w:tcPr>
            <w:tcW w:w="1513" w:type="dxa"/>
            <w:vMerge w:val="continue"/>
            <w:tcBorders>
              <w:top w:val="nil"/>
              <w:bottom w:val="nil"/>
            </w:tcBorders>
            <w:vAlign w:val="top"/>
          </w:tcPr>
          <w:p w14:paraId="2EFFB6C6">
            <w:pPr>
              <w:rPr>
                <w:rFonts w:ascii="Arial"/>
                <w:sz w:val="21"/>
              </w:rPr>
            </w:pPr>
          </w:p>
        </w:tc>
        <w:tc>
          <w:tcPr>
            <w:tcW w:w="1811" w:type="dxa"/>
            <w:vAlign w:val="top"/>
          </w:tcPr>
          <w:p w14:paraId="612ADF09">
            <w:pPr>
              <w:spacing w:before="120" w:line="221" w:lineRule="auto"/>
              <w:ind w:left="254" w:right="21" w:hanging="211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2"/>
                <w:szCs w:val="22"/>
              </w:rPr>
              <w:t>药品、医用耗材供应商相关情况</w:t>
            </w:r>
          </w:p>
          <w:p w14:paraId="54CBE8E1">
            <w:pPr>
              <w:pStyle w:val="7"/>
              <w:spacing w:line="289" w:lineRule="exact"/>
              <w:ind w:left="488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3"/>
                <w:position w:val="1"/>
                <w:sz w:val="22"/>
                <w:szCs w:val="22"/>
              </w:rPr>
              <w:t>（</w:t>
            </w:r>
            <w:r>
              <w:rPr>
                <w:spacing w:val="-3"/>
                <w:position w:val="1"/>
                <w:sz w:val="22"/>
                <w:szCs w:val="22"/>
              </w:rPr>
              <w:t>3</w:t>
            </w:r>
            <w:r>
              <w:rPr>
                <w:spacing w:val="13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position w:val="1"/>
                <w:sz w:val="22"/>
                <w:szCs w:val="22"/>
              </w:rPr>
              <w:t>分）</w:t>
            </w:r>
          </w:p>
        </w:tc>
        <w:tc>
          <w:tcPr>
            <w:tcW w:w="9056" w:type="dxa"/>
            <w:vAlign w:val="top"/>
          </w:tcPr>
          <w:p w14:paraId="432D1E2D">
            <w:pPr>
              <w:pStyle w:val="7"/>
              <w:spacing w:before="122" w:line="229" w:lineRule="auto"/>
              <w:ind w:left="122" w:right="56" w:firstLine="2"/>
              <w:jc w:val="both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核查零售药店药品、医用耗材等供应商的相关资质是否有效、齐全，零售药店与供应商之间</w:t>
            </w: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是否有有效合作协议、合同等，确保购入渠道正规、质量有保证。完全符合要求的，得</w:t>
            </w:r>
            <w:r>
              <w:rPr>
                <w:rFonts w:ascii="FangSong_GB2312" w:hAnsi="FangSong_GB2312" w:eastAsia="FangSong_GB2312" w:cs="FangSong_GB2312"/>
                <w:spacing w:val="-36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 xml:space="preserve">3 </w:t>
            </w: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分，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不符合的不得分。</w:t>
            </w:r>
          </w:p>
        </w:tc>
        <w:tc>
          <w:tcPr>
            <w:tcW w:w="1514" w:type="dxa"/>
            <w:vAlign w:val="top"/>
          </w:tcPr>
          <w:p w14:paraId="4A004AA1">
            <w:pPr>
              <w:rPr>
                <w:rFonts w:ascii="Arial"/>
                <w:sz w:val="21"/>
              </w:rPr>
            </w:pPr>
          </w:p>
        </w:tc>
      </w:tr>
      <w:tr w14:paraId="4A0D05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1513" w:type="dxa"/>
            <w:vMerge w:val="continue"/>
            <w:tcBorders>
              <w:top w:val="nil"/>
              <w:bottom w:val="nil"/>
            </w:tcBorders>
            <w:vAlign w:val="top"/>
          </w:tcPr>
          <w:p w14:paraId="67FF0C78">
            <w:pPr>
              <w:rPr>
                <w:rFonts w:ascii="Arial"/>
                <w:sz w:val="21"/>
              </w:rPr>
            </w:pPr>
          </w:p>
        </w:tc>
        <w:tc>
          <w:tcPr>
            <w:tcW w:w="1811" w:type="dxa"/>
            <w:vAlign w:val="top"/>
          </w:tcPr>
          <w:p w14:paraId="313DEF0A">
            <w:pPr>
              <w:spacing w:before="53" w:line="235" w:lineRule="auto"/>
              <w:ind w:left="468" w:right="245" w:hanging="219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连锁化经营的零售药店</w:t>
            </w:r>
          </w:p>
          <w:p w14:paraId="4BB2CE94">
            <w:pPr>
              <w:pStyle w:val="7"/>
              <w:spacing w:line="209" w:lineRule="auto"/>
              <w:ind w:left="488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14"/>
                <w:sz w:val="22"/>
                <w:szCs w:val="22"/>
              </w:rPr>
              <w:t>（</w:t>
            </w:r>
            <w:r>
              <w:rPr>
                <w:spacing w:val="14"/>
                <w:sz w:val="22"/>
                <w:szCs w:val="22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4"/>
                <w:sz w:val="22"/>
                <w:szCs w:val="22"/>
              </w:rPr>
              <w:t>分）</w:t>
            </w:r>
          </w:p>
        </w:tc>
        <w:tc>
          <w:tcPr>
            <w:tcW w:w="9056" w:type="dxa"/>
            <w:vAlign w:val="top"/>
          </w:tcPr>
          <w:p w14:paraId="5FA1060B">
            <w:pPr>
              <w:pStyle w:val="7"/>
              <w:spacing w:before="194" w:line="233" w:lineRule="auto"/>
              <w:ind w:left="122" w:right="116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属于连锁化经营的药店得</w:t>
            </w:r>
            <w:r>
              <w:rPr>
                <w:rFonts w:ascii="FangSong_GB2312" w:hAnsi="FangSong_GB2312" w:eastAsia="FangSong_GB2312" w:cs="FangSong_GB2312"/>
                <w:spacing w:val="-4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5 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分，单体零售药店不得分。如已是定点的连锁药店不积极配合医保推进相关工作，其连锁的其他药店新增定点，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此项不得分。</w:t>
            </w:r>
          </w:p>
        </w:tc>
        <w:tc>
          <w:tcPr>
            <w:tcW w:w="1514" w:type="dxa"/>
            <w:vAlign w:val="top"/>
          </w:tcPr>
          <w:p w14:paraId="46BC3487">
            <w:pPr>
              <w:rPr>
                <w:rFonts w:ascii="Arial"/>
                <w:sz w:val="21"/>
              </w:rPr>
            </w:pPr>
          </w:p>
        </w:tc>
      </w:tr>
      <w:tr w14:paraId="546B8B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1513" w:type="dxa"/>
            <w:vMerge w:val="continue"/>
            <w:tcBorders>
              <w:top w:val="nil"/>
              <w:bottom w:val="nil"/>
            </w:tcBorders>
            <w:vAlign w:val="top"/>
          </w:tcPr>
          <w:p w14:paraId="35CCECCA">
            <w:pPr>
              <w:rPr>
                <w:rFonts w:ascii="Arial"/>
                <w:sz w:val="21"/>
              </w:rPr>
            </w:pPr>
          </w:p>
        </w:tc>
        <w:tc>
          <w:tcPr>
            <w:tcW w:w="1811" w:type="dxa"/>
            <w:vAlign w:val="top"/>
          </w:tcPr>
          <w:p w14:paraId="12DD7F3C">
            <w:pPr>
              <w:spacing w:before="54" w:line="217" w:lineRule="auto"/>
              <w:ind w:left="152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2"/>
                <w:szCs w:val="22"/>
              </w:rPr>
              <w:t>劳动合同及保险</w:t>
            </w:r>
          </w:p>
          <w:p w14:paraId="50CFABC4">
            <w:pPr>
              <w:spacing w:before="22" w:line="206" w:lineRule="auto"/>
              <w:ind w:left="477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缴纳情况</w:t>
            </w:r>
          </w:p>
          <w:p w14:paraId="02520A5C">
            <w:pPr>
              <w:pStyle w:val="7"/>
              <w:spacing w:line="237" w:lineRule="auto"/>
              <w:ind w:left="433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（</w:t>
            </w:r>
            <w:r>
              <w:rPr>
                <w:spacing w:val="-2"/>
                <w:sz w:val="22"/>
                <w:szCs w:val="22"/>
              </w:rPr>
              <w:t>10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分）</w:t>
            </w:r>
          </w:p>
        </w:tc>
        <w:tc>
          <w:tcPr>
            <w:tcW w:w="9056" w:type="dxa"/>
            <w:vAlign w:val="top"/>
          </w:tcPr>
          <w:p w14:paraId="6AFB7587">
            <w:pPr>
              <w:pStyle w:val="7"/>
              <w:spacing w:before="56" w:line="226" w:lineRule="auto"/>
              <w:ind w:left="125" w:right="3" w:firstLine="12"/>
              <w:jc w:val="both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2"/>
                <w:szCs w:val="22"/>
              </w:rPr>
              <w:t>药店与其药学技术人员、收费人员等从业人员均签订劳动合同，并且在本单位（含连锁总部）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连续按时足额缴纳医保。返聘退休人员应提供劳务合同及不少于三个月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的工资流水。每发现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 xml:space="preserve">1 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人次不符合要求的，扣</w:t>
            </w:r>
            <w:r>
              <w:rPr>
                <w:rFonts w:ascii="FangSong_GB2312" w:hAnsi="FangSong_GB2312" w:eastAsia="FangSong_GB2312" w:cs="FangSong_GB2312"/>
                <w:spacing w:val="-3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 xml:space="preserve">5 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分。</w:t>
            </w:r>
          </w:p>
        </w:tc>
        <w:tc>
          <w:tcPr>
            <w:tcW w:w="1514" w:type="dxa"/>
            <w:vAlign w:val="top"/>
          </w:tcPr>
          <w:p w14:paraId="78F2487F">
            <w:pPr>
              <w:rPr>
                <w:rFonts w:ascii="Arial"/>
                <w:sz w:val="21"/>
              </w:rPr>
            </w:pPr>
          </w:p>
        </w:tc>
      </w:tr>
      <w:tr w14:paraId="673C29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1513" w:type="dxa"/>
            <w:vMerge w:val="continue"/>
            <w:tcBorders>
              <w:top w:val="nil"/>
            </w:tcBorders>
            <w:vAlign w:val="top"/>
          </w:tcPr>
          <w:p w14:paraId="4FC0F176">
            <w:pPr>
              <w:rPr>
                <w:rFonts w:ascii="Arial"/>
                <w:sz w:val="21"/>
              </w:rPr>
            </w:pPr>
          </w:p>
        </w:tc>
        <w:tc>
          <w:tcPr>
            <w:tcW w:w="1811" w:type="dxa"/>
            <w:vAlign w:val="top"/>
          </w:tcPr>
          <w:p w14:paraId="0FDA3A11">
            <w:pPr>
              <w:spacing w:line="261" w:lineRule="auto"/>
              <w:rPr>
                <w:rFonts w:ascii="Arial"/>
                <w:sz w:val="21"/>
              </w:rPr>
            </w:pPr>
          </w:p>
          <w:p w14:paraId="7A0FC62C">
            <w:pPr>
              <w:spacing w:before="72" w:line="217" w:lineRule="auto"/>
              <w:ind w:left="53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既往定点相关情况</w:t>
            </w:r>
          </w:p>
        </w:tc>
        <w:tc>
          <w:tcPr>
            <w:tcW w:w="9056" w:type="dxa"/>
            <w:vAlign w:val="top"/>
          </w:tcPr>
          <w:p w14:paraId="37CD0D6F">
            <w:pPr>
              <w:pStyle w:val="7"/>
              <w:spacing w:before="56" w:line="226" w:lineRule="auto"/>
              <w:ind w:left="119" w:right="113" w:firstLine="5"/>
              <w:jc w:val="both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核查零售药店是否存在申请过医保定点，但未在规定时间完成联网结算、协议签订以及主动提出或者被解除定点等情形，其中被解除定点原因属于不予受理情形的，不予纳入，其他情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形纳入此项评估。存在上述任一情形的，直接扣</w:t>
            </w:r>
            <w:r>
              <w:rPr>
                <w:rFonts w:ascii="FangSong_GB2312" w:hAnsi="FangSong_GB2312" w:eastAsia="FangSong_GB2312" w:cs="FangSong_GB2312"/>
                <w:spacing w:val="-29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1</w:t>
            </w:r>
            <w:r>
              <w:rPr>
                <w:spacing w:val="-2"/>
                <w:sz w:val="22"/>
                <w:szCs w:val="22"/>
              </w:rPr>
              <w:t xml:space="preserve">0 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分。</w:t>
            </w:r>
          </w:p>
        </w:tc>
        <w:tc>
          <w:tcPr>
            <w:tcW w:w="1514" w:type="dxa"/>
            <w:vAlign w:val="top"/>
          </w:tcPr>
          <w:p w14:paraId="1E8FEE04">
            <w:pPr>
              <w:rPr>
                <w:rFonts w:ascii="Arial"/>
                <w:sz w:val="21"/>
              </w:rPr>
            </w:pPr>
          </w:p>
        </w:tc>
      </w:tr>
      <w:tr w14:paraId="7804A7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513" w:type="dxa"/>
            <w:vAlign w:val="top"/>
          </w:tcPr>
          <w:p w14:paraId="7AB61951">
            <w:pPr>
              <w:spacing w:before="97" w:line="214" w:lineRule="auto"/>
              <w:ind w:left="138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22"/>
                <w:szCs w:val="22"/>
              </w:rPr>
              <w:t>最终结果</w:t>
            </w:r>
          </w:p>
        </w:tc>
        <w:tc>
          <w:tcPr>
            <w:tcW w:w="10867" w:type="dxa"/>
            <w:gridSpan w:val="2"/>
            <w:vAlign w:val="top"/>
          </w:tcPr>
          <w:p w14:paraId="2CB7E7CD">
            <w:pPr>
              <w:pStyle w:val="7"/>
              <w:spacing w:before="97" w:line="214" w:lineRule="auto"/>
              <w:ind w:left="2333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基本条件：  合格</w:t>
            </w:r>
            <w:r>
              <w:rPr>
                <w:sz w:val="22"/>
                <w:szCs w:val="22"/>
              </w:rPr>
              <w:t xml:space="preserve">□            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不合格</w:t>
            </w:r>
            <w:r>
              <w:rPr>
                <w:sz w:val="22"/>
                <w:szCs w:val="22"/>
              </w:rPr>
              <w:t xml:space="preserve">□                    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>其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他条件总得分：</w:t>
            </w:r>
          </w:p>
        </w:tc>
        <w:tc>
          <w:tcPr>
            <w:tcW w:w="1514" w:type="dxa"/>
            <w:vAlign w:val="top"/>
          </w:tcPr>
          <w:p w14:paraId="595C7C70">
            <w:pPr>
              <w:rPr>
                <w:rFonts w:ascii="Arial"/>
                <w:sz w:val="21"/>
              </w:rPr>
            </w:pPr>
          </w:p>
        </w:tc>
      </w:tr>
    </w:tbl>
    <w:p w14:paraId="39F40984">
      <w:pPr>
        <w:pStyle w:val="2"/>
        <w:spacing w:before="96" w:line="290" w:lineRule="exact"/>
        <w:rPr>
          <w:spacing w:val="-1"/>
          <w:position w:val="1"/>
          <w:sz w:val="22"/>
          <w:szCs w:val="22"/>
        </w:rPr>
      </w:pPr>
      <w:r>
        <w:rPr>
          <w:position w:val="1"/>
          <w:sz w:val="22"/>
          <w:szCs w:val="22"/>
        </w:rPr>
        <w:t>备注：基础条件一项不合格，评估结果即为不合格；其他条件总得分</w:t>
      </w:r>
      <w:r>
        <w:rPr>
          <w:spacing w:val="-44"/>
          <w:position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position w:val="1"/>
          <w:sz w:val="22"/>
          <w:szCs w:val="22"/>
        </w:rPr>
        <w:t xml:space="preserve">85 </w:t>
      </w:r>
      <w:r>
        <w:rPr>
          <w:position w:val="1"/>
          <w:sz w:val="22"/>
          <w:szCs w:val="22"/>
        </w:rPr>
        <w:t>分（含）以上，</w:t>
      </w:r>
      <w:r>
        <w:rPr>
          <w:spacing w:val="-1"/>
          <w:position w:val="1"/>
          <w:sz w:val="22"/>
          <w:szCs w:val="22"/>
        </w:rPr>
        <w:t>评估结果为合格，</w:t>
      </w:r>
      <w:r>
        <w:rPr>
          <w:rFonts w:ascii="Times New Roman" w:hAnsi="Times New Roman" w:eastAsia="Times New Roman" w:cs="Times New Roman"/>
          <w:spacing w:val="-1"/>
          <w:position w:val="1"/>
          <w:sz w:val="22"/>
          <w:szCs w:val="22"/>
        </w:rPr>
        <w:t xml:space="preserve">85 </w:t>
      </w:r>
      <w:r>
        <w:rPr>
          <w:spacing w:val="-1"/>
          <w:position w:val="1"/>
          <w:sz w:val="22"/>
          <w:szCs w:val="22"/>
        </w:rPr>
        <w:t>分以下，评估结果为不合格。</w:t>
      </w:r>
    </w:p>
    <w:p w14:paraId="38D0FF15">
      <w:pPr>
        <w:pStyle w:val="2"/>
        <w:spacing w:before="96" w:line="290" w:lineRule="exact"/>
        <w:rPr>
          <w:spacing w:val="-1"/>
          <w:position w:val="1"/>
          <w:sz w:val="22"/>
          <w:szCs w:val="22"/>
        </w:rPr>
      </w:pPr>
    </w:p>
    <w:p w14:paraId="36901F7C">
      <w:pPr>
        <w:pStyle w:val="2"/>
        <w:spacing w:before="96" w:line="290" w:lineRule="exact"/>
        <w:rPr>
          <w:spacing w:val="-1"/>
          <w:position w:val="1"/>
          <w:sz w:val="22"/>
          <w:szCs w:val="22"/>
        </w:rPr>
      </w:pPr>
      <w:bookmarkStart w:id="0" w:name="_GoBack"/>
      <w:bookmarkEnd w:id="0"/>
    </w:p>
    <w:p w14:paraId="4940E341">
      <w:pPr>
        <w:pStyle w:val="2"/>
        <w:spacing w:before="78" w:line="214" w:lineRule="auto"/>
        <w:ind w:left="84"/>
        <w:rPr>
          <w:sz w:val="24"/>
          <w:szCs w:val="24"/>
        </w:rPr>
      </w:pPr>
      <w:r>
        <w:rPr>
          <w:spacing w:val="-1"/>
          <w:sz w:val="24"/>
          <w:szCs w:val="24"/>
        </w:rPr>
        <w:t>药店主要负责人签字（盖章</w:t>
      </w:r>
      <w:r>
        <w:rPr>
          <w:sz w:val="24"/>
          <w:szCs w:val="24"/>
        </w:rPr>
        <w:t xml:space="preserve">）：           </w:t>
      </w:r>
      <w:r>
        <w:rPr>
          <w:spacing w:val="-1"/>
          <w:sz w:val="24"/>
          <w:szCs w:val="24"/>
        </w:rPr>
        <w:t>评估人员签字（两人以上</w:t>
      </w:r>
      <w:r>
        <w:rPr>
          <w:sz w:val="24"/>
          <w:szCs w:val="24"/>
        </w:rPr>
        <w:t>）：</w:t>
      </w:r>
      <w:r>
        <w:rPr>
          <w:spacing w:val="1"/>
          <w:sz w:val="24"/>
          <w:szCs w:val="24"/>
        </w:rPr>
        <w:t xml:space="preserve">           </w:t>
      </w:r>
      <w:r>
        <w:rPr>
          <w:spacing w:val="-1"/>
          <w:sz w:val="24"/>
          <w:szCs w:val="24"/>
        </w:rPr>
        <w:t>经办</w:t>
      </w:r>
      <w:r>
        <w:rPr>
          <w:spacing w:val="-2"/>
          <w:sz w:val="24"/>
          <w:szCs w:val="24"/>
        </w:rPr>
        <w:t>机构主要负责人签字（盖章</w:t>
      </w:r>
      <w:r>
        <w:rPr>
          <w:sz w:val="24"/>
          <w:szCs w:val="24"/>
        </w:rPr>
        <w:t>）：</w:t>
      </w:r>
    </w:p>
    <w:sectPr>
      <w:headerReference r:id="rId8" w:type="default"/>
      <w:footerReference r:id="rId9" w:type="default"/>
      <w:pgSz w:w="16839" w:h="11906" w:orient="landscape"/>
      <w:pgMar w:top="1561" w:right="2282" w:bottom="1589" w:left="1176" w:header="1134" w:footer="86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A443C1">
    <w:pPr>
      <w:spacing w:line="234" w:lineRule="auto"/>
      <w:ind w:left="6477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5"/>
        <w:sz w:val="24"/>
        <w:szCs w:val="24"/>
      </w:rPr>
      <w:t>—</w:t>
    </w:r>
    <w:r>
      <w:rPr>
        <w:rFonts w:ascii="宋体" w:hAnsi="宋体" w:eastAsia="宋体" w:cs="宋体"/>
        <w:spacing w:val="12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24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6C9161">
    <w:pPr>
      <w:spacing w:line="232" w:lineRule="auto"/>
      <w:ind w:left="6477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5"/>
        <w:sz w:val="24"/>
        <w:szCs w:val="24"/>
      </w:rPr>
      <w:t>—</w:t>
    </w:r>
    <w:r>
      <w:rPr>
        <w:rFonts w:ascii="宋体" w:hAnsi="宋体" w:eastAsia="宋体" w:cs="宋体"/>
        <w:spacing w:val="12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25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C52D2">
    <w:pPr>
      <w:spacing w:line="232" w:lineRule="auto"/>
      <w:ind w:left="6477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5"/>
        <w:sz w:val="24"/>
        <w:szCs w:val="24"/>
      </w:rPr>
      <w:t>—</w:t>
    </w:r>
    <w:r>
      <w:rPr>
        <w:rFonts w:ascii="宋体" w:hAnsi="宋体" w:eastAsia="宋体" w:cs="宋体"/>
        <w:spacing w:val="12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26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D5A64C">
    <w:pPr>
      <w:spacing w:line="232" w:lineRule="auto"/>
      <w:ind w:left="0" w:leftChars="0" w:firstLine="0" w:firstLineChars="0"/>
      <w:jc w:val="center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5"/>
        <w:sz w:val="24"/>
        <w:szCs w:val="24"/>
      </w:rPr>
      <w:t>—</w:t>
    </w:r>
    <w:r>
      <w:rPr>
        <w:rFonts w:hint="eastAsia" w:ascii="宋体" w:hAnsi="宋体" w:eastAsia="宋体" w:cs="宋体"/>
        <w:spacing w:val="-5"/>
        <w:sz w:val="24"/>
        <w:szCs w:val="24"/>
        <w:lang w:val="en-US" w:eastAsia="zh-CN"/>
      </w:rPr>
      <w:t>27</w:t>
    </w:r>
    <w:r>
      <w:rPr>
        <w:rFonts w:ascii="宋体" w:hAnsi="宋体" w:eastAsia="宋体" w:cs="宋体"/>
        <w:spacing w:val="-5"/>
        <w:sz w:val="24"/>
        <w:szCs w:val="24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4CE14">
    <w:pPr>
      <w:spacing w:before="83" w:line="230" w:lineRule="auto"/>
      <w:rPr>
        <w:rFonts w:ascii="Times New Roman" w:hAnsi="Times New Roman" w:eastAsia="Times New Roman" w:cs="Times New Roman"/>
        <w:sz w:val="31"/>
        <w:szCs w:val="3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5026A1A"/>
    <w:rsid w:val="57C7044F"/>
    <w:rsid w:val="58CF4F42"/>
    <w:rsid w:val="5CF9F353"/>
    <w:rsid w:val="7FF51CC7"/>
    <w:rsid w:val="D7EF04EB"/>
    <w:rsid w:val="FBCFA91C"/>
    <w:rsid w:val="FFF62A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header" Target="header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0</TotalTime>
  <ScaleCrop>false</ScaleCrop>
  <LinksUpToDate>false</LinksUpToDate>
  <Application>WPS Office_12.1.2.24730_F1E327BC-269C-435d-A152-05C5408002CA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2026-05-26T17:04:00Z</dcterms:created>
  <dc:creator>Administrator</dc:creator>
  <cp:lastModifiedBy>user</cp:lastModifiedBy>
  <dcterms:modified xsi:type="dcterms:W3CDTF">2026-05-27T16:36:25Z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2026-05-27T09:30:50Z</vt:filetime>
  </property>
  <property fmtid="{D5CDD505-2E9C-101B-9397-08002B2CF9AE}" pid="4" name="KSOProductBuildVer">
    <vt:lpwstr>2052-12.1.2.24730</vt:lpwstr>
  </property>
  <property fmtid="{D5CDD505-2E9C-101B-9397-08002B2CF9AE}" pid="5" name="ICV">
    <vt:lpwstr>F79C69169EBA433E8F078A77CF3C0C6C_13</vt:lpwstr>
  </property>
</Properties>
</file>