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黑体" w:hAnsi="黑体" w:eastAsia="黑体" w:cs="黑体"/>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黑体" w:hAnsi="黑体" w:eastAsia="黑体" w:cs="黑体"/>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方正小标宋简体" w:hAnsi="宋体" w:eastAsia="方正小标宋简体" w:cs="宋体"/>
          <w:color w:val="000000"/>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color w:val="000000"/>
          <w:kern w:val="0"/>
          <w:sz w:val="44"/>
          <w:szCs w:val="44"/>
          <w:lang w:val="en-US" w:eastAsia="zh-CN"/>
        </w:rPr>
      </w:pPr>
      <w:r>
        <w:rPr>
          <w:rFonts w:hint="eastAsia" w:ascii="方正小标宋简体" w:hAnsi="宋体" w:eastAsia="方正小标宋简体" w:cs="宋体"/>
          <w:color w:val="000000"/>
          <w:kern w:val="0"/>
          <w:sz w:val="44"/>
          <w:szCs w:val="44"/>
          <w:lang w:val="en-US" w:eastAsia="zh-CN"/>
        </w:rPr>
        <w:t>峄城区人民政府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202</w:t>
      </w:r>
      <w:r>
        <w:rPr>
          <w:rFonts w:hint="eastAsia" w:ascii="方正小标宋简体" w:hAnsi="宋体" w:eastAsia="方正小标宋简体" w:cs="宋体"/>
          <w:color w:val="000000"/>
          <w:kern w:val="0"/>
          <w:sz w:val="44"/>
          <w:szCs w:val="44"/>
          <w:lang w:val="en-US" w:eastAsia="zh-CN"/>
        </w:rPr>
        <w:t>3</w:t>
      </w:r>
      <w:r>
        <w:rPr>
          <w:rFonts w:hint="eastAsia" w:ascii="方正小标宋简体" w:hAnsi="宋体" w:eastAsia="方正小标宋简体" w:cs="宋体"/>
          <w:color w:val="000000"/>
          <w:kern w:val="0"/>
          <w:sz w:val="44"/>
          <w:szCs w:val="44"/>
        </w:rPr>
        <w:t>年政府信息公开工作年度报告</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黑体" w:eastAsia="仿宋_GB2312" w:cs="宋体"/>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根据《中华人民共和国政府信息公开条例》</w:t>
      </w:r>
      <w:r>
        <w:rPr>
          <w:rFonts w:hint="eastAsia" w:ascii="仿宋_GB2312" w:hAnsi="仿宋_GB2312" w:eastAsia="仿宋_GB2312" w:cs="仿宋_GB2312"/>
          <w:sz w:val="32"/>
          <w:szCs w:val="32"/>
          <w:u w:val="none"/>
          <w:lang w:eastAsia="zh-CN"/>
        </w:rPr>
        <w:t>（以下简称《条例》）</w:t>
      </w:r>
      <w:r>
        <w:rPr>
          <w:rFonts w:hint="eastAsia" w:ascii="仿宋_GB2312" w:hAnsi="仿宋_GB2312" w:eastAsia="仿宋_GB2312" w:cs="仿宋_GB2312"/>
          <w:sz w:val="32"/>
          <w:szCs w:val="32"/>
          <w:u w:val="none"/>
        </w:rPr>
        <w:t>规定和《国务院办公厅政府信息与政务公开办公室关于印发〈中华人民共和国政府信息公开工作年度报告格式〉的通知》（国办公开办函〔2021〕30号）要求，现发布《峄城区人民政府</w:t>
      </w:r>
      <w:r>
        <w:rPr>
          <w:rFonts w:hint="eastAsia" w:ascii="仿宋_GB2312" w:hAnsi="仿宋_GB2312" w:eastAsia="仿宋_GB2312" w:cs="仿宋_GB2312"/>
          <w:sz w:val="32"/>
          <w:szCs w:val="32"/>
          <w:u w:val="none"/>
          <w:lang w:eastAsia="zh-CN"/>
        </w:rPr>
        <w:t>202</w:t>
      </w: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年政府信息公开工作年度报告》。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52"/>
          <w:szCs w:val="52"/>
          <w:lang w:eastAsia="zh-CN"/>
        </w:rPr>
      </w:pPr>
      <w:r>
        <w:rPr>
          <w:rFonts w:hint="eastAsia" w:ascii="仿宋_GB2312" w:hAnsi="仿宋_GB2312" w:eastAsia="仿宋_GB2312" w:cs="仿宋_GB2312"/>
          <w:sz w:val="32"/>
          <w:szCs w:val="32"/>
          <w:u w:val="none"/>
        </w:rPr>
        <w:t>本报告所列数据统计期限自202</w:t>
      </w: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年1月1日起至20</w:t>
      </w:r>
      <w:r>
        <w:rPr>
          <w:rFonts w:hint="eastAsia" w:ascii="仿宋_GB2312" w:hAnsi="仿宋_GB2312" w:eastAsia="仿宋_GB2312" w:cs="仿宋_GB2312"/>
          <w:sz w:val="32"/>
          <w:szCs w:val="32"/>
          <w:u w:val="none"/>
          <w:lang w:val="en-US" w:eastAsia="zh-CN"/>
        </w:rPr>
        <w:t>23</w:t>
      </w:r>
      <w:r>
        <w:rPr>
          <w:rFonts w:hint="eastAsia" w:ascii="仿宋_GB2312" w:hAnsi="仿宋_GB2312" w:eastAsia="仿宋_GB2312" w:cs="仿宋_GB2312"/>
          <w:sz w:val="32"/>
          <w:szCs w:val="32"/>
          <w:u w:val="none"/>
        </w:rPr>
        <w:t>年12月31日止。报告电子版可在“</w:t>
      </w:r>
      <w:r>
        <w:rPr>
          <w:rFonts w:hint="eastAsia" w:ascii="仿宋_GB2312" w:hAnsi="仿宋_GB2312" w:eastAsia="仿宋_GB2312" w:cs="仿宋_GB2312"/>
          <w:sz w:val="32"/>
          <w:szCs w:val="32"/>
          <w:u w:val="none"/>
          <w:lang w:eastAsia="zh-CN"/>
        </w:rPr>
        <w:t>峄城区人民政府</w:t>
      </w:r>
      <w:r>
        <w:rPr>
          <w:rFonts w:hint="eastAsia" w:ascii="仿宋_GB2312" w:hAnsi="仿宋_GB2312" w:eastAsia="仿宋_GB2312" w:cs="仿宋_GB2312"/>
          <w:sz w:val="32"/>
          <w:szCs w:val="32"/>
          <w:u w:val="none"/>
        </w:rPr>
        <w:t>”门户网站（www.</w:t>
      </w:r>
      <w:r>
        <w:rPr>
          <w:rFonts w:hint="eastAsia" w:ascii="仿宋_GB2312" w:hAnsi="仿宋_GB2312" w:eastAsia="仿宋_GB2312" w:cs="仿宋_GB2312"/>
          <w:sz w:val="32"/>
          <w:szCs w:val="32"/>
          <w:u w:val="none"/>
          <w:lang w:val="en-US" w:eastAsia="zh-CN"/>
        </w:rPr>
        <w:t>ycq</w:t>
      </w:r>
      <w:r>
        <w:rPr>
          <w:rFonts w:hint="eastAsia" w:ascii="仿宋_GB2312" w:hAnsi="仿宋_GB2312" w:eastAsia="仿宋_GB2312" w:cs="仿宋_GB2312"/>
          <w:sz w:val="32"/>
          <w:szCs w:val="32"/>
          <w:u w:val="none"/>
        </w:rPr>
        <w:t>.gov.cn）下载。如对本报告有疑问，请与区政府办公室政务公开</w:t>
      </w:r>
      <w:r>
        <w:rPr>
          <w:rFonts w:hint="eastAsia" w:ascii="仿宋_GB2312" w:hAnsi="仿宋_GB2312" w:eastAsia="仿宋_GB2312" w:cs="仿宋_GB2312"/>
          <w:sz w:val="32"/>
          <w:szCs w:val="32"/>
          <w:u w:val="none"/>
          <w:lang w:eastAsia="zh-CN"/>
        </w:rPr>
        <w:t>室</w:t>
      </w:r>
      <w:r>
        <w:rPr>
          <w:rFonts w:hint="eastAsia" w:ascii="仿宋_GB2312" w:hAnsi="仿宋_GB2312" w:eastAsia="仿宋_GB2312" w:cs="仿宋_GB2312"/>
          <w:sz w:val="32"/>
          <w:szCs w:val="32"/>
          <w:u w:val="none"/>
        </w:rPr>
        <w:t>联系（地址：</w:t>
      </w:r>
      <w:r>
        <w:rPr>
          <w:rFonts w:hint="eastAsia" w:ascii="仿宋_GB2312" w:hAnsi="仿宋_GB2312" w:eastAsia="仿宋_GB2312" w:cs="仿宋_GB2312"/>
          <w:sz w:val="32"/>
          <w:szCs w:val="32"/>
          <w:u w:val="none"/>
          <w:lang w:eastAsia="zh-CN"/>
        </w:rPr>
        <w:t>峄城区坛山路</w:t>
      </w:r>
      <w:r>
        <w:rPr>
          <w:rFonts w:hint="eastAsia" w:ascii="仿宋_GB2312" w:hAnsi="仿宋_GB2312" w:eastAsia="仿宋_GB2312" w:cs="仿宋_GB2312"/>
          <w:sz w:val="32"/>
          <w:szCs w:val="32"/>
          <w:u w:val="none"/>
        </w:rPr>
        <w:t>166号，邮编</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2</w:t>
      </w:r>
      <w:r>
        <w:rPr>
          <w:rFonts w:hint="eastAsia" w:ascii="仿宋_GB2312" w:hAnsi="仿宋_GB2312" w:eastAsia="仿宋_GB2312" w:cs="仿宋_GB2312"/>
          <w:sz w:val="32"/>
          <w:szCs w:val="32"/>
          <w:u w:val="none"/>
          <w:lang w:val="en-US" w:eastAsia="zh-CN"/>
        </w:rPr>
        <w:t>77300</w:t>
      </w:r>
      <w:r>
        <w:rPr>
          <w:rFonts w:hint="eastAsia" w:ascii="仿宋_GB2312" w:hAnsi="仿宋_GB2312" w:eastAsia="仿宋_GB2312" w:cs="仿宋_GB2312"/>
          <w:sz w:val="32"/>
          <w:szCs w:val="32"/>
          <w:u w:val="none"/>
        </w:rPr>
        <w:t>，电话：</w:t>
      </w:r>
      <w:r>
        <w:rPr>
          <w:rFonts w:hint="eastAsia" w:ascii="仿宋_GB2312" w:hAnsi="仿宋_GB2312" w:eastAsia="仿宋_GB2312" w:cs="仿宋_GB2312"/>
          <w:sz w:val="32"/>
          <w:szCs w:val="32"/>
          <w:u w:val="none"/>
          <w:lang w:val="en-US" w:eastAsia="zh-CN"/>
        </w:rPr>
        <w:t>0632</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8079175</w:t>
      </w:r>
      <w:r>
        <w:rPr>
          <w:rFonts w:hint="eastAsia" w:ascii="仿宋_GB2312" w:hAnsi="仿宋_GB2312" w:eastAsia="仿宋_GB2312" w:cs="仿宋_GB2312"/>
          <w:sz w:val="32"/>
          <w:szCs w:val="32"/>
          <w:u w:val="none"/>
        </w:rPr>
        <w:t>，邮箱：</w:t>
      </w:r>
      <w:r>
        <w:rPr>
          <w:rFonts w:hint="eastAsia" w:ascii="仿宋_GB2312" w:hAnsi="仿宋_GB2312" w:eastAsia="仿宋_GB2312" w:cs="仿宋_GB2312"/>
          <w:color w:val="auto"/>
          <w:sz w:val="32"/>
          <w:szCs w:val="32"/>
          <w:u w:val="none"/>
          <w:lang w:val="en-US" w:eastAsia="zh-CN"/>
        </w:rPr>
        <w:t>yczwgk@zz.shandong.cn</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w:t>
      </w:r>
    </w:p>
    <w:p>
      <w:pPr>
        <w:pStyle w:val="2"/>
        <w:jc w:val="center"/>
        <w:rPr>
          <w:rFonts w:hint="eastAsia"/>
          <w:sz w:val="52"/>
          <w:szCs w:val="52"/>
          <w:highlight w:val="cyan"/>
          <w:lang w:eastAsia="zh-CN"/>
        </w:rPr>
      </w:pPr>
      <w:r>
        <w:rPr>
          <w:rFonts w:hint="eastAsia"/>
          <w:sz w:val="52"/>
          <w:szCs w:val="52"/>
          <w:highlight w:val="cyan"/>
          <w:lang w:eastAsia="zh-CN"/>
        </w:rPr>
        <w:drawing>
          <wp:inline distT="0" distB="0" distL="114300" distR="114300">
            <wp:extent cx="3805555" cy="2543175"/>
            <wp:effectExtent l="0" t="0" r="4445" b="9525"/>
            <wp:docPr id="6" name="图片 6" descr="发布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发布会"/>
                    <pic:cNvPicPr>
                      <a:picLocks noChangeAspect="1"/>
                    </pic:cNvPicPr>
                  </pic:nvPicPr>
                  <pic:blipFill>
                    <a:blip r:embed="rId6"/>
                    <a:stretch>
                      <a:fillRect/>
                    </a:stretch>
                  </pic:blipFill>
                  <pic:spPr>
                    <a:xfrm>
                      <a:off x="0" y="0"/>
                      <a:ext cx="3805555" cy="2543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一、总体情况</w:t>
      </w:r>
    </w:p>
    <w:p>
      <w:pPr>
        <w:pStyle w:val="8"/>
        <w:keepNext w:val="0"/>
        <w:keepLines w:val="0"/>
        <w:widowControl/>
        <w:suppressLineNumbers w:val="0"/>
        <w:spacing w:before="0" w:beforeAutospacing="1" w:after="0" w:afterAutospacing="0" w:line="605" w:lineRule="atLeast"/>
        <w:ind w:left="0" w:right="0" w:firstLine="634"/>
        <w:jc w:val="left"/>
        <w:rPr>
          <w:rFonts w:hint="eastAsia"/>
          <w:lang w:val="en-US" w:eastAsia="zh-CN"/>
        </w:rPr>
      </w:pPr>
      <w:r>
        <w:rPr>
          <w:rFonts w:hint="eastAsia" w:ascii="仿宋_GB2312" w:hAnsi="仿宋_GB2312" w:eastAsia="仿宋_GB2312" w:cs="仿宋_GB2312"/>
          <w:sz w:val="32"/>
          <w:szCs w:val="32"/>
          <w:highlight w:val="none"/>
          <w:u w:val="none"/>
          <w:lang w:eastAsia="zh-CN"/>
        </w:rPr>
        <w:t>202</w:t>
      </w:r>
      <w:r>
        <w:rPr>
          <w:rFonts w:hint="eastAsia" w:ascii="仿宋_GB2312" w:hAnsi="仿宋_GB2312" w:eastAsia="仿宋_GB2312" w:cs="仿宋_GB2312"/>
          <w:sz w:val="32"/>
          <w:szCs w:val="32"/>
          <w:highlight w:val="none"/>
          <w:u w:val="none"/>
          <w:lang w:val="en-US" w:eastAsia="zh-CN"/>
        </w:rPr>
        <w:t>3</w:t>
      </w:r>
      <w:r>
        <w:rPr>
          <w:rFonts w:hint="eastAsia" w:ascii="仿宋_GB2312" w:hAnsi="仿宋_GB2312" w:eastAsia="仿宋_GB2312" w:cs="仿宋_GB2312"/>
          <w:sz w:val="32"/>
          <w:szCs w:val="32"/>
          <w:highlight w:val="none"/>
          <w:u w:val="none"/>
        </w:rPr>
        <w:t>年，</w:t>
      </w:r>
      <w:r>
        <w:rPr>
          <w:rFonts w:hint="eastAsia" w:ascii="仿宋_GB2312" w:hAnsi="仿宋_GB2312" w:eastAsia="仿宋_GB2312" w:cs="仿宋_GB2312"/>
          <w:kern w:val="2"/>
          <w:sz w:val="32"/>
          <w:szCs w:val="32"/>
          <w:highlight w:val="none"/>
          <w:u w:val="none"/>
          <w:lang w:val="en-US" w:eastAsia="zh-CN" w:bidi="ar-SA"/>
        </w:rPr>
        <w:t>峄城区政府</w:t>
      </w:r>
      <w:r>
        <w:rPr>
          <w:rFonts w:hint="eastAsia" w:ascii="仿宋_GB2312" w:eastAsia="仿宋_GB2312" w:cs="仿宋_GB2312"/>
          <w:color w:val="000000"/>
          <w:sz w:val="32"/>
          <w:szCs w:val="32"/>
          <w:highlight w:val="none"/>
        </w:rPr>
        <w:t>深入落实党中央、国务院有关决策部署和省、市政府对政务公开工作的指示要求，</w:t>
      </w:r>
      <w:r>
        <w:rPr>
          <w:rFonts w:hint="eastAsia" w:ascii="仿宋_GB2312" w:eastAsia="仿宋_GB2312" w:cs="仿宋_GB2312"/>
          <w:color w:val="000000"/>
          <w:sz w:val="32"/>
          <w:szCs w:val="32"/>
          <w:highlight w:val="none"/>
          <w:lang w:eastAsia="zh-CN"/>
        </w:rPr>
        <w:t>着力推进</w:t>
      </w:r>
      <w:r>
        <w:rPr>
          <w:rFonts w:hint="eastAsia" w:ascii="仿宋_GB2312" w:hAnsi="仿宋_GB2312" w:eastAsia="仿宋_GB2312" w:cs="仿宋_GB2312"/>
          <w:kern w:val="2"/>
          <w:sz w:val="32"/>
          <w:szCs w:val="32"/>
          <w:highlight w:val="none"/>
          <w:u w:val="none"/>
          <w:lang w:val="en-US" w:eastAsia="zh-CN" w:bidi="ar-SA"/>
        </w:rPr>
        <w:t>政务公开与区域发展规划深度融合，以打造阳光政府、透明政府为目标，坚持公开公平公正的原则，强化政策解读、回应社会关切，切实维护政府公信力、保障群众知情权。优化政务公开基础设施建设，在</w:t>
      </w:r>
      <w:r>
        <w:rPr>
          <w:rFonts w:hint="eastAsia" w:ascii="仿宋_GB2312" w:eastAsia="仿宋_GB2312" w:cs="仿宋_GB2312"/>
          <w:color w:val="000000"/>
          <w:sz w:val="32"/>
          <w:szCs w:val="32"/>
          <w:highlight w:val="none"/>
        </w:rPr>
        <w:t>推进基层政务公开标准化、规范化</w:t>
      </w:r>
      <w:r>
        <w:rPr>
          <w:rFonts w:hint="eastAsia" w:ascii="仿宋_GB2312" w:eastAsia="仿宋_GB2312" w:cs="仿宋_GB2312"/>
          <w:color w:val="000000"/>
          <w:sz w:val="32"/>
          <w:szCs w:val="32"/>
          <w:highlight w:val="none"/>
          <w:lang w:eastAsia="zh-CN"/>
        </w:rPr>
        <w:t>方面，</w:t>
      </w:r>
      <w:r>
        <w:rPr>
          <w:rFonts w:hint="eastAsia" w:ascii="仿宋_GB2312" w:hAnsi="仿宋_GB2312" w:eastAsia="仿宋_GB2312" w:cs="仿宋_GB2312"/>
          <w:sz w:val="32"/>
          <w:szCs w:val="32"/>
          <w:highlight w:val="none"/>
          <w:u w:val="none"/>
          <w:lang w:val="en-US" w:eastAsia="zh-CN"/>
        </w:rPr>
        <w:t>取得了积极成效。</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56530" cy="2988310"/>
            <wp:effectExtent l="5080" t="4445" r="15240" b="1714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（一）主动公开方面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eastAsia="zh-CN"/>
        </w:rPr>
      </w:pPr>
      <w:r>
        <w:rPr>
          <w:rFonts w:hint="eastAsia" w:ascii="仿宋_GB2312" w:hAnsi="仿宋_GB2312" w:eastAsia="仿宋_GB2312" w:cs="仿宋_GB2312"/>
          <w:sz w:val="32"/>
          <w:szCs w:val="32"/>
          <w:u w:val="none"/>
          <w:lang w:val="en-US" w:eastAsia="zh-CN"/>
        </w:rPr>
        <w:t>依照《条例》的相关规定，</w:t>
      </w:r>
      <w:r>
        <w:rPr>
          <w:rFonts w:hint="eastAsia" w:ascii="仿宋_GB2312" w:eastAsia="仿宋_GB2312" w:cs="仿宋_GB2312"/>
          <w:color w:val="000000"/>
          <w:sz w:val="32"/>
          <w:szCs w:val="32"/>
        </w:rPr>
        <w:t>全</w:t>
      </w:r>
      <w:r>
        <w:rPr>
          <w:rFonts w:hint="eastAsia" w:ascii="仿宋_GB2312" w:eastAsia="仿宋_GB2312" w:cs="仿宋_GB2312"/>
          <w:sz w:val="32"/>
          <w:szCs w:val="32"/>
        </w:rPr>
        <w:t>年通过各类平台主动公开政府信息</w:t>
      </w:r>
      <w:r>
        <w:rPr>
          <w:rFonts w:hint="eastAsia" w:ascii="仿宋_GB2312" w:eastAsia="仿宋_GB2312" w:cs="仿宋_GB2312"/>
          <w:sz w:val="32"/>
          <w:szCs w:val="32"/>
          <w:lang w:val="en-US" w:eastAsia="zh-CN"/>
        </w:rPr>
        <w:t>9872</w:t>
      </w:r>
      <w:r>
        <w:rPr>
          <w:rFonts w:hint="eastAsia" w:ascii="仿宋_GB2312" w:eastAsia="仿宋_GB2312" w:cs="仿宋_GB2312"/>
          <w:sz w:val="32"/>
          <w:szCs w:val="32"/>
        </w:rPr>
        <w:t>条，通过区政府门户网站主动发布政府信息</w:t>
      </w:r>
      <w:r>
        <w:rPr>
          <w:rFonts w:hint="eastAsia" w:ascii="仿宋_GB2312" w:eastAsia="仿宋_GB2312" w:cs="仿宋_GB2312"/>
          <w:sz w:val="32"/>
          <w:szCs w:val="32"/>
          <w:lang w:val="en-US" w:eastAsia="zh-CN"/>
        </w:rPr>
        <w:t>3906</w:t>
      </w:r>
      <w:r>
        <w:rPr>
          <w:rFonts w:hint="eastAsia" w:ascii="仿宋_GB2312" w:eastAsia="仿宋_GB2312" w:cs="仿宋_GB2312"/>
          <w:sz w:val="32"/>
          <w:szCs w:val="32"/>
        </w:rPr>
        <w:t>条</w:t>
      </w:r>
      <w:r>
        <w:rPr>
          <w:rFonts w:hint="eastAsia" w:ascii="仿宋_GB2312" w:eastAsia="仿宋_GB2312" w:cs="仿宋_GB2312"/>
          <w:sz w:val="32"/>
          <w:szCs w:val="32"/>
          <w:lang w:eastAsia="zh-CN"/>
        </w:rPr>
        <w:t>，</w:t>
      </w:r>
      <w:r>
        <w:rPr>
          <w:rFonts w:hint="eastAsia" w:ascii="仿宋_GB2312" w:hAnsi="仿宋_GB2312" w:eastAsia="仿宋_GB2312" w:cs="仿宋_GB2312"/>
          <w:sz w:val="32"/>
          <w:szCs w:val="32"/>
          <w:u w:val="none"/>
          <w:lang w:val="en-US" w:eastAsia="zh-CN"/>
        </w:rPr>
        <w:t>主动公开政府印发公文</w:t>
      </w:r>
      <w:r>
        <w:rPr>
          <w:rFonts w:hint="eastAsia" w:ascii="仿宋_GB2312" w:hAnsi="仿宋_GB2312" w:eastAsia="仿宋_GB2312" w:cs="仿宋_GB2312"/>
          <w:sz w:val="32"/>
          <w:szCs w:val="32"/>
          <w:highlight w:val="none"/>
          <w:u w:val="none"/>
          <w:lang w:val="en-US" w:eastAsia="zh-CN"/>
        </w:rPr>
        <w:t>28</w:t>
      </w:r>
      <w:r>
        <w:rPr>
          <w:rFonts w:hint="eastAsia" w:ascii="仿宋_GB2312" w:hAnsi="仿宋_GB2312" w:eastAsia="仿宋_GB2312" w:cs="仿宋_GB2312"/>
          <w:sz w:val="32"/>
          <w:szCs w:val="32"/>
          <w:u w:val="none"/>
          <w:lang w:val="en-US" w:eastAsia="zh-CN"/>
        </w:rPr>
        <w:t>件，联合运用图文图表、音频、视频、媒体解读等方式发布政策解读51件，集中发布区级人大代表建议、政协委员提案办理结果163件，及时</w:t>
      </w:r>
      <w:r>
        <w:rPr>
          <w:rFonts w:hint="eastAsia" w:ascii="仿宋_GB2312" w:eastAsia="仿宋_GB2312" w:cs="仿宋_GB2312"/>
          <w:sz w:val="32"/>
          <w:szCs w:val="32"/>
        </w:rPr>
        <w:t>发布区级政策文件</w:t>
      </w:r>
      <w:r>
        <w:rPr>
          <w:rFonts w:hint="eastAsia" w:ascii="仿宋_GB2312" w:eastAsia="仿宋_GB2312" w:cs="仿宋_GB2312"/>
          <w:sz w:val="32"/>
          <w:szCs w:val="32"/>
          <w:lang w:eastAsia="zh-CN"/>
        </w:rPr>
        <w:t>等。</w:t>
      </w:r>
      <w:r>
        <w:rPr>
          <w:rFonts w:hint="eastAsia" w:ascii="仿宋_GB2312" w:eastAsia="仿宋_GB2312"/>
          <w:sz w:val="32"/>
          <w:szCs w:val="32"/>
        </w:rPr>
        <w:t>进一步加强政策</w:t>
      </w:r>
      <w:r>
        <w:rPr>
          <w:rFonts w:hint="eastAsia" w:ascii="仿宋_GB2312" w:eastAsia="仿宋_GB2312"/>
          <w:sz w:val="32"/>
          <w:szCs w:val="32"/>
          <w:lang w:eastAsia="zh-CN"/>
        </w:rPr>
        <w:t>解读</w:t>
      </w:r>
      <w:r>
        <w:rPr>
          <w:rFonts w:hint="eastAsia" w:ascii="仿宋_GB2312" w:eastAsia="仿宋_GB2312"/>
          <w:sz w:val="32"/>
          <w:szCs w:val="32"/>
        </w:rPr>
        <w:t>，响应公众需求，推出“</w:t>
      </w:r>
      <w:r>
        <w:rPr>
          <w:rFonts w:hint="eastAsia" w:ascii="仿宋_GB2312" w:eastAsia="仿宋_GB2312"/>
          <w:sz w:val="32"/>
          <w:szCs w:val="32"/>
          <w:lang w:eastAsia="zh-CN"/>
        </w:rPr>
        <w:t>政策超市</w:t>
      </w:r>
      <w:r>
        <w:rPr>
          <w:rFonts w:hint="eastAsia" w:ascii="仿宋_GB2312" w:eastAsia="仿宋_GB2312"/>
          <w:sz w:val="32"/>
          <w:szCs w:val="32"/>
        </w:rPr>
        <w:t>”</w:t>
      </w:r>
      <w:r>
        <w:rPr>
          <w:rFonts w:hint="eastAsia" w:ascii="仿宋_GB2312" w:eastAsia="仿宋_GB2312"/>
          <w:sz w:val="32"/>
          <w:szCs w:val="32"/>
          <w:lang w:eastAsia="zh-CN"/>
        </w:rPr>
        <w:t>、“新品发布会”</w:t>
      </w:r>
      <w:r>
        <w:rPr>
          <w:rFonts w:hint="eastAsia" w:ascii="仿宋_GB2312" w:eastAsia="仿宋_GB2312"/>
          <w:sz w:val="32"/>
          <w:szCs w:val="32"/>
        </w:rPr>
        <w:t>等，做好政策公开和政策解读，打通</w:t>
      </w:r>
      <w:r>
        <w:rPr>
          <w:rFonts w:hint="eastAsia" w:ascii="仿宋_GB2312" w:eastAsia="仿宋_GB2312"/>
          <w:sz w:val="32"/>
          <w:szCs w:val="32"/>
          <w:lang w:eastAsia="zh-CN"/>
        </w:rPr>
        <w:t>区</w:t>
      </w:r>
      <w:r>
        <w:rPr>
          <w:rFonts w:hint="eastAsia" w:ascii="仿宋_GB2312" w:eastAsia="仿宋_GB2312"/>
          <w:sz w:val="32"/>
          <w:szCs w:val="32"/>
        </w:rPr>
        <w:t>政府服务社会群众、促进政务公开的“最后一公里”。常态化</w:t>
      </w:r>
      <w:r>
        <w:rPr>
          <w:rFonts w:hint="eastAsia" w:ascii="仿宋_GB2312" w:eastAsia="仿宋_GB2312"/>
          <w:sz w:val="32"/>
          <w:szCs w:val="32"/>
          <w:lang w:eastAsia="zh-CN"/>
        </w:rPr>
        <w:t>公开</w:t>
      </w:r>
      <w:r>
        <w:rPr>
          <w:rFonts w:hint="eastAsia" w:ascii="仿宋_GB2312" w:eastAsia="仿宋_GB2312" w:cs="仿宋_GB2312"/>
          <w:sz w:val="32"/>
          <w:szCs w:val="32"/>
        </w:rPr>
        <w:t>发布财政预决算、行政执法、科教文卫、食品安全、社会救助和福利、社会保险就业创业等方面信息，</w:t>
      </w:r>
      <w:r>
        <w:rPr>
          <w:rFonts w:hint="eastAsia" w:ascii="仿宋_GB2312" w:eastAsia="仿宋_GB2312"/>
          <w:sz w:val="32"/>
          <w:szCs w:val="32"/>
          <w:lang w:eastAsia="zh-CN"/>
        </w:rPr>
        <w:t>优化栏目设置，精准推送信息。通过邀请群众代表列席政府常务会议</w:t>
      </w:r>
      <w:r>
        <w:rPr>
          <w:rFonts w:hint="eastAsia" w:ascii="仿宋_GB2312" w:eastAsia="仿宋_GB2312"/>
          <w:sz w:val="32"/>
          <w:szCs w:val="32"/>
          <w:lang w:val="en-US" w:eastAsia="zh-CN"/>
        </w:rPr>
        <w:t>1次</w:t>
      </w:r>
      <w:r>
        <w:rPr>
          <w:rFonts w:hint="eastAsia" w:ascii="仿宋_GB2312" w:eastAsia="仿宋_GB2312"/>
          <w:sz w:val="32"/>
          <w:szCs w:val="32"/>
          <w:lang w:eastAsia="zh-CN"/>
        </w:rPr>
        <w:t>、积极组织政府开放活动</w:t>
      </w:r>
      <w:r>
        <w:rPr>
          <w:rFonts w:hint="eastAsia" w:ascii="仿宋_GB2312" w:eastAsia="仿宋_GB2312"/>
          <w:sz w:val="32"/>
          <w:szCs w:val="32"/>
          <w:lang w:val="en-US" w:eastAsia="zh-CN"/>
        </w:rPr>
        <w:t>15次、举办新闻发布会28次，主动回应群众关切，</w:t>
      </w:r>
      <w:r>
        <w:rPr>
          <w:rFonts w:hint="eastAsia" w:ascii="仿宋_GB2312" w:hAnsi="仿宋_GB2312" w:eastAsia="仿宋_GB2312" w:cs="仿宋_GB2312"/>
          <w:b w:val="0"/>
          <w:i w:val="0"/>
          <w:snapToGrid/>
          <w:color w:val="000000"/>
          <w:sz w:val="32"/>
          <w:szCs w:val="32"/>
          <w:lang w:eastAsia="zh-CN"/>
        </w:rPr>
        <w:t>促进政民互动。</w:t>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4885690" cy="2769870"/>
            <wp:effectExtent l="4445" t="4445" r="5715" b="698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i w:val="0"/>
          <w:snapToGrid/>
          <w:color w:val="000000"/>
          <w:sz w:val="32"/>
          <w:szCs w:val="32"/>
          <w:lang w:val="en-US" w:eastAsia="zh-CN"/>
        </w:rPr>
      </w:pPr>
      <w:r>
        <w:rPr>
          <w:rFonts w:hint="eastAsia" w:ascii="楷体_GB2312" w:hAnsi="楷体_GB2312" w:eastAsia="楷体_GB2312" w:cs="楷体_GB2312"/>
          <w:color w:val="000000"/>
          <w:sz w:val="32"/>
          <w:szCs w:val="32"/>
          <w:u w:val="none"/>
          <w:lang w:eastAsia="zh-CN"/>
        </w:rPr>
        <w:t>（二）依申请公开方面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严格按照《条例》，把依申请公开工作作为保障公众知情权的重要手段，畅通依申请公开工作渠道，优化办理流程，不断推动依申请公开规范化、高效化、便捷化。加强申请双方、部门之间的沟通联系，认真讨论、细致研究后形成答复意见，在规定的20个工作日内完成答复书，提升答复的专业性和准确度。2023年收到申请28件，当年度全部按时答复，其中:予以公开及部分公开14件，占50%;因本机关不掌握原因无法提供7件，占25%；因属于内部工作流程、特殊规定等原因不予公开7件，占25%。从申请主体看，自然人申请27件，商业企业申请1件。从申请内容看，较为集中在土地征收房屋征收、城乡规划等事项。没有出现因政府信息公开被纠错以及行政复议、诉讼等情况。</w:t>
      </w:r>
    </w:p>
    <w:p>
      <w:pPr>
        <w:pStyle w:val="2"/>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95900" cy="3314700"/>
            <wp:effectExtent l="0" t="0" r="0" b="0"/>
            <wp:docPr id="1" name="图片 1" descr="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饼状图"/>
                    <pic:cNvPicPr>
                      <a:picLocks noChangeAspect="1"/>
                    </pic:cNvPicPr>
                  </pic:nvPicPr>
                  <pic:blipFill>
                    <a:blip r:embed="rId9"/>
                    <a:stretch>
                      <a:fillRect/>
                    </a:stretch>
                  </pic:blipFill>
                  <pic:spPr>
                    <a:xfrm>
                      <a:off x="0" y="0"/>
                      <a:ext cx="5295900" cy="3314700"/>
                    </a:xfrm>
                    <a:prstGeom prst="rect">
                      <a:avLst/>
                    </a:prstGeom>
                  </pic:spPr>
                </pic:pic>
              </a:graphicData>
            </a:graphic>
          </wp:inline>
        </w:drawing>
      </w:r>
    </w:p>
    <w:p>
      <w:pPr>
        <w:rPr>
          <w:rFonts w:hint="eastAsia"/>
          <w:lang w:val="en-US" w:eastAsia="zh-CN"/>
        </w:rPr>
      </w:pPr>
    </w:p>
    <w:p>
      <w:pPr>
        <w:rPr>
          <w:rFonts w:hint="eastAsia"/>
          <w:lang w:val="en-US" w:eastAsia="zh-CN"/>
        </w:rPr>
      </w:pPr>
    </w:p>
    <w:p>
      <w:pPr>
        <w:tabs>
          <w:tab w:val="left" w:pos="3004"/>
        </w:tabs>
        <w:rPr>
          <w:rFonts w:hint="eastAsia"/>
          <w:lang w:val="en-US" w:eastAsia="zh-CN"/>
        </w:rPr>
      </w:pPr>
      <w:r>
        <w:rPr>
          <w:rFonts w:hint="eastAsia"/>
          <w:lang w:val="en-US" w:eastAsia="zh-CN"/>
        </w:rPr>
        <w:tab/>
      </w:r>
    </w:p>
    <w:p>
      <w:pPr>
        <w:jc w:val="center"/>
        <w:rPr>
          <w:rFonts w:hint="eastAsia"/>
          <w:lang w:val="en-US" w:eastAsia="zh-CN"/>
        </w:rPr>
      </w:pPr>
      <w:r>
        <w:rPr>
          <w:rFonts w:hint="eastAsia"/>
          <w:lang w:val="en-US" w:eastAsia="zh-CN"/>
        </w:rPr>
        <w:drawing>
          <wp:inline distT="0" distB="0" distL="114300" distR="114300">
            <wp:extent cx="3919220" cy="3665855"/>
            <wp:effectExtent l="0" t="0" r="0" b="0"/>
            <wp:docPr id="8" name="图片 8" descr="峄城区人民政府信息公开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峄城区人民政府信息公开首页"/>
                    <pic:cNvPicPr>
                      <a:picLocks noChangeAspect="1"/>
                    </pic:cNvPicPr>
                  </pic:nvPicPr>
                  <pic:blipFill>
                    <a:blip r:embed="rId10"/>
                    <a:srcRect l="15447" t="28871" r="14608" b="20252"/>
                    <a:stretch>
                      <a:fillRect/>
                    </a:stretch>
                  </pic:blipFill>
                  <pic:spPr>
                    <a:xfrm>
                      <a:off x="0" y="0"/>
                      <a:ext cx="3919220" cy="3665855"/>
                    </a:xfrm>
                    <a:prstGeom prst="rect">
                      <a:avLst/>
                    </a:prstGeom>
                  </pic:spPr>
                </pic:pic>
              </a:graphicData>
            </a:graphic>
          </wp:inline>
        </w:drawing>
      </w:r>
    </w:p>
    <w:p>
      <w:pPr>
        <w:pStyle w:val="2"/>
        <w:jc w:val="both"/>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（三）政府信息管理方面</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黑体" w:eastAsia="仿宋_GB2312" w:cs="宋体"/>
          <w:color w:val="000000"/>
          <w:kern w:val="0"/>
          <w:sz w:val="32"/>
          <w:szCs w:val="32"/>
          <w:lang w:eastAsia="zh-CN"/>
        </w:rPr>
      </w:pPr>
      <w:r>
        <w:rPr>
          <w:rFonts w:hint="eastAsia" w:ascii="仿宋_GB2312" w:hAnsi="仿宋_GB2312" w:eastAsia="仿宋_GB2312" w:cs="仿宋_GB2312"/>
          <w:sz w:val="32"/>
          <w:szCs w:val="32"/>
          <w:lang w:eastAsia="zh-CN"/>
        </w:rPr>
        <w:t>更新完善</w:t>
      </w:r>
      <w:r>
        <w:rPr>
          <w:rFonts w:hint="eastAsia" w:ascii="仿宋_GB2312" w:hAnsi="仿宋_GB2312" w:eastAsia="仿宋_GB2312" w:cs="仿宋_GB2312"/>
          <w:sz w:val="32"/>
          <w:szCs w:val="32"/>
        </w:rPr>
        <w:t>基层政务公开标准目录</w:t>
      </w:r>
      <w:r>
        <w:rPr>
          <w:rFonts w:hint="eastAsia" w:ascii="仿宋_GB2312" w:hAnsi="仿宋_GB2312" w:eastAsia="仿宋_GB2312" w:cs="仿宋_GB2312"/>
          <w:sz w:val="32"/>
          <w:szCs w:val="32"/>
          <w:lang w:eastAsia="zh-CN"/>
        </w:rPr>
        <w:t>，按季度下发政务公开工作要点，畅通信息发布渠道。</w:t>
      </w:r>
      <w:r>
        <w:rPr>
          <w:rFonts w:hint="eastAsia" w:ascii="Times New Roman" w:hAnsi="Times New Roman" w:eastAsia="仿宋" w:cs="楷体"/>
          <w:sz w:val="32"/>
          <w:szCs w:val="32"/>
          <w:lang w:eastAsia="zh-CN"/>
        </w:rPr>
        <w:t>按照</w:t>
      </w:r>
      <w:r>
        <w:rPr>
          <w:rFonts w:hint="eastAsia" w:ascii="仿宋_GB2312" w:hAnsi="黑体" w:eastAsia="仿宋_GB2312" w:cs="宋体"/>
          <w:color w:val="000000"/>
          <w:kern w:val="0"/>
          <w:sz w:val="32"/>
          <w:szCs w:val="32"/>
          <w:lang w:eastAsia="zh-CN"/>
        </w:rPr>
        <w:t>“谁起草、谁认定、谁公开、谁负责”的原则，</w:t>
      </w:r>
      <w:r>
        <w:rPr>
          <w:rFonts w:hint="eastAsia" w:ascii="仿宋_GB2312" w:hAnsi="黑体" w:eastAsia="仿宋_GB2312" w:cs="宋体"/>
          <w:color w:val="000000"/>
          <w:kern w:val="0"/>
          <w:sz w:val="32"/>
          <w:szCs w:val="32"/>
          <w:lang w:val="en-US" w:eastAsia="zh-CN"/>
        </w:rPr>
        <w:t>2023年公开政府文件28件，</w:t>
      </w:r>
      <w:r>
        <w:rPr>
          <w:rFonts w:hint="eastAsia" w:ascii="仿宋_GB2312" w:hAnsi="黑体" w:eastAsia="仿宋_GB2312" w:cs="宋体"/>
          <w:color w:val="000000"/>
          <w:kern w:val="0"/>
          <w:sz w:val="32"/>
          <w:szCs w:val="32"/>
          <w:lang w:eastAsia="zh-CN"/>
        </w:rPr>
        <w:t>切实做到政策文件应公开尽公开。持续更新现行有效的行政规范性文件并做好定期清理工作，</w:t>
      </w:r>
      <w:r>
        <w:rPr>
          <w:rFonts w:hint="eastAsia" w:ascii="仿宋_GB2312" w:hAnsi="黑体" w:eastAsia="仿宋_GB2312" w:cs="宋体"/>
          <w:color w:val="000000"/>
          <w:kern w:val="0"/>
          <w:sz w:val="32"/>
          <w:szCs w:val="32"/>
          <w:lang w:val="en-US" w:eastAsia="zh-CN"/>
        </w:rPr>
        <w:t>2023年</w:t>
      </w:r>
      <w:r>
        <w:rPr>
          <w:rFonts w:hint="eastAsia" w:ascii="仿宋_GB2312" w:hAnsi="黑体" w:eastAsia="仿宋_GB2312" w:cs="宋体"/>
          <w:color w:val="000000"/>
          <w:kern w:val="0"/>
          <w:sz w:val="32"/>
          <w:szCs w:val="32"/>
          <w:lang w:eastAsia="zh-CN"/>
        </w:rPr>
        <w:t>审议签发区级规范性文件</w:t>
      </w:r>
      <w:r>
        <w:rPr>
          <w:rFonts w:hint="eastAsia" w:ascii="仿宋_GB2312" w:hAnsi="黑体" w:eastAsia="仿宋_GB2312" w:cs="宋体"/>
          <w:color w:val="000000"/>
          <w:kern w:val="0"/>
          <w:sz w:val="32"/>
          <w:szCs w:val="32"/>
          <w:lang w:val="en-US" w:eastAsia="zh-CN"/>
        </w:rPr>
        <w:t>1件，</w:t>
      </w:r>
      <w:r>
        <w:rPr>
          <w:rFonts w:hint="eastAsia" w:ascii="仿宋_GB2312" w:hAnsi="黑体" w:eastAsia="仿宋_GB2312" w:cs="宋体"/>
          <w:color w:val="000000"/>
          <w:kern w:val="0"/>
          <w:sz w:val="32"/>
          <w:szCs w:val="32"/>
          <w:lang w:eastAsia="zh-CN"/>
        </w:rPr>
        <w:t>撤销失效文件</w:t>
      </w:r>
      <w:r>
        <w:rPr>
          <w:rFonts w:hint="eastAsia" w:ascii="仿宋_GB2312" w:hAnsi="黑体" w:eastAsia="仿宋_GB2312" w:cs="宋体"/>
          <w:color w:val="000000"/>
          <w:kern w:val="0"/>
          <w:sz w:val="32"/>
          <w:szCs w:val="32"/>
          <w:lang w:val="en-US" w:eastAsia="zh-CN"/>
        </w:rPr>
        <w:t>9件，目前现行有效的行政规范性文件共计18件，已统一在区政府门户网站公开。严格落实《保守国家秘密法》有关要求，</w:t>
      </w:r>
      <w:r>
        <w:rPr>
          <w:rFonts w:hint="eastAsia" w:ascii="仿宋_GB2312" w:hAnsi="黑体" w:eastAsia="仿宋_GB2312" w:cs="宋体"/>
          <w:color w:val="000000"/>
          <w:kern w:val="0"/>
          <w:sz w:val="32"/>
          <w:szCs w:val="32"/>
          <w:lang w:eastAsia="zh-CN"/>
        </w:rPr>
        <w:t>不断完善政府信息公开保密审查制度，加强信息发布保密审查，科学合理确定公开方式，做到严格审核、精准发布，全力做好政府信息公开保障。</w:t>
      </w:r>
    </w:p>
    <w:p>
      <w:pPr>
        <w:pStyle w:val="3"/>
        <w:jc w:val="center"/>
        <w:rPr>
          <w:rFonts w:hint="eastAsia"/>
          <w:sz w:val="48"/>
          <w:szCs w:val="48"/>
          <w:highlight w:val="cyan"/>
          <w:lang w:eastAsia="zh-CN"/>
        </w:rPr>
      </w:pPr>
    </w:p>
    <w:p>
      <w:pPr>
        <w:pStyle w:val="3"/>
        <w:jc w:val="center"/>
        <w:rPr>
          <w:rFonts w:hint="eastAsia"/>
          <w:sz w:val="48"/>
          <w:szCs w:val="48"/>
          <w:highlight w:val="cyan"/>
          <w:lang w:eastAsia="zh-CN"/>
        </w:rPr>
      </w:pPr>
      <w:r>
        <w:rPr>
          <w:rFonts w:hint="eastAsia"/>
          <w:sz w:val="48"/>
          <w:szCs w:val="48"/>
          <w:highlight w:val="cyan"/>
          <w:lang w:eastAsia="zh-CN"/>
        </w:rPr>
        <w:drawing>
          <wp:inline distT="0" distB="0" distL="114300" distR="114300">
            <wp:extent cx="5607050" cy="1532890"/>
            <wp:effectExtent l="0" t="0" r="12700" b="10160"/>
            <wp:docPr id="9" name="图片 9" descr="无障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障碍"/>
                    <pic:cNvPicPr>
                      <a:picLocks noChangeAspect="1"/>
                    </pic:cNvPicPr>
                  </pic:nvPicPr>
                  <pic:blipFill>
                    <a:blip r:embed="rId11"/>
                    <a:stretch>
                      <a:fillRect/>
                    </a:stretch>
                  </pic:blipFill>
                  <pic:spPr>
                    <a:xfrm>
                      <a:off x="0" y="0"/>
                      <a:ext cx="5607050" cy="1532890"/>
                    </a:xfrm>
                    <a:prstGeom prst="rect">
                      <a:avLst/>
                    </a:prstGeom>
                  </pic:spPr>
                </pic:pic>
              </a:graphicData>
            </a:graphic>
          </wp:inline>
        </w:drawing>
      </w:r>
    </w:p>
    <w:p>
      <w:pPr>
        <w:rPr>
          <w:rFonts w:hint="eastAsia"/>
          <w:lang w:eastAsia="zh-CN"/>
        </w:rPr>
      </w:pPr>
    </w:p>
    <w:p>
      <w:pPr>
        <w:jc w:val="center"/>
        <w:rPr>
          <w:rFonts w:hint="eastAsia"/>
          <w:lang w:eastAsia="zh-CN"/>
        </w:rPr>
      </w:pPr>
      <w:r>
        <w:rPr>
          <w:rFonts w:hint="eastAsia"/>
          <w:lang w:eastAsia="zh-CN"/>
        </w:rPr>
        <w:drawing>
          <wp:inline distT="0" distB="0" distL="114300" distR="114300">
            <wp:extent cx="4321810" cy="3241040"/>
            <wp:effectExtent l="0" t="0" r="2540" b="16510"/>
            <wp:docPr id="11" name="图片 11" descr="阴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阴平1"/>
                    <pic:cNvPicPr>
                      <a:picLocks noChangeAspect="1"/>
                    </pic:cNvPicPr>
                  </pic:nvPicPr>
                  <pic:blipFill>
                    <a:blip r:embed="rId12"/>
                    <a:stretch>
                      <a:fillRect/>
                    </a:stretch>
                  </pic:blipFill>
                  <pic:spPr>
                    <a:xfrm>
                      <a:off x="0" y="0"/>
                      <a:ext cx="4321810" cy="324104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10" w:leftChars="0" w:firstLine="640" w:firstLineChars="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政府信息公开平台建设方面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lang w:eastAsia="zh-CN"/>
        </w:rPr>
      </w:pPr>
      <w:r>
        <w:rPr>
          <w:rFonts w:hint="eastAsia" w:ascii="仿宋_GB2312" w:hAnsi="仿宋_GB2312" w:eastAsia="仿宋_GB2312" w:cs="仿宋_GB2312"/>
          <w:sz w:val="32"/>
          <w:szCs w:val="32"/>
          <w:lang w:val="en-US" w:eastAsia="zh-CN"/>
        </w:rPr>
        <w:t>利用区政府门户网站、政府信息公开专栏、“峄城政务”等政务平台，及时发布政务信息，确保信息规范、完整、清晰、准确地向社会公开。</w:t>
      </w:r>
      <w:r>
        <w:rPr>
          <w:rFonts w:hint="eastAsia" w:ascii="仿宋_GB2312" w:hAnsi="仿宋_GB2312" w:eastAsia="仿宋_GB2312" w:cs="仿宋_GB2312"/>
          <w:sz w:val="32"/>
          <w:szCs w:val="32"/>
        </w:rPr>
        <w:t>整合区政府门户网站、网上办事大厅资源，</w:t>
      </w:r>
      <w:r>
        <w:rPr>
          <w:rFonts w:hint="eastAsia" w:ascii="仿宋_GB2312" w:hAnsi="仿宋_GB2312" w:eastAsia="仿宋_GB2312" w:cs="仿宋_GB2312"/>
          <w:sz w:val="32"/>
          <w:szCs w:val="32"/>
          <w:lang w:eastAsia="zh-CN"/>
        </w:rPr>
        <w:t>建设区级</w:t>
      </w:r>
      <w:r>
        <w:rPr>
          <w:rFonts w:hint="eastAsia" w:ascii="仿宋_GB2312" w:eastAsia="仿宋_GB2312" w:cs="仿宋_GB2312"/>
          <w:color w:val="000000"/>
          <w:sz w:val="32"/>
          <w:szCs w:val="32"/>
          <w:lang w:eastAsia="zh-CN"/>
        </w:rPr>
        <w:t>政府信息公开查阅场所和示范专区</w:t>
      </w:r>
      <w:r>
        <w:rPr>
          <w:rFonts w:hint="eastAsia" w:ascii="仿宋_GB2312" w:eastAsia="仿宋_GB2312" w:cs="仿宋_GB2312"/>
          <w:color w:val="000000"/>
          <w:sz w:val="32"/>
          <w:szCs w:val="32"/>
        </w:rPr>
        <w:t>，</w:t>
      </w:r>
      <w:r>
        <w:rPr>
          <w:rFonts w:hint="eastAsia" w:ascii="仿宋_GB2312" w:eastAsia="仿宋_GB2312" w:cs="仿宋_GB2312"/>
          <w:sz w:val="32"/>
          <w:szCs w:val="32"/>
        </w:rPr>
        <w:t>增强</w:t>
      </w:r>
      <w:r>
        <w:rPr>
          <w:rFonts w:hint="eastAsia" w:ascii="仿宋_GB2312" w:eastAsia="仿宋_GB2312" w:cs="仿宋_GB2312"/>
          <w:sz w:val="32"/>
          <w:szCs w:val="32"/>
          <w:lang w:eastAsia="zh-CN"/>
        </w:rPr>
        <w:t>了</w:t>
      </w:r>
      <w:r>
        <w:rPr>
          <w:rFonts w:hint="eastAsia" w:ascii="仿宋_GB2312" w:eastAsia="仿宋_GB2312" w:cs="仿宋_GB2312"/>
          <w:sz w:val="32"/>
          <w:szCs w:val="32"/>
        </w:rPr>
        <w:t>线</w:t>
      </w:r>
      <w:r>
        <w:rPr>
          <w:rFonts w:hint="eastAsia" w:ascii="仿宋_GB2312" w:eastAsia="仿宋_GB2312" w:cs="仿宋_GB2312"/>
          <w:sz w:val="32"/>
          <w:szCs w:val="32"/>
          <w:lang w:eastAsia="zh-CN"/>
        </w:rPr>
        <w:t>下</w:t>
      </w:r>
      <w:r>
        <w:rPr>
          <w:rFonts w:hint="eastAsia" w:ascii="仿宋_GB2312" w:eastAsia="仿宋_GB2312" w:cs="仿宋_GB2312"/>
          <w:sz w:val="32"/>
          <w:szCs w:val="32"/>
        </w:rPr>
        <w:t>公开实效。</w:t>
      </w:r>
      <w:r>
        <w:rPr>
          <w:rFonts w:hint="eastAsia" w:ascii="仿宋_GB2312" w:eastAsia="仿宋_GB2312" w:cs="仿宋_GB2312"/>
          <w:sz w:val="32"/>
          <w:szCs w:val="32"/>
          <w:lang w:eastAsia="zh-CN"/>
        </w:rPr>
        <w:t>推动</w:t>
      </w:r>
      <w:r>
        <w:rPr>
          <w:rFonts w:hint="eastAsia" w:ascii="仿宋_GB2312" w:eastAsia="仿宋_GB2312" w:cs="仿宋_GB2312"/>
          <w:color w:val="000000"/>
          <w:sz w:val="32"/>
          <w:szCs w:val="32"/>
          <w:lang w:eastAsia="zh-CN"/>
        </w:rPr>
        <w:t>多个基层政务公开标准化规范化专区建成，其中</w:t>
      </w:r>
      <w:r>
        <w:rPr>
          <w:rFonts w:hint="eastAsia" w:ascii="仿宋_GB2312" w:eastAsia="仿宋_GB2312" w:cs="仿宋_GB2312"/>
          <w:color w:val="000000"/>
          <w:sz w:val="32"/>
          <w:szCs w:val="32"/>
        </w:rPr>
        <w:t>阴平镇</w:t>
      </w:r>
      <w:r>
        <w:rPr>
          <w:rFonts w:hint="eastAsia" w:ascii="仿宋_GB2312" w:eastAsia="仿宋_GB2312" w:cs="仿宋_GB2312"/>
          <w:color w:val="000000"/>
          <w:sz w:val="32"/>
          <w:szCs w:val="32"/>
          <w:lang w:eastAsia="zh-CN"/>
        </w:rPr>
        <w:t>高质量</w:t>
      </w:r>
      <w:r>
        <w:rPr>
          <w:rFonts w:hint="eastAsia" w:ascii="仿宋_GB2312" w:eastAsia="仿宋_GB2312" w:cs="仿宋_GB2312"/>
          <w:sz w:val="32"/>
          <w:szCs w:val="32"/>
        </w:rPr>
        <w:t>高标准</w:t>
      </w:r>
      <w:r>
        <w:rPr>
          <w:rFonts w:hint="eastAsia" w:ascii="仿宋_GB2312" w:eastAsia="仿宋_GB2312" w:cs="仿宋_GB2312"/>
          <w:sz w:val="32"/>
          <w:szCs w:val="32"/>
          <w:lang w:eastAsia="zh-CN"/>
        </w:rPr>
        <w:t>率先</w:t>
      </w:r>
      <w:r>
        <w:rPr>
          <w:rFonts w:hint="eastAsia" w:ascii="仿宋_GB2312" w:eastAsia="仿宋_GB2312" w:cs="仿宋_GB2312"/>
          <w:sz w:val="32"/>
          <w:szCs w:val="32"/>
        </w:rPr>
        <w:t>完成任务，</w:t>
      </w:r>
      <w:r>
        <w:rPr>
          <w:rFonts w:hint="eastAsia" w:ascii="仿宋_GB2312" w:eastAsia="仿宋_GB2312" w:cs="仿宋_GB2312"/>
          <w:sz w:val="32"/>
          <w:szCs w:val="32"/>
          <w:lang w:eastAsia="zh-CN"/>
        </w:rPr>
        <w:t>提高了</w:t>
      </w:r>
      <w:r>
        <w:rPr>
          <w:rFonts w:hint="eastAsia" w:ascii="仿宋_GB2312" w:eastAsia="仿宋_GB2312" w:cs="仿宋_GB2312"/>
          <w:sz w:val="32"/>
          <w:szCs w:val="32"/>
        </w:rPr>
        <w:t>镇村政务公开水平</w:t>
      </w:r>
      <w:r>
        <w:rPr>
          <w:rFonts w:hint="eastAsia" w:ascii="仿宋_GB2312" w:eastAsia="仿宋_GB2312" w:cs="仿宋_GB2312"/>
          <w:sz w:val="32"/>
          <w:szCs w:val="32"/>
          <w:lang w:eastAsia="zh-CN"/>
        </w:rPr>
        <w:t>。</w:t>
      </w:r>
      <w:r>
        <w:rPr>
          <w:rFonts w:hint="eastAsia" w:ascii="仿宋_GB2312" w:hAnsi="仿宋_GB2312" w:eastAsia="仿宋_GB2312" w:cs="仿宋_GB2312"/>
          <w:sz w:val="32"/>
          <w:szCs w:val="32"/>
          <w:lang w:eastAsia="zh-CN"/>
        </w:rPr>
        <w:t>区政府门户网站</w:t>
      </w:r>
      <w:r>
        <w:rPr>
          <w:rFonts w:hint="eastAsia" w:ascii="仿宋_GB2312" w:eastAsia="仿宋_GB2312" w:cs="仿宋_GB2312"/>
          <w:sz w:val="32"/>
          <w:szCs w:val="32"/>
          <w:lang w:eastAsia="zh-CN"/>
        </w:rPr>
        <w:t>优化了政府文件检索功能和“无障碍”适老化功能，方便群众进行目录导航和文件检索，常态化</w:t>
      </w:r>
      <w:r>
        <w:rPr>
          <w:rFonts w:hint="eastAsia" w:ascii="仿宋_GB2312" w:hAnsi="仿宋_GB2312" w:eastAsia="仿宋_GB2312" w:cs="仿宋_GB2312"/>
          <w:sz w:val="32"/>
          <w:szCs w:val="32"/>
          <w:lang w:val="en-US" w:eastAsia="zh-CN"/>
        </w:rPr>
        <w:t>做好《峄城区人民政府公报》编发，累计出版41期，定期向市民中心、公共场所等免费赠阅，</w:t>
      </w:r>
      <w:r>
        <w:rPr>
          <w:rFonts w:hint="eastAsia" w:ascii="仿宋_GB2312" w:eastAsia="仿宋_GB2312" w:cs="仿宋_GB2312"/>
          <w:sz w:val="32"/>
          <w:szCs w:val="32"/>
          <w:lang w:eastAsia="zh-CN"/>
        </w:rPr>
        <w:t>做到线上线下及时同步。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仿宋_GB2312" w:hAnsi="仿宋_GB2312" w:eastAsia="仿宋_GB2312" w:cs="仿宋_GB2312"/>
          <w:sz w:val="32"/>
          <w:szCs w:val="32"/>
          <w:lang w:eastAsia="zh-CN"/>
        </w:rPr>
        <w:drawing>
          <wp:inline distT="0" distB="0" distL="114300" distR="114300">
            <wp:extent cx="4427220" cy="3323590"/>
            <wp:effectExtent l="0" t="0" r="11430" b="10160"/>
            <wp:docPr id="4" name="图片 4" descr="a0122e9bec5c07b6e794e53c96c8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122e9bec5c07b6e794e53c96c8ac9"/>
                    <pic:cNvPicPr>
                      <a:picLocks noChangeAspect="1"/>
                    </pic:cNvPicPr>
                  </pic:nvPicPr>
                  <pic:blipFill>
                    <a:blip r:embed="rId13"/>
                    <a:stretch>
                      <a:fillRect/>
                    </a:stretch>
                  </pic:blipFill>
                  <pic:spPr>
                    <a:xfrm>
                      <a:off x="0" y="0"/>
                      <a:ext cx="4427220" cy="332359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10" w:leftChars="0" w:firstLine="640" w:firstLineChars="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监督保障方面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按照省、市年度公开要点，</w:t>
      </w:r>
      <w:r>
        <w:rPr>
          <w:rFonts w:hint="eastAsia" w:ascii="仿宋_GB2312" w:hAnsi="仿宋_GB2312" w:eastAsia="仿宋_GB2312" w:cs="仿宋_GB2312"/>
          <w:color w:val="000000"/>
          <w:sz w:val="32"/>
          <w:szCs w:val="32"/>
          <w:lang w:val="en-US" w:eastAsia="zh-CN"/>
        </w:rPr>
        <w:t>印发《2023年峄城区政务公开工作要点》，明确年度重点目标和工作任务。一是继续发挥好考核指挥棒作用，将政务公开工作纳入区直部门高质量发展绩效考核中，制定考核指标和细则，常态化实施季度通报。二是根据各单位人员流动情况，将业务培训与高效办公相结合，及时调整政务公开领导小组成员，稳定工作队伍。三是坚持整理问题台账，及时解决各部门重难点问题，年内举行各类培训20余次，</w:t>
      </w:r>
      <w:r>
        <w:rPr>
          <w:rFonts w:hint="eastAsia" w:ascii="仿宋_GB2312" w:hAnsi="仿宋_GB2312" w:eastAsia="仿宋_GB2312" w:cs="仿宋_GB2312"/>
          <w:sz w:val="32"/>
          <w:szCs w:val="32"/>
          <w:u w:val="none"/>
          <w:lang w:val="en-US" w:eastAsia="zh-CN"/>
        </w:rPr>
        <w:t>对照国家、省级政务公开评估指标，认真梳理排查，全面提升，</w:t>
      </w:r>
      <w:r>
        <w:rPr>
          <w:rFonts w:hint="eastAsia" w:ascii="仿宋_GB2312" w:hAnsi="仿宋_GB2312" w:eastAsia="仿宋_GB2312" w:cs="仿宋_GB2312"/>
          <w:color w:val="000000"/>
          <w:sz w:val="32"/>
          <w:szCs w:val="32"/>
        </w:rPr>
        <w:t>实现以督促建、以查促改，扎实有效</w:t>
      </w:r>
      <w:r>
        <w:rPr>
          <w:rFonts w:hint="eastAsia" w:ascii="仿宋_GB2312" w:hAnsi="仿宋_GB2312" w:eastAsia="仿宋_GB2312" w:cs="仿宋_GB2312"/>
          <w:color w:val="000000"/>
          <w:sz w:val="32"/>
          <w:szCs w:val="32"/>
          <w:lang w:eastAsia="zh-CN"/>
        </w:rPr>
        <w:t>推进全区政务公开工作</w:t>
      </w:r>
      <w:r>
        <w:rPr>
          <w:rFonts w:hint="eastAsia" w:ascii="仿宋_GB2312" w:hAnsi="仿宋_GB2312" w:eastAsia="仿宋_GB2312" w:cs="仿宋_GB2312"/>
          <w:sz w:val="32"/>
          <w:szCs w:val="32"/>
          <w:u w:val="none"/>
          <w:lang w:val="en-US" w:eastAsia="zh-CN"/>
        </w:rPr>
        <w:t>水平提升。</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p>
    <w:p>
      <w:pPr>
        <w:pStyle w:val="3"/>
        <w:jc w:val="center"/>
        <w:rPr>
          <w:rFonts w:hint="eastAsia" w:ascii="黑体" w:hAnsi="黑体" w:eastAsia="黑体" w:cs="宋体"/>
          <w:color w:val="000000"/>
          <w:kern w:val="0"/>
          <w:sz w:val="32"/>
          <w:szCs w:val="32"/>
          <w:highlight w:val="cyan"/>
          <w:lang w:eastAsia="zh-CN"/>
        </w:rPr>
      </w:pPr>
      <w:r>
        <w:rPr>
          <w:rFonts w:hint="eastAsia" w:ascii="黑体" w:hAnsi="黑体" w:eastAsia="黑体" w:cs="宋体"/>
          <w:color w:val="000000"/>
          <w:kern w:val="0"/>
          <w:sz w:val="32"/>
          <w:szCs w:val="32"/>
          <w:highlight w:val="cyan"/>
          <w:lang w:eastAsia="zh-CN"/>
        </w:rPr>
        <w:drawing>
          <wp:inline distT="0" distB="0" distL="114300" distR="114300">
            <wp:extent cx="5346065" cy="5140960"/>
            <wp:effectExtent l="0" t="0" r="6985" b="2540"/>
            <wp:docPr id="17" name="图片 17" descr="峄城区政府信息公开--政务公开专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峄城区政府信息公开--政务公开专题"/>
                    <pic:cNvPicPr>
                      <a:picLocks noChangeAspect="1"/>
                    </pic:cNvPicPr>
                  </pic:nvPicPr>
                  <pic:blipFill>
                    <a:blip r:embed="rId14"/>
                    <a:stretch>
                      <a:fillRect/>
                    </a:stretch>
                  </pic:blipFill>
                  <pic:spPr>
                    <a:xfrm>
                      <a:off x="0" y="0"/>
                      <a:ext cx="5346065" cy="5140960"/>
                    </a:xfrm>
                    <a:prstGeom prst="rect">
                      <a:avLst/>
                    </a:prstGeom>
                  </pic:spPr>
                </pic:pic>
              </a:graphicData>
            </a:graphic>
          </wp:inline>
        </w:drawing>
      </w:r>
    </w:p>
    <w:p>
      <w:pPr>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二、主动公开政府信息情况</w:t>
      </w:r>
    </w:p>
    <w:tbl>
      <w:tblPr>
        <w:tblStyle w:val="9"/>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18</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32672</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5408</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131</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163.32</w:t>
            </w:r>
          </w:p>
        </w:tc>
      </w:tr>
    </w:tbl>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宋体" w:hAnsi="宋体" w:eastAsia="宋体" w:cs="宋体"/>
          <w:color w:val="000000"/>
          <w:kern w:val="0"/>
          <w:sz w:val="20"/>
          <w:szCs w:val="20"/>
        </w:rPr>
      </w:pPr>
    </w:p>
    <w:p>
      <w:pPr>
        <w:keepNext w:val="0"/>
        <w:keepLines w:val="0"/>
        <w:pageBreakBefore w:val="0"/>
        <w:widowControl/>
        <w:kinsoku/>
        <w:wordWrap/>
        <w:overflowPunct/>
        <w:topLinePunct w:val="0"/>
        <w:autoSpaceDE/>
        <w:autoSpaceDN/>
        <w:bidi w:val="0"/>
        <w:adjustRightInd/>
        <w:snapToGrid/>
        <w:spacing w:line="560" w:lineRule="exact"/>
        <w:ind w:firstLine="320" w:firstLineChars="100"/>
        <w:jc w:val="left"/>
        <w:textAlignment w:val="auto"/>
        <w:rPr>
          <w:rFonts w:hint="eastAsia" w:ascii="仿宋_GB2312" w:eastAsia="仿宋_GB2312"/>
          <w:sz w:val="32"/>
          <w:szCs w:val="32"/>
          <w:lang w:eastAsia="zh-CN"/>
        </w:rPr>
      </w:pPr>
      <w:r>
        <w:rPr>
          <w:rFonts w:hint="eastAsia" w:ascii="黑体" w:hAnsi="黑体" w:eastAsia="黑体" w:cs="宋体"/>
          <w:color w:val="000000"/>
          <w:kern w:val="0"/>
          <w:sz w:val="32"/>
          <w:szCs w:val="32"/>
        </w:rPr>
        <w:t>三、收到和处理政府信息公开申请情况</w:t>
      </w:r>
    </w:p>
    <w:tbl>
      <w:tblPr>
        <w:tblStyle w:val="9"/>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continue"/>
            <w:shd w:val="clear" w:color="auto" w:fill="auto"/>
            <w:tcMar>
              <w:left w:w="108" w:type="dxa"/>
              <w:right w:w="108" w:type="dxa"/>
            </w:tcMar>
            <w:vAlign w:val="center"/>
          </w:tcPr>
          <w:p>
            <w:pPr>
              <w:jc w:val="center"/>
              <w:rPr>
                <w:rFonts w:ascii="黑体" w:hAnsi="黑体" w:eastAsia="黑体"/>
                <w:szCs w:val="21"/>
              </w:rPr>
            </w:pPr>
          </w:p>
        </w:tc>
        <w:tc>
          <w:tcPr>
            <w:tcW w:w="567"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shd w:val="clear" w:color="auto" w:fill="auto"/>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shd w:val="clear" w:color="auto" w:fill="auto"/>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27</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4</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3</w:t>
            </w:r>
          </w:p>
        </w:tc>
        <w:tc>
          <w:tcPr>
            <w:tcW w:w="567"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6</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0</w:t>
            </w:r>
            <w:bookmarkStart w:id="10" w:name="_GoBack"/>
            <w:bookmarkEnd w:id="1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27</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eastAsia="仿宋_GB2312"/>
                <w:szCs w:val="21"/>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bl>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黑体" w:hAnsi="黑体" w:eastAsia="黑体" w:cs="宋体"/>
          <w:color w:val="000000"/>
          <w:kern w:val="0"/>
          <w:sz w:val="32"/>
          <w:szCs w:val="32"/>
        </w:rPr>
      </w:pPr>
    </w:p>
    <w:p>
      <w:pPr>
        <w:widowControl/>
        <w:ind w:firstLine="640" w:firstLineChars="200"/>
        <w:jc w:val="left"/>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四、</w:t>
      </w:r>
      <w:r>
        <w:rPr>
          <w:rFonts w:hint="eastAsia" w:ascii="黑体" w:hAnsi="黑体" w:eastAsia="黑体" w:cs="宋体"/>
          <w:color w:val="000000"/>
          <w:kern w:val="0"/>
          <w:sz w:val="32"/>
          <w:szCs w:val="32"/>
          <w:lang w:eastAsia="zh-CN"/>
        </w:rPr>
        <w:t>因</w:t>
      </w:r>
      <w:r>
        <w:rPr>
          <w:rFonts w:hint="eastAsia" w:ascii="黑体" w:hAnsi="黑体" w:eastAsia="黑体" w:cs="宋体"/>
          <w:color w:val="000000"/>
          <w:kern w:val="0"/>
          <w:sz w:val="32"/>
          <w:szCs w:val="32"/>
        </w:rPr>
        <w:t>政府信息公开</w:t>
      </w:r>
      <w:r>
        <w:rPr>
          <w:rFonts w:hint="eastAsia" w:ascii="黑体" w:hAnsi="黑体" w:eastAsia="黑体" w:cs="宋体"/>
          <w:color w:val="000000"/>
          <w:kern w:val="0"/>
          <w:sz w:val="32"/>
          <w:szCs w:val="32"/>
          <w:lang w:eastAsia="zh-CN"/>
        </w:rPr>
        <w:t>工作被申请</w:t>
      </w:r>
      <w:r>
        <w:rPr>
          <w:rFonts w:hint="eastAsia" w:ascii="黑体" w:hAnsi="黑体" w:eastAsia="黑体" w:cs="宋体"/>
          <w:color w:val="000000"/>
          <w:kern w:val="0"/>
          <w:sz w:val="32"/>
          <w:szCs w:val="32"/>
        </w:rPr>
        <w:t>行政复议、</w:t>
      </w:r>
      <w:r>
        <w:rPr>
          <w:rFonts w:hint="eastAsia" w:ascii="黑体" w:hAnsi="黑体" w:eastAsia="黑体" w:cs="宋体"/>
          <w:color w:val="000000"/>
          <w:kern w:val="0"/>
          <w:sz w:val="32"/>
          <w:szCs w:val="32"/>
          <w:lang w:eastAsia="zh-CN"/>
        </w:rPr>
        <w:t>提起</w:t>
      </w:r>
      <w:r>
        <w:rPr>
          <w:rFonts w:hint="eastAsia" w:ascii="黑体" w:hAnsi="黑体" w:eastAsia="黑体" w:cs="宋体"/>
          <w:color w:val="000000"/>
          <w:kern w:val="0"/>
          <w:sz w:val="32"/>
          <w:szCs w:val="32"/>
        </w:rPr>
        <w:t>行政诉讼情况</w:t>
      </w:r>
    </w:p>
    <w:tbl>
      <w:tblPr>
        <w:tblStyle w:val="9"/>
        <w:tblpPr w:leftFromText="180" w:rightFromText="180" w:vertAnchor="text" w:horzAnchor="page" w:tblpX="1605" w:tblpY="277"/>
        <w:tblOverlap w:val="never"/>
        <w:tblW w:w="90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r>
    </w:tbl>
    <w:p>
      <w:pPr>
        <w:widowControl/>
        <w:ind w:firstLine="640" w:firstLineChars="20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（一）</w:t>
      </w:r>
      <w:r>
        <w:rPr>
          <w:rFonts w:hint="eastAsia" w:ascii="楷体_GB2312" w:hAnsi="楷体_GB2312" w:eastAsia="楷体_GB2312" w:cs="楷体_GB2312"/>
          <w:color w:val="000000"/>
          <w:sz w:val="32"/>
          <w:szCs w:val="32"/>
          <w:u w:val="none"/>
          <w:lang w:val="en-US" w:eastAsia="zh-CN"/>
        </w:rPr>
        <w:t>2022年</w:t>
      </w:r>
      <w:r>
        <w:rPr>
          <w:rFonts w:hint="eastAsia" w:ascii="楷体_GB2312" w:hAnsi="楷体_GB2312" w:eastAsia="楷体_GB2312" w:cs="楷体_GB2312"/>
          <w:color w:val="000000"/>
          <w:sz w:val="32"/>
          <w:szCs w:val="32"/>
          <w:u w:val="none"/>
          <w:lang w:eastAsia="zh-CN"/>
        </w:rPr>
        <w:t>问题改进成效</w:t>
      </w:r>
    </w:p>
    <w:p>
      <w:pPr>
        <w:widowControl/>
        <w:ind w:firstLine="640" w:firstLineChars="200"/>
        <w:jc w:val="left"/>
        <w:rPr>
          <w:rFonts w:hint="eastAsia" w:ascii="楷体_GB2312" w:hAnsi="楷体_GB2312" w:eastAsia="楷体_GB2312" w:cs="楷体_GB2312"/>
          <w:color w:val="000000"/>
          <w:sz w:val="32"/>
          <w:szCs w:val="32"/>
          <w:u w:val="none"/>
          <w:lang w:eastAsia="zh-CN"/>
        </w:rPr>
      </w:pPr>
      <w:r>
        <w:rPr>
          <w:rFonts w:hint="eastAsia" w:ascii="仿宋_GB2312" w:hAnsi="黑体" w:eastAsia="仿宋_GB2312" w:cs="宋体"/>
          <w:color w:val="000000"/>
          <w:kern w:val="0"/>
          <w:sz w:val="32"/>
          <w:szCs w:val="32"/>
          <w:lang w:eastAsia="zh-CN"/>
        </w:rPr>
        <w:t>一是区级政府网站适老化无障碍改造已完善，峄城政务新媒体平台新增政策解读栏目，回应群众关切和服务公众能力显著加强。二是基层政务公开工作进一步规范，重点信息公开能做到及时发布。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（二）</w:t>
      </w:r>
      <w:r>
        <w:rPr>
          <w:rFonts w:hint="eastAsia" w:ascii="楷体_GB2312" w:hAnsi="楷体_GB2312" w:eastAsia="楷体_GB2312" w:cs="楷体_GB2312"/>
          <w:color w:val="000000"/>
          <w:sz w:val="32"/>
          <w:szCs w:val="32"/>
          <w:u w:val="none"/>
          <w:lang w:val="en-US" w:eastAsia="zh-CN"/>
        </w:rPr>
        <w:t>2023年待改进问题</w:t>
      </w:r>
    </w:p>
    <w:p>
      <w:pPr>
        <w:widowControl/>
        <w:ind w:firstLine="640" w:firstLineChars="200"/>
        <w:jc w:val="left"/>
        <w:rPr>
          <w:rFonts w:hint="eastAsia" w:ascii="仿宋_GB2312" w:hAnsi="黑体" w:eastAsia="仿宋_GB2312" w:cs="宋体"/>
          <w:color w:val="000000"/>
          <w:kern w:val="0"/>
          <w:sz w:val="32"/>
          <w:szCs w:val="32"/>
          <w:lang w:eastAsia="zh-CN"/>
        </w:rPr>
      </w:pPr>
      <w:r>
        <w:rPr>
          <w:rFonts w:hint="eastAsia" w:ascii="仿宋_GB2312" w:hAnsi="黑体" w:eastAsia="仿宋_GB2312" w:cs="宋体"/>
          <w:color w:val="000000"/>
          <w:kern w:val="0"/>
          <w:sz w:val="32"/>
          <w:szCs w:val="32"/>
          <w:lang w:eastAsia="zh-CN"/>
        </w:rPr>
        <w:t>一是工作机制有待改进，部门人员变动导致工作接续不上，此类问题较为突出。二是政策文件解读全面性、丰富性还需进一步提升。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u w:val="none"/>
          <w:lang w:eastAsia="zh-CN"/>
        </w:rPr>
      </w:pPr>
      <w:r>
        <w:rPr>
          <w:rFonts w:hint="eastAsia" w:ascii="楷体_GB2312" w:hAnsi="楷体_GB2312" w:eastAsia="楷体_GB2312" w:cs="楷体_GB2312"/>
          <w:color w:val="000000"/>
          <w:sz w:val="32"/>
          <w:szCs w:val="32"/>
          <w:u w:val="none"/>
          <w:lang w:eastAsia="zh-CN"/>
        </w:rPr>
        <w:t>（三）</w:t>
      </w:r>
      <w:r>
        <w:rPr>
          <w:rFonts w:hint="eastAsia" w:ascii="楷体_GB2312" w:hAnsi="楷体_GB2312" w:eastAsia="楷体_GB2312" w:cs="楷体_GB2312"/>
          <w:color w:val="000000"/>
          <w:sz w:val="32"/>
          <w:szCs w:val="32"/>
          <w:u w:val="none"/>
          <w:lang w:val="en-US" w:eastAsia="zh-CN"/>
        </w:rPr>
        <w:t>2024年改进措施和方向</w:t>
      </w:r>
    </w:p>
    <w:p>
      <w:pPr>
        <w:widowControl/>
        <w:ind w:firstLine="640" w:firstLineChars="200"/>
        <w:jc w:val="left"/>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eastAsia="zh-CN"/>
        </w:rPr>
        <w:t>按照省、</w:t>
      </w:r>
      <w:r>
        <w:rPr>
          <w:rFonts w:hint="eastAsia" w:ascii="仿宋_GB2312" w:hAnsi="黑体" w:eastAsia="仿宋_GB2312" w:cs="宋体"/>
          <w:color w:val="000000"/>
          <w:kern w:val="0"/>
          <w:sz w:val="32"/>
          <w:szCs w:val="32"/>
          <w:lang w:val="en-US" w:eastAsia="zh-CN"/>
        </w:rPr>
        <w:t>市政府关于政府信息公开的</w:t>
      </w:r>
      <w:r>
        <w:rPr>
          <w:rFonts w:hint="eastAsia" w:ascii="仿宋_GB2312" w:hAnsi="黑体" w:eastAsia="仿宋_GB2312" w:cs="宋体"/>
          <w:color w:val="000000"/>
          <w:kern w:val="0"/>
          <w:sz w:val="32"/>
          <w:szCs w:val="32"/>
          <w:lang w:eastAsia="zh-CN"/>
        </w:rPr>
        <w:t>决策部署，一是</w:t>
      </w:r>
      <w:r>
        <w:rPr>
          <w:rFonts w:hint="eastAsia" w:ascii="仿宋_GB2312" w:hAnsi="黑体" w:eastAsia="仿宋_GB2312" w:cs="宋体"/>
          <w:color w:val="000000"/>
          <w:kern w:val="0"/>
          <w:sz w:val="32"/>
          <w:szCs w:val="32"/>
          <w:lang w:val="en-US" w:eastAsia="zh-CN" w:bidi="ar-SA"/>
        </w:rPr>
        <w:t>扎实做好基础工作。依托常规培训指导、季度通报和年度考核等手段，细化部门责任，加强定期检查，及时指导并解决部门政务公开接续不上的问题。二是</w:t>
      </w:r>
      <w:r>
        <w:rPr>
          <w:rFonts w:hint="eastAsia" w:ascii="仿宋_GB2312" w:hAnsi="黑体" w:eastAsia="仿宋_GB2312" w:cs="宋体"/>
          <w:color w:val="000000"/>
          <w:kern w:val="0"/>
          <w:sz w:val="32"/>
          <w:szCs w:val="32"/>
          <w:lang w:val="en-US" w:eastAsia="zh-CN"/>
        </w:rPr>
        <w:t>创新公开形式。深入推进政策解读，综合运用动漫视频、举办新闻发布会、图文图表等形式及时答复群众所问。</w:t>
      </w:r>
    </w:p>
    <w:p>
      <w:pPr>
        <w:widowControl/>
        <w:ind w:firstLine="640" w:firstLineChars="200"/>
        <w:jc w:val="left"/>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六、其他需要报告的事项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（一）收取信息处理费情况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5"/>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依据《政府信息公开信息处理费管理办法》，区政府及各部门本年度收取信息处理费0元。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5"/>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（二）落实上级年度政务公开工作要点情况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5"/>
        <w:jc w:val="both"/>
        <w:textAlignment w:val="auto"/>
        <w:rPr>
          <w:rFonts w:hint="eastAsia" w:ascii="仿宋_GB2312" w:eastAsia="仿宋_GB2312" w:cs="仿宋_GB2312"/>
          <w:color w:val="000000"/>
          <w:sz w:val="32"/>
          <w:szCs w:val="32"/>
          <w:lang w:eastAsia="zh-CN"/>
        </w:rPr>
      </w:pPr>
      <w:r>
        <w:rPr>
          <w:rFonts w:hint="eastAsia" w:ascii="仿宋_GB2312" w:eastAsia="仿宋_GB2312" w:cs="仿宋_GB2312"/>
          <w:color w:val="000000"/>
          <w:sz w:val="32"/>
          <w:szCs w:val="32"/>
          <w:lang w:val="en-US" w:eastAsia="zh-CN"/>
        </w:rPr>
        <w:t>2023年以来，</w:t>
      </w:r>
      <w:r>
        <w:rPr>
          <w:rFonts w:hint="eastAsia" w:ascii="仿宋_GB2312" w:eastAsia="仿宋_GB2312" w:cs="仿宋_GB2312"/>
          <w:color w:val="000000"/>
          <w:sz w:val="32"/>
          <w:szCs w:val="32"/>
        </w:rPr>
        <w:t>峄城区各级行政机关</w:t>
      </w:r>
      <w:r>
        <w:rPr>
          <w:rFonts w:hint="eastAsia" w:ascii="仿宋_GB2312" w:eastAsia="仿宋_GB2312" w:cs="仿宋_GB2312"/>
          <w:color w:val="000000"/>
          <w:sz w:val="32"/>
          <w:szCs w:val="32"/>
          <w:lang w:eastAsia="zh-CN"/>
        </w:rPr>
        <w:t>按照</w:t>
      </w:r>
      <w:r>
        <w:rPr>
          <w:rFonts w:hint="eastAsia" w:ascii="仿宋_GB2312" w:hAnsi="黑体" w:eastAsia="仿宋_GB2312" w:cs="宋体"/>
          <w:color w:val="000000"/>
          <w:kern w:val="0"/>
          <w:sz w:val="32"/>
          <w:szCs w:val="32"/>
          <w:lang w:val="en-US" w:eastAsia="zh-CN" w:bidi="ar-SA"/>
        </w:rPr>
        <w:t>国务院及省市政府年度政务公开工作要点，</w:t>
      </w:r>
      <w:r>
        <w:rPr>
          <w:rFonts w:hint="eastAsia" w:ascii="仿宋_GB2312" w:eastAsia="仿宋_GB2312" w:cs="仿宋_GB2312"/>
          <w:color w:val="000000"/>
          <w:sz w:val="32"/>
          <w:szCs w:val="32"/>
        </w:rPr>
        <w:t>坚持</w:t>
      </w:r>
      <w:r>
        <w:rPr>
          <w:rFonts w:hint="eastAsia" w:ascii="仿宋_GB2312" w:eastAsia="仿宋_GB2312" w:cs="仿宋_GB2312"/>
          <w:color w:val="000000"/>
          <w:sz w:val="32"/>
          <w:szCs w:val="32"/>
          <w:lang w:eastAsia="zh-CN"/>
        </w:rPr>
        <w:t>“</w:t>
      </w:r>
      <w:r>
        <w:rPr>
          <w:rFonts w:hint="eastAsia" w:ascii="仿宋_GB2312" w:eastAsia="仿宋_GB2312" w:cs="仿宋_GB2312"/>
          <w:color w:val="000000"/>
          <w:sz w:val="32"/>
          <w:szCs w:val="32"/>
        </w:rPr>
        <w:t>以公开为常态、不公开为例外</w:t>
      </w:r>
      <w:r>
        <w:rPr>
          <w:rFonts w:hint="eastAsia" w:ascii="仿宋_GB2312" w:eastAsia="仿宋_GB2312" w:cs="仿宋_GB2312"/>
          <w:color w:val="000000"/>
          <w:sz w:val="32"/>
          <w:szCs w:val="32"/>
          <w:lang w:eastAsia="zh-CN"/>
        </w:rPr>
        <w:t>”的原则</w:t>
      </w:r>
      <w:r>
        <w:rPr>
          <w:rFonts w:hint="eastAsia" w:ascii="仿宋_GB2312" w:eastAsia="仿宋_GB2312" w:cs="仿宋_GB2312"/>
          <w:color w:val="000000"/>
          <w:sz w:val="32"/>
          <w:szCs w:val="32"/>
        </w:rPr>
        <w:t>，全面落实省、市、区政务公开工作要点，</w:t>
      </w:r>
      <w:r>
        <w:rPr>
          <w:rFonts w:hint="eastAsia" w:ascii="仿宋_GB2312" w:eastAsia="仿宋_GB2312" w:cs="仿宋_GB2312"/>
          <w:color w:val="000000"/>
          <w:sz w:val="32"/>
          <w:szCs w:val="32"/>
          <w:lang w:eastAsia="zh-CN"/>
        </w:rPr>
        <w:t>促使政务公开推动</w:t>
      </w:r>
      <w:r>
        <w:rPr>
          <w:rFonts w:hint="eastAsia" w:ascii="仿宋_GB2312" w:hAnsi="仿宋_GB2312" w:eastAsia="仿宋_GB2312" w:cs="仿宋_GB2312"/>
          <w:color w:val="000000"/>
          <w:sz w:val="32"/>
          <w:szCs w:val="32"/>
        </w:rPr>
        <w:t>政务服务水平</w:t>
      </w:r>
      <w:r>
        <w:rPr>
          <w:rFonts w:hint="eastAsia" w:ascii="楷体_GB2312" w:hAnsi="楷体_GB2312" w:eastAsia="楷体_GB2312" w:cs="楷体_GB2312"/>
          <w:color w:val="000000"/>
          <w:kern w:val="0"/>
          <w:sz w:val="32"/>
          <w:szCs w:val="32"/>
          <w:lang w:val="en-US" w:eastAsia="zh-CN" w:bidi="ar-SA"/>
        </w:rPr>
        <w:t>持续</w:t>
      </w:r>
      <w:r>
        <w:rPr>
          <w:rFonts w:hint="eastAsia" w:ascii="仿宋_GB2312" w:hAnsi="仿宋_GB2312" w:eastAsia="仿宋_GB2312" w:cs="仿宋_GB2312"/>
          <w:color w:val="000000"/>
          <w:sz w:val="32"/>
          <w:szCs w:val="32"/>
        </w:rPr>
        <w:t>提升</w:t>
      </w:r>
      <w:r>
        <w:rPr>
          <w:rFonts w:hint="eastAsia" w:ascii="仿宋_GB2312" w:hAnsi="仿宋_GB2312" w:eastAsia="仿宋_GB2312" w:cs="仿宋_GB2312"/>
          <w:color w:val="000000"/>
          <w:sz w:val="32"/>
          <w:szCs w:val="32"/>
          <w:lang w:eastAsia="zh-CN"/>
        </w:rPr>
        <w:t>，加大与群众的交流互动，及时回应群众关切。结合季度工作通报、集中培训等方式，狠抓各部门工作落实，确保任务按时按质完成，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（三）人大代表建议和政协提案办理结果公开情况</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2023年，区政府各部门共承办区级人大代表建议31件、政协委员提案132件，区政府承办市级人大代表建议0件、政协委员提案38件，答复结果均已在区政府网站公开。</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仿宋_GB2312" w:hAnsi="黑体" w:eastAsia="仿宋_GB2312" w:cs="宋体"/>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（四）年度政务公开工作创新情况</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eastAsia="zh-CN"/>
        </w:rPr>
        <w:t>2023年，峄城区已建设标准化规范化区级专区1处，镇级专区7处等，以回应群众所需为切入点，</w:t>
      </w:r>
      <w:r>
        <w:rPr>
          <w:rFonts w:hint="eastAsia" w:ascii="仿宋_GB2312" w:hAnsi="仿宋_GB2312" w:eastAsia="仿宋_GB2312" w:cs="仿宋_GB2312"/>
          <w:sz w:val="32"/>
          <w:szCs w:val="32"/>
        </w:rPr>
        <w:t>以基层政务公开</w:t>
      </w:r>
      <w:r>
        <w:rPr>
          <w:rFonts w:hint="eastAsia" w:ascii="仿宋_GB2312" w:hAnsi="仿宋_GB2312" w:eastAsia="仿宋_GB2312" w:cs="仿宋_GB2312"/>
          <w:sz w:val="32"/>
          <w:szCs w:val="32"/>
          <w:lang w:eastAsia="zh-CN"/>
        </w:rPr>
        <w:t>标准化规范化</w:t>
      </w:r>
      <w:r>
        <w:rPr>
          <w:rFonts w:hint="eastAsia" w:ascii="仿宋_GB2312" w:hAnsi="仿宋_GB2312" w:eastAsia="仿宋_GB2312" w:cs="仿宋_GB2312"/>
          <w:sz w:val="32"/>
          <w:szCs w:val="32"/>
        </w:rPr>
        <w:t>为契机，</w:t>
      </w:r>
      <w:r>
        <w:rPr>
          <w:rFonts w:hint="eastAsia" w:ascii="仿宋_GB2312" w:hAnsi="仿宋_GB2312" w:eastAsia="仿宋_GB2312" w:cs="仿宋_GB2312"/>
          <w:sz w:val="32"/>
          <w:szCs w:val="32"/>
          <w:lang w:eastAsia="zh-CN"/>
        </w:rPr>
        <w:t>峄城区坚持高标准规划、高起点建设，</w:t>
      </w:r>
      <w:r>
        <w:rPr>
          <w:rFonts w:hint="eastAsia" w:ascii="仿宋_GB2312" w:eastAsia="仿宋_GB2312" w:cs="仿宋_GB2312"/>
          <w:color w:val="000000"/>
          <w:sz w:val="32"/>
          <w:szCs w:val="32"/>
        </w:rPr>
        <w:t>推进</w:t>
      </w:r>
      <w:r>
        <w:rPr>
          <w:rFonts w:hint="eastAsia" w:ascii="仿宋_GB2312" w:eastAsia="仿宋_GB2312" w:cs="仿宋_GB2312"/>
          <w:color w:val="000000"/>
          <w:sz w:val="32"/>
          <w:szCs w:val="32"/>
          <w:lang w:eastAsia="zh-CN"/>
        </w:rPr>
        <w:t>阴平镇</w:t>
      </w:r>
      <w:r>
        <w:rPr>
          <w:rFonts w:hint="eastAsia" w:ascii="仿宋_GB2312" w:eastAsia="仿宋_GB2312" w:cs="仿宋_GB2312"/>
          <w:color w:val="000000"/>
          <w:sz w:val="32"/>
          <w:szCs w:val="32"/>
        </w:rPr>
        <w:t>政务公开专区标准化规范化试点</w:t>
      </w:r>
      <w:r>
        <w:rPr>
          <w:rFonts w:hint="eastAsia" w:ascii="仿宋_GB2312" w:eastAsia="仿宋_GB2312" w:cs="仿宋_GB2312"/>
          <w:color w:val="000000"/>
          <w:sz w:val="32"/>
          <w:szCs w:val="32"/>
          <w:lang w:eastAsia="zh-CN"/>
        </w:rPr>
        <w:t>建成</w:t>
      </w:r>
      <w:r>
        <w:rPr>
          <w:rFonts w:hint="eastAsia" w:ascii="仿宋_GB2312" w:eastAsia="仿宋_GB2312" w:cs="仿宋_GB2312"/>
          <w:color w:val="000000"/>
          <w:sz w:val="32"/>
          <w:szCs w:val="32"/>
        </w:rPr>
        <w:t>，为群众搭建高效、便捷的公开平台。建立</w:t>
      </w:r>
      <w:r>
        <w:rPr>
          <w:rFonts w:hint="eastAsia" w:ascii="仿宋_GB2312" w:eastAsia="仿宋_GB2312" w:cs="仿宋_GB2312"/>
          <w:color w:val="000000"/>
          <w:sz w:val="32"/>
          <w:szCs w:val="32"/>
          <w:lang w:eastAsia="zh-CN"/>
        </w:rPr>
        <w:t>政务公开</w:t>
      </w:r>
      <w:r>
        <w:rPr>
          <w:rFonts w:hint="eastAsia" w:ascii="仿宋_GB2312" w:eastAsia="仿宋_GB2312" w:cs="仿宋_GB2312"/>
          <w:color w:val="000000"/>
          <w:sz w:val="32"/>
          <w:szCs w:val="32"/>
        </w:rPr>
        <w:t>日常督查、定期督查和重点督查工作机制，</w:t>
      </w:r>
      <w:r>
        <w:rPr>
          <w:rFonts w:hint="eastAsia" w:ascii="仿宋_GB2312" w:eastAsia="仿宋_GB2312" w:cs="仿宋_GB2312"/>
          <w:color w:val="000000"/>
          <w:sz w:val="32"/>
          <w:szCs w:val="32"/>
          <w:lang w:eastAsia="zh-CN"/>
        </w:rPr>
        <w:t>加强业务培训，</w:t>
      </w:r>
      <w:r>
        <w:rPr>
          <w:rFonts w:hint="eastAsia" w:ascii="仿宋_GB2312" w:eastAsia="仿宋_GB2312" w:cs="仿宋_GB2312"/>
          <w:color w:val="000000"/>
          <w:sz w:val="32"/>
          <w:szCs w:val="32"/>
          <w:lang w:val="en-US" w:eastAsia="zh-CN"/>
        </w:rPr>
        <w:t>提升基层政务公开人员的业务素养。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firstLine="640" w:firstLineChars="200"/>
        <w:jc w:val="both"/>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（五）本行政机关政府信息公开工作年度报告数据统计需要说明的事项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（六）本行政机关认为需要报告的其他事项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（七）其他有关文件专门要求通过政府信息公开工作年度报告予以报告的事项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eastAsia="仿宋_GB2312"/>
          <w:color w:val="FF0000"/>
          <w:sz w:val="32"/>
          <w:szCs w:val="32"/>
        </w:rPr>
      </w:pPr>
      <w:r>
        <w:rPr>
          <w:rFonts w:hint="eastAsia" w:ascii="楷体_GB2312" w:hAnsi="楷体_GB2312" w:eastAsia="楷体_GB2312" w:cs="楷体_GB2312"/>
          <w:color w:val="000000"/>
          <w:kern w:val="0"/>
          <w:sz w:val="32"/>
          <w:szCs w:val="32"/>
          <w:lang w:val="en-US" w:eastAsia="zh-CN" w:bidi="ar-SA"/>
        </w:rPr>
        <w:t>无。</w:t>
      </w:r>
    </w:p>
    <w:p>
      <w:pPr>
        <w:pageBreakBefore w:val="0"/>
        <w:widowControl w:val="0"/>
        <w:kinsoku/>
        <w:overflowPunct/>
        <w:topLinePunct w:val="0"/>
        <w:autoSpaceDE/>
        <w:autoSpaceDN/>
        <w:bidi w:val="0"/>
        <w:adjustRightInd/>
        <w:snapToGrid/>
        <w:spacing w:beforeAutospacing="0" w:afterAutospacing="0" w:line="560" w:lineRule="exact"/>
        <w:textAlignment w:val="auto"/>
        <w:rPr>
          <w:rFonts w:hint="eastAsia"/>
          <w:sz w:val="32"/>
          <w:szCs w:val="32"/>
        </w:rPr>
      </w:pPr>
    </w:p>
    <w:p>
      <w:pPr>
        <w:pStyle w:val="8"/>
        <w:keepNext w:val="0"/>
        <w:keepLines w:val="0"/>
        <w:widowControl/>
        <w:suppressLineNumbers w:val="0"/>
        <w:spacing w:before="0" w:beforeAutospacing="1" w:after="0" w:afterAutospacing="0" w:line="605" w:lineRule="atLeast"/>
        <w:ind w:left="0" w:right="0"/>
        <w:jc w:val="left"/>
        <w:rPr>
          <w:sz w:val="19"/>
          <w:szCs w:val="19"/>
        </w:rPr>
      </w:pPr>
    </w:p>
    <w:sectPr>
      <w:headerReference r:id="rId3" w:type="default"/>
      <w:footerReference r:id="rId4" w:type="default"/>
      <w:pgSz w:w="11906" w:h="16838"/>
      <w:pgMar w:top="1814" w:right="1474" w:bottom="170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decorative"/>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683018"/>
    <w:multiLevelType w:val="singleLevel"/>
    <w:tmpl w:val="7B683018"/>
    <w:lvl w:ilvl="0" w:tentative="0">
      <w:start w:val="4"/>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yODc4Y2FiNzg2MTJlYTRmYmZhNWYzNGZhMmFlZTUifQ=="/>
  </w:docVars>
  <w:rsids>
    <w:rsidRoot w:val="30BA171F"/>
    <w:rsid w:val="00296707"/>
    <w:rsid w:val="004E43BF"/>
    <w:rsid w:val="009C512B"/>
    <w:rsid w:val="00B00BD6"/>
    <w:rsid w:val="00C85F20"/>
    <w:rsid w:val="00ED6FC2"/>
    <w:rsid w:val="01145609"/>
    <w:rsid w:val="0119677B"/>
    <w:rsid w:val="011E3D92"/>
    <w:rsid w:val="0147153B"/>
    <w:rsid w:val="014E3808"/>
    <w:rsid w:val="01626374"/>
    <w:rsid w:val="01EE19B6"/>
    <w:rsid w:val="02076F1C"/>
    <w:rsid w:val="020D30C3"/>
    <w:rsid w:val="02300221"/>
    <w:rsid w:val="023A4BFB"/>
    <w:rsid w:val="02555ED9"/>
    <w:rsid w:val="026E2AF7"/>
    <w:rsid w:val="02A4476B"/>
    <w:rsid w:val="02C170CB"/>
    <w:rsid w:val="03187FC7"/>
    <w:rsid w:val="032B09E8"/>
    <w:rsid w:val="034A70C0"/>
    <w:rsid w:val="03A32C74"/>
    <w:rsid w:val="03B52A74"/>
    <w:rsid w:val="04082AD7"/>
    <w:rsid w:val="04D10CCB"/>
    <w:rsid w:val="04F82B4C"/>
    <w:rsid w:val="059E51D4"/>
    <w:rsid w:val="05C313AC"/>
    <w:rsid w:val="05D9297D"/>
    <w:rsid w:val="05E03D0C"/>
    <w:rsid w:val="05E76E48"/>
    <w:rsid w:val="062E0F1B"/>
    <w:rsid w:val="066E0F94"/>
    <w:rsid w:val="066E1317"/>
    <w:rsid w:val="06A05249"/>
    <w:rsid w:val="06CB676A"/>
    <w:rsid w:val="07034156"/>
    <w:rsid w:val="071F7265"/>
    <w:rsid w:val="074958E1"/>
    <w:rsid w:val="07603356"/>
    <w:rsid w:val="07752984"/>
    <w:rsid w:val="07972AF0"/>
    <w:rsid w:val="07F13FAE"/>
    <w:rsid w:val="080D2DB2"/>
    <w:rsid w:val="08670714"/>
    <w:rsid w:val="0869448C"/>
    <w:rsid w:val="08F024B8"/>
    <w:rsid w:val="09594501"/>
    <w:rsid w:val="0976663B"/>
    <w:rsid w:val="099146D8"/>
    <w:rsid w:val="09AD5159"/>
    <w:rsid w:val="09C676BC"/>
    <w:rsid w:val="0A0501E5"/>
    <w:rsid w:val="0A670558"/>
    <w:rsid w:val="0A9B46A5"/>
    <w:rsid w:val="0AA25A34"/>
    <w:rsid w:val="0AAA48E8"/>
    <w:rsid w:val="0AE0030A"/>
    <w:rsid w:val="0B470389"/>
    <w:rsid w:val="0BE1258C"/>
    <w:rsid w:val="0C8F5A85"/>
    <w:rsid w:val="0D18022F"/>
    <w:rsid w:val="0D352B8F"/>
    <w:rsid w:val="0D58062B"/>
    <w:rsid w:val="0D6366BB"/>
    <w:rsid w:val="0D927FE1"/>
    <w:rsid w:val="0DB5782C"/>
    <w:rsid w:val="0DF02F5A"/>
    <w:rsid w:val="0E0D58BA"/>
    <w:rsid w:val="0E197DBB"/>
    <w:rsid w:val="0E7B4B53"/>
    <w:rsid w:val="0EA13BB4"/>
    <w:rsid w:val="0EAC6E81"/>
    <w:rsid w:val="0ED32660"/>
    <w:rsid w:val="0F421593"/>
    <w:rsid w:val="0F5C08A7"/>
    <w:rsid w:val="0F76123D"/>
    <w:rsid w:val="0F8E2A2A"/>
    <w:rsid w:val="0FB3423F"/>
    <w:rsid w:val="0FB6788B"/>
    <w:rsid w:val="103C5FE2"/>
    <w:rsid w:val="104906FF"/>
    <w:rsid w:val="10D86EA2"/>
    <w:rsid w:val="10E072B6"/>
    <w:rsid w:val="117D68B3"/>
    <w:rsid w:val="11F35D58"/>
    <w:rsid w:val="12064A9B"/>
    <w:rsid w:val="121C256F"/>
    <w:rsid w:val="121C431D"/>
    <w:rsid w:val="12256C5E"/>
    <w:rsid w:val="1243599B"/>
    <w:rsid w:val="129739A4"/>
    <w:rsid w:val="12C34799"/>
    <w:rsid w:val="1340403C"/>
    <w:rsid w:val="13643041"/>
    <w:rsid w:val="13737F6D"/>
    <w:rsid w:val="137D5290"/>
    <w:rsid w:val="13AC4C0C"/>
    <w:rsid w:val="145D5B58"/>
    <w:rsid w:val="14983A03"/>
    <w:rsid w:val="14DA401C"/>
    <w:rsid w:val="152F25BA"/>
    <w:rsid w:val="15787ABD"/>
    <w:rsid w:val="15AB60E4"/>
    <w:rsid w:val="15BD1974"/>
    <w:rsid w:val="165529EC"/>
    <w:rsid w:val="16B25250"/>
    <w:rsid w:val="16CD3E38"/>
    <w:rsid w:val="16E8757C"/>
    <w:rsid w:val="16F45869"/>
    <w:rsid w:val="17D85E89"/>
    <w:rsid w:val="180513B0"/>
    <w:rsid w:val="18131D1F"/>
    <w:rsid w:val="18365A0D"/>
    <w:rsid w:val="1864257A"/>
    <w:rsid w:val="188B7B07"/>
    <w:rsid w:val="1890511D"/>
    <w:rsid w:val="18ED7793"/>
    <w:rsid w:val="194A79C2"/>
    <w:rsid w:val="194D0E94"/>
    <w:rsid w:val="197B7B7C"/>
    <w:rsid w:val="1A2851B1"/>
    <w:rsid w:val="1A7D5B75"/>
    <w:rsid w:val="1AD05CA5"/>
    <w:rsid w:val="1AFC6A9A"/>
    <w:rsid w:val="1B3E1A11"/>
    <w:rsid w:val="1B943177"/>
    <w:rsid w:val="1BEC2FB3"/>
    <w:rsid w:val="1C1C0C3D"/>
    <w:rsid w:val="1C7B7E93"/>
    <w:rsid w:val="1CC730D8"/>
    <w:rsid w:val="1DB775F0"/>
    <w:rsid w:val="1DD97567"/>
    <w:rsid w:val="1E124827"/>
    <w:rsid w:val="1ED91410"/>
    <w:rsid w:val="1F274302"/>
    <w:rsid w:val="1F576995"/>
    <w:rsid w:val="1F670CA2"/>
    <w:rsid w:val="204D413F"/>
    <w:rsid w:val="205B4263"/>
    <w:rsid w:val="206A094A"/>
    <w:rsid w:val="209634ED"/>
    <w:rsid w:val="2099122F"/>
    <w:rsid w:val="20EE3329"/>
    <w:rsid w:val="21350F58"/>
    <w:rsid w:val="21771570"/>
    <w:rsid w:val="21881CE4"/>
    <w:rsid w:val="224F66C7"/>
    <w:rsid w:val="227506EF"/>
    <w:rsid w:val="22DA287C"/>
    <w:rsid w:val="22F83FEB"/>
    <w:rsid w:val="23173D36"/>
    <w:rsid w:val="23847BDA"/>
    <w:rsid w:val="239D185F"/>
    <w:rsid w:val="23A81EB5"/>
    <w:rsid w:val="23B00D6A"/>
    <w:rsid w:val="23E26A49"/>
    <w:rsid w:val="23F70746"/>
    <w:rsid w:val="23FE7D27"/>
    <w:rsid w:val="24305A06"/>
    <w:rsid w:val="24B86128"/>
    <w:rsid w:val="24FA7396"/>
    <w:rsid w:val="25400F60"/>
    <w:rsid w:val="25B6459C"/>
    <w:rsid w:val="25CE3993"/>
    <w:rsid w:val="25E44CFA"/>
    <w:rsid w:val="26081E5A"/>
    <w:rsid w:val="261F5D33"/>
    <w:rsid w:val="268D0EEE"/>
    <w:rsid w:val="26A20476"/>
    <w:rsid w:val="273E00BA"/>
    <w:rsid w:val="2751016E"/>
    <w:rsid w:val="27690A2C"/>
    <w:rsid w:val="27743E5C"/>
    <w:rsid w:val="27E36424"/>
    <w:rsid w:val="28243AD4"/>
    <w:rsid w:val="283449A9"/>
    <w:rsid w:val="28415E40"/>
    <w:rsid w:val="289724F8"/>
    <w:rsid w:val="28A95D87"/>
    <w:rsid w:val="293253E8"/>
    <w:rsid w:val="294E52E3"/>
    <w:rsid w:val="29634188"/>
    <w:rsid w:val="29695C42"/>
    <w:rsid w:val="29BF3AB4"/>
    <w:rsid w:val="29F14587"/>
    <w:rsid w:val="2A1F09F7"/>
    <w:rsid w:val="2A8414D9"/>
    <w:rsid w:val="2B381D70"/>
    <w:rsid w:val="2B4F2C16"/>
    <w:rsid w:val="2B801F8B"/>
    <w:rsid w:val="2C311870"/>
    <w:rsid w:val="2C9F3729"/>
    <w:rsid w:val="2D03015C"/>
    <w:rsid w:val="2D2F71A3"/>
    <w:rsid w:val="2D3A4195"/>
    <w:rsid w:val="2D713318"/>
    <w:rsid w:val="2DA51213"/>
    <w:rsid w:val="2DCC67A0"/>
    <w:rsid w:val="2DE03FF9"/>
    <w:rsid w:val="2DFB52D7"/>
    <w:rsid w:val="2E383E35"/>
    <w:rsid w:val="2E625356"/>
    <w:rsid w:val="2E690493"/>
    <w:rsid w:val="2EA17C2D"/>
    <w:rsid w:val="2EA8720D"/>
    <w:rsid w:val="2F126434"/>
    <w:rsid w:val="2F4F113B"/>
    <w:rsid w:val="2F9E23BE"/>
    <w:rsid w:val="2FAD2601"/>
    <w:rsid w:val="2FDB28DD"/>
    <w:rsid w:val="2FFD720B"/>
    <w:rsid w:val="30797DCA"/>
    <w:rsid w:val="309F1F4A"/>
    <w:rsid w:val="30BA171F"/>
    <w:rsid w:val="30E402A4"/>
    <w:rsid w:val="30FF0C3A"/>
    <w:rsid w:val="311F66C8"/>
    <w:rsid w:val="31975317"/>
    <w:rsid w:val="31E56082"/>
    <w:rsid w:val="3212499D"/>
    <w:rsid w:val="3267118D"/>
    <w:rsid w:val="32715B68"/>
    <w:rsid w:val="327F0285"/>
    <w:rsid w:val="3287538B"/>
    <w:rsid w:val="32A41A99"/>
    <w:rsid w:val="32BD0DAD"/>
    <w:rsid w:val="32FE389F"/>
    <w:rsid w:val="33114C55"/>
    <w:rsid w:val="33354DE7"/>
    <w:rsid w:val="335133F7"/>
    <w:rsid w:val="33541711"/>
    <w:rsid w:val="338B2C59"/>
    <w:rsid w:val="339733AC"/>
    <w:rsid w:val="344057F2"/>
    <w:rsid w:val="34605E94"/>
    <w:rsid w:val="346D235F"/>
    <w:rsid w:val="34B61F58"/>
    <w:rsid w:val="34CE72A2"/>
    <w:rsid w:val="350121E9"/>
    <w:rsid w:val="357F67EE"/>
    <w:rsid w:val="35A65B28"/>
    <w:rsid w:val="35A92FC5"/>
    <w:rsid w:val="361707D4"/>
    <w:rsid w:val="363B44C3"/>
    <w:rsid w:val="36454940"/>
    <w:rsid w:val="36591C9C"/>
    <w:rsid w:val="367E1CA3"/>
    <w:rsid w:val="371C0798"/>
    <w:rsid w:val="375A12C0"/>
    <w:rsid w:val="375F0685"/>
    <w:rsid w:val="377A101B"/>
    <w:rsid w:val="37921E4C"/>
    <w:rsid w:val="37983B97"/>
    <w:rsid w:val="37C9112C"/>
    <w:rsid w:val="37F4701F"/>
    <w:rsid w:val="383209C1"/>
    <w:rsid w:val="384A30E3"/>
    <w:rsid w:val="38765C86"/>
    <w:rsid w:val="3894435E"/>
    <w:rsid w:val="38F372D7"/>
    <w:rsid w:val="390019F4"/>
    <w:rsid w:val="39162FC5"/>
    <w:rsid w:val="39174BE2"/>
    <w:rsid w:val="39B87EF6"/>
    <w:rsid w:val="3A0177D1"/>
    <w:rsid w:val="3A15748D"/>
    <w:rsid w:val="3A354B83"/>
    <w:rsid w:val="3A483652"/>
    <w:rsid w:val="3A500759"/>
    <w:rsid w:val="3ADC3D9A"/>
    <w:rsid w:val="3AE113B1"/>
    <w:rsid w:val="3B091033"/>
    <w:rsid w:val="3B0D21A6"/>
    <w:rsid w:val="3B1A3241"/>
    <w:rsid w:val="3B31058A"/>
    <w:rsid w:val="3B712735"/>
    <w:rsid w:val="3BDD426E"/>
    <w:rsid w:val="3BFD221A"/>
    <w:rsid w:val="3C3A6FCB"/>
    <w:rsid w:val="3C552056"/>
    <w:rsid w:val="3CBE25E8"/>
    <w:rsid w:val="3CC01BC6"/>
    <w:rsid w:val="3D261A2B"/>
    <w:rsid w:val="3D4103E4"/>
    <w:rsid w:val="3D5B369C"/>
    <w:rsid w:val="3D6D517E"/>
    <w:rsid w:val="3D8C1138"/>
    <w:rsid w:val="3D8F56DC"/>
    <w:rsid w:val="3D954E00"/>
    <w:rsid w:val="3D990AD9"/>
    <w:rsid w:val="3DD260C1"/>
    <w:rsid w:val="3F483A04"/>
    <w:rsid w:val="3F7153F9"/>
    <w:rsid w:val="3FBF0058"/>
    <w:rsid w:val="3FCF3ECE"/>
    <w:rsid w:val="3FF322B2"/>
    <w:rsid w:val="3FFD5B5F"/>
    <w:rsid w:val="407F3B46"/>
    <w:rsid w:val="40AB0497"/>
    <w:rsid w:val="40D971A2"/>
    <w:rsid w:val="40F97454"/>
    <w:rsid w:val="41792343"/>
    <w:rsid w:val="41E73751"/>
    <w:rsid w:val="42224789"/>
    <w:rsid w:val="427E2307"/>
    <w:rsid w:val="42B549E2"/>
    <w:rsid w:val="42DC0DDB"/>
    <w:rsid w:val="42E45EE2"/>
    <w:rsid w:val="43140575"/>
    <w:rsid w:val="432770C8"/>
    <w:rsid w:val="437B05F4"/>
    <w:rsid w:val="43B753A5"/>
    <w:rsid w:val="43F81C45"/>
    <w:rsid w:val="43FB7987"/>
    <w:rsid w:val="43FE6CDE"/>
    <w:rsid w:val="44004F9E"/>
    <w:rsid w:val="441A605F"/>
    <w:rsid w:val="443F1622"/>
    <w:rsid w:val="44937BC0"/>
    <w:rsid w:val="44A8366B"/>
    <w:rsid w:val="44B00772"/>
    <w:rsid w:val="44ED8FB0"/>
    <w:rsid w:val="45085EB8"/>
    <w:rsid w:val="45462E84"/>
    <w:rsid w:val="454865C8"/>
    <w:rsid w:val="4568104C"/>
    <w:rsid w:val="45895FEC"/>
    <w:rsid w:val="45B55914"/>
    <w:rsid w:val="465C52CF"/>
    <w:rsid w:val="46A55988"/>
    <w:rsid w:val="46F801AE"/>
    <w:rsid w:val="471A45C8"/>
    <w:rsid w:val="476870E2"/>
    <w:rsid w:val="47736DB8"/>
    <w:rsid w:val="47DE1152"/>
    <w:rsid w:val="47F7394B"/>
    <w:rsid w:val="48335942"/>
    <w:rsid w:val="483B47F6"/>
    <w:rsid w:val="484D62D8"/>
    <w:rsid w:val="48896772"/>
    <w:rsid w:val="48E21116"/>
    <w:rsid w:val="494B2817"/>
    <w:rsid w:val="495F62C2"/>
    <w:rsid w:val="499A379E"/>
    <w:rsid w:val="499F0DB5"/>
    <w:rsid w:val="49D77A53"/>
    <w:rsid w:val="4A347576"/>
    <w:rsid w:val="4B2C6678"/>
    <w:rsid w:val="4B3F0159"/>
    <w:rsid w:val="4B7342A7"/>
    <w:rsid w:val="4BBF3CFE"/>
    <w:rsid w:val="4BD74836"/>
    <w:rsid w:val="4CDD7C2A"/>
    <w:rsid w:val="4D0553D3"/>
    <w:rsid w:val="4D77007F"/>
    <w:rsid w:val="4D7F0CE1"/>
    <w:rsid w:val="4DAE37D1"/>
    <w:rsid w:val="4DD03C33"/>
    <w:rsid w:val="4E2E49C6"/>
    <w:rsid w:val="4E5C7274"/>
    <w:rsid w:val="4E8D18E7"/>
    <w:rsid w:val="4E9D1D67"/>
    <w:rsid w:val="4EC8490A"/>
    <w:rsid w:val="4EF61477"/>
    <w:rsid w:val="4F0C47F7"/>
    <w:rsid w:val="4F4641AC"/>
    <w:rsid w:val="4F4E12B3"/>
    <w:rsid w:val="4F4F2C8C"/>
    <w:rsid w:val="4F7A3E56"/>
    <w:rsid w:val="4FE90FDC"/>
    <w:rsid w:val="504F5F55"/>
    <w:rsid w:val="50597F0F"/>
    <w:rsid w:val="50642410"/>
    <w:rsid w:val="51905BB3"/>
    <w:rsid w:val="519D7224"/>
    <w:rsid w:val="51ED412B"/>
    <w:rsid w:val="51F779E0"/>
    <w:rsid w:val="52020E15"/>
    <w:rsid w:val="5208399B"/>
    <w:rsid w:val="52187956"/>
    <w:rsid w:val="523302EC"/>
    <w:rsid w:val="52630BD1"/>
    <w:rsid w:val="52D95337"/>
    <w:rsid w:val="530028C4"/>
    <w:rsid w:val="5395352A"/>
    <w:rsid w:val="539B083F"/>
    <w:rsid w:val="542720D3"/>
    <w:rsid w:val="545E3D46"/>
    <w:rsid w:val="548F3CAB"/>
    <w:rsid w:val="54E3249D"/>
    <w:rsid w:val="552A1E7A"/>
    <w:rsid w:val="55765B38"/>
    <w:rsid w:val="55AE4859"/>
    <w:rsid w:val="55B300C2"/>
    <w:rsid w:val="55D73B2B"/>
    <w:rsid w:val="55DA38A0"/>
    <w:rsid w:val="5613290E"/>
    <w:rsid w:val="566D64C3"/>
    <w:rsid w:val="56755377"/>
    <w:rsid w:val="569A3030"/>
    <w:rsid w:val="56DB78D0"/>
    <w:rsid w:val="56DE18C9"/>
    <w:rsid w:val="570C5CDB"/>
    <w:rsid w:val="57B5459E"/>
    <w:rsid w:val="57C739B1"/>
    <w:rsid w:val="582C415B"/>
    <w:rsid w:val="586C3723"/>
    <w:rsid w:val="587873A1"/>
    <w:rsid w:val="58A04049"/>
    <w:rsid w:val="58E36C79"/>
    <w:rsid w:val="58F50437"/>
    <w:rsid w:val="590F1AB3"/>
    <w:rsid w:val="596A0A97"/>
    <w:rsid w:val="598D3DD1"/>
    <w:rsid w:val="59945B14"/>
    <w:rsid w:val="59A73A9A"/>
    <w:rsid w:val="59C75EEA"/>
    <w:rsid w:val="59E720E8"/>
    <w:rsid w:val="59F36CDF"/>
    <w:rsid w:val="5A1350B0"/>
    <w:rsid w:val="5A455061"/>
    <w:rsid w:val="5A584D94"/>
    <w:rsid w:val="5A951B44"/>
    <w:rsid w:val="5ABA5A4E"/>
    <w:rsid w:val="5AC24903"/>
    <w:rsid w:val="5B266C40"/>
    <w:rsid w:val="5B525C87"/>
    <w:rsid w:val="5B6F5722"/>
    <w:rsid w:val="5BAB5397"/>
    <w:rsid w:val="5BB46942"/>
    <w:rsid w:val="5C0D1BAE"/>
    <w:rsid w:val="5C58551F"/>
    <w:rsid w:val="5DC0337C"/>
    <w:rsid w:val="5DD41798"/>
    <w:rsid w:val="5DEB5F1F"/>
    <w:rsid w:val="5DF24A5E"/>
    <w:rsid w:val="5DFE7762"/>
    <w:rsid w:val="5E2A2EEB"/>
    <w:rsid w:val="5E8819C0"/>
    <w:rsid w:val="5EBA426F"/>
    <w:rsid w:val="5ED8132D"/>
    <w:rsid w:val="5EFD415C"/>
    <w:rsid w:val="5F076D88"/>
    <w:rsid w:val="5F830B05"/>
    <w:rsid w:val="5FAA42E4"/>
    <w:rsid w:val="5FD96977"/>
    <w:rsid w:val="60397415"/>
    <w:rsid w:val="60824919"/>
    <w:rsid w:val="60916F6B"/>
    <w:rsid w:val="60B116A2"/>
    <w:rsid w:val="60E90E3C"/>
    <w:rsid w:val="61930DA7"/>
    <w:rsid w:val="62255EA3"/>
    <w:rsid w:val="62410803"/>
    <w:rsid w:val="62522A10"/>
    <w:rsid w:val="62BD432E"/>
    <w:rsid w:val="63052F50"/>
    <w:rsid w:val="633A340B"/>
    <w:rsid w:val="63497970"/>
    <w:rsid w:val="637A221F"/>
    <w:rsid w:val="638E5CCA"/>
    <w:rsid w:val="639E47F1"/>
    <w:rsid w:val="63AB23D8"/>
    <w:rsid w:val="63B05C41"/>
    <w:rsid w:val="63B156E4"/>
    <w:rsid w:val="643979E4"/>
    <w:rsid w:val="64524F4A"/>
    <w:rsid w:val="6457430E"/>
    <w:rsid w:val="64673B62"/>
    <w:rsid w:val="648275DD"/>
    <w:rsid w:val="64B27796"/>
    <w:rsid w:val="64C61940"/>
    <w:rsid w:val="64FB113D"/>
    <w:rsid w:val="655A5E64"/>
    <w:rsid w:val="655B2CBD"/>
    <w:rsid w:val="65652A5B"/>
    <w:rsid w:val="658B24C1"/>
    <w:rsid w:val="65C23A09"/>
    <w:rsid w:val="66952ECC"/>
    <w:rsid w:val="67515045"/>
    <w:rsid w:val="67535261"/>
    <w:rsid w:val="67B13D35"/>
    <w:rsid w:val="67B25BC5"/>
    <w:rsid w:val="680447AD"/>
    <w:rsid w:val="680D3662"/>
    <w:rsid w:val="683F7593"/>
    <w:rsid w:val="68AF296B"/>
    <w:rsid w:val="68DE6DAC"/>
    <w:rsid w:val="68EC7760"/>
    <w:rsid w:val="69286279"/>
    <w:rsid w:val="6945507D"/>
    <w:rsid w:val="698060B5"/>
    <w:rsid w:val="69E87B0C"/>
    <w:rsid w:val="69F543AD"/>
    <w:rsid w:val="6A6D1DA3"/>
    <w:rsid w:val="6A7018E7"/>
    <w:rsid w:val="6A70612A"/>
    <w:rsid w:val="6A995F75"/>
    <w:rsid w:val="6B803569"/>
    <w:rsid w:val="6BD46244"/>
    <w:rsid w:val="6BE26BB3"/>
    <w:rsid w:val="6BF5776B"/>
    <w:rsid w:val="6C3D2A75"/>
    <w:rsid w:val="6C6972D4"/>
    <w:rsid w:val="6C9707CF"/>
    <w:rsid w:val="6D013776"/>
    <w:rsid w:val="6D035033"/>
    <w:rsid w:val="6D4F64CA"/>
    <w:rsid w:val="6D885538"/>
    <w:rsid w:val="6D8C5028"/>
    <w:rsid w:val="6DB56354"/>
    <w:rsid w:val="6E076DA5"/>
    <w:rsid w:val="6E6E0BD2"/>
    <w:rsid w:val="6EA97E5C"/>
    <w:rsid w:val="6EE64C0C"/>
    <w:rsid w:val="6EF72976"/>
    <w:rsid w:val="6EFF5CCE"/>
    <w:rsid w:val="6F375468"/>
    <w:rsid w:val="6F3C482C"/>
    <w:rsid w:val="6F852C28"/>
    <w:rsid w:val="6F8D5088"/>
    <w:rsid w:val="6F8F2BAE"/>
    <w:rsid w:val="6FE253D4"/>
    <w:rsid w:val="70B836E7"/>
    <w:rsid w:val="70E4517B"/>
    <w:rsid w:val="70E84C6C"/>
    <w:rsid w:val="70F74EAF"/>
    <w:rsid w:val="70F80C27"/>
    <w:rsid w:val="71042DF1"/>
    <w:rsid w:val="711C66C3"/>
    <w:rsid w:val="711F61B4"/>
    <w:rsid w:val="716F713B"/>
    <w:rsid w:val="71983EB4"/>
    <w:rsid w:val="720930EC"/>
    <w:rsid w:val="72536115"/>
    <w:rsid w:val="7298446F"/>
    <w:rsid w:val="72CB65F3"/>
    <w:rsid w:val="72CE60E3"/>
    <w:rsid w:val="733C4DFB"/>
    <w:rsid w:val="734D7008"/>
    <w:rsid w:val="738B7B30"/>
    <w:rsid w:val="73CF5C6F"/>
    <w:rsid w:val="74060F2F"/>
    <w:rsid w:val="74561EEC"/>
    <w:rsid w:val="748051BB"/>
    <w:rsid w:val="74AE33C2"/>
    <w:rsid w:val="74C01A5C"/>
    <w:rsid w:val="74F41EA7"/>
    <w:rsid w:val="752C3D9B"/>
    <w:rsid w:val="754937FF"/>
    <w:rsid w:val="759C6025"/>
    <w:rsid w:val="75D02172"/>
    <w:rsid w:val="75DB4786"/>
    <w:rsid w:val="75F61BD9"/>
    <w:rsid w:val="761B33ED"/>
    <w:rsid w:val="76CF5F86"/>
    <w:rsid w:val="76E25CB9"/>
    <w:rsid w:val="76FD6F97"/>
    <w:rsid w:val="77400C32"/>
    <w:rsid w:val="775A0D5E"/>
    <w:rsid w:val="77E580A4"/>
    <w:rsid w:val="782A7918"/>
    <w:rsid w:val="784D7AAA"/>
    <w:rsid w:val="78611500"/>
    <w:rsid w:val="78680440"/>
    <w:rsid w:val="78C6612E"/>
    <w:rsid w:val="791D122B"/>
    <w:rsid w:val="79450781"/>
    <w:rsid w:val="794A15AA"/>
    <w:rsid w:val="794D6DCE"/>
    <w:rsid w:val="79982FA7"/>
    <w:rsid w:val="79986B03"/>
    <w:rsid w:val="79EB30D7"/>
    <w:rsid w:val="79F006ED"/>
    <w:rsid w:val="7AE91D0C"/>
    <w:rsid w:val="7AFF67EE"/>
    <w:rsid w:val="7B00296F"/>
    <w:rsid w:val="7B25086A"/>
    <w:rsid w:val="7B362A78"/>
    <w:rsid w:val="7B892BA7"/>
    <w:rsid w:val="7BAC177D"/>
    <w:rsid w:val="7BCC0CE6"/>
    <w:rsid w:val="7C291555"/>
    <w:rsid w:val="7C8617DD"/>
    <w:rsid w:val="7C9B5288"/>
    <w:rsid w:val="7CFB58BB"/>
    <w:rsid w:val="7D6A547E"/>
    <w:rsid w:val="7DB303AF"/>
    <w:rsid w:val="7DE44A0D"/>
    <w:rsid w:val="7E2557DA"/>
    <w:rsid w:val="7E394D59"/>
    <w:rsid w:val="7E5F5E41"/>
    <w:rsid w:val="7EA47CF8"/>
    <w:rsid w:val="7EB919F5"/>
    <w:rsid w:val="7ECA3C03"/>
    <w:rsid w:val="7EEF71C5"/>
    <w:rsid w:val="7F152B60"/>
    <w:rsid w:val="7F4514DB"/>
    <w:rsid w:val="7F4629FF"/>
    <w:rsid w:val="7F5D4A77"/>
    <w:rsid w:val="7FC00B62"/>
    <w:rsid w:val="7FCB5E86"/>
    <w:rsid w:val="7FCF5B98"/>
    <w:rsid w:val="9F3969E3"/>
    <w:rsid w:val="B7B40E2B"/>
    <w:rsid w:val="DC7F922E"/>
    <w:rsid w:val="DDFF5DB1"/>
    <w:rsid w:val="E3BF25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before="0" w:after="140" w:line="276" w:lineRule="auto"/>
    </w:pPr>
  </w:style>
  <w:style w:type="paragraph" w:customStyle="1" w:styleId="3">
    <w:name w:val="TOC 11"/>
    <w:next w:val="1"/>
    <w:autoRedefine/>
    <w:qFormat/>
    <w:uiPriority w:val="0"/>
    <w:pPr>
      <w:wordWrap w:val="0"/>
      <w:jc w:val="both"/>
    </w:pPr>
    <w:rPr>
      <w:rFonts w:ascii="Times New Roman" w:hAnsi="Times New Roman" w:eastAsia="宋体" w:cs="Times New Roman"/>
      <w:sz w:val="21"/>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100" w:beforeAutospacing="1" w:after="100" w:afterAutospacing="1"/>
      <w:ind w:left="0" w:right="0"/>
      <w:jc w:val="left"/>
    </w:pPr>
    <w:rPr>
      <w:kern w:val="0"/>
      <w:sz w:val="24"/>
      <w:lang w:val="en-US" w:eastAsia="zh-CN" w:bidi="ar"/>
    </w:rPr>
  </w:style>
  <w:style w:type="character" w:styleId="11">
    <w:name w:val="Strong"/>
    <w:basedOn w:val="10"/>
    <w:autoRedefine/>
    <w:qFormat/>
    <w:uiPriority w:val="0"/>
    <w:rPr>
      <w:b/>
    </w:rPr>
  </w:style>
  <w:style w:type="character" w:styleId="12">
    <w:name w:val="page number"/>
    <w:basedOn w:val="10"/>
    <w:autoRedefine/>
    <w:qFormat/>
    <w:uiPriority w:val="0"/>
  </w:style>
  <w:style w:type="character" w:styleId="13">
    <w:name w:val="Hyperlink"/>
    <w:basedOn w:val="10"/>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政策解读</a:t>
            </a:r>
          </a:p>
        </c:rich>
      </c:tx>
      <c:layout/>
      <c:overlay val="0"/>
      <c:spPr>
        <a:noFill/>
        <a:ln>
          <a:noFill/>
        </a:ln>
        <a:effectLst/>
      </c:spPr>
    </c:title>
    <c:autoTitleDeleted val="0"/>
    <c:plotArea>
      <c:layout/>
      <c:barChart>
        <c:barDir val="col"/>
        <c:grouping val="clustered"/>
        <c:varyColors val="0"/>
        <c:ser>
          <c:idx val="1"/>
          <c:order val="0"/>
          <c:tx>
            <c:strRef>
              <c:f>Sheet1!$B$1</c:f>
              <c:strCache>
                <c:ptCount val="1"/>
                <c:pt idx="0">
                  <c:v>件数</c:v>
                </c:pt>
              </c:strCache>
            </c:strRef>
          </c:tx>
          <c:spPr>
            <a:solidFill>
              <a:schemeClr val="accent2"/>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2019年</c:v>
                </c:pt>
                <c:pt idx="1">
                  <c:v>2020年</c:v>
                </c:pt>
                <c:pt idx="2">
                  <c:v>2021年</c:v>
                </c:pt>
                <c:pt idx="3">
                  <c:v>2022年</c:v>
                </c:pt>
                <c:pt idx="4">
                  <c:v>2023年</c:v>
                </c:pt>
              </c:strCache>
            </c:strRef>
          </c:cat>
          <c:val>
            <c:numRef>
              <c:f>Sheet1!$B$2:$B$6</c:f>
              <c:numCache>
                <c:formatCode>General</c:formatCode>
                <c:ptCount val="5"/>
                <c:pt idx="0">
                  <c:v>16</c:v>
                </c:pt>
                <c:pt idx="1">
                  <c:v>47</c:v>
                </c:pt>
                <c:pt idx="2">
                  <c:v>75</c:v>
                </c:pt>
                <c:pt idx="3">
                  <c:v>43</c:v>
                </c:pt>
                <c:pt idx="4">
                  <c:v>51</c:v>
                </c:pt>
              </c:numCache>
            </c:numRef>
          </c:val>
        </c:ser>
        <c:dLbls>
          <c:showLegendKey val="0"/>
          <c:showVal val="0"/>
          <c:showCatName val="0"/>
          <c:showSerName val="0"/>
          <c:showPercent val="0"/>
          <c:showBubbleSize val="0"/>
        </c:dLbls>
        <c:gapWidth val="246"/>
        <c:overlap val="-28"/>
        <c:axId val="658341830"/>
        <c:axId val="450998926"/>
      </c:barChart>
      <c:catAx>
        <c:axId val="6583418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0998926"/>
        <c:crosses val="autoZero"/>
        <c:auto val="1"/>
        <c:lblAlgn val="ctr"/>
        <c:lblOffset val="100"/>
        <c:noMultiLvlLbl val="0"/>
      </c:catAx>
      <c:valAx>
        <c:axId val="45099892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8341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接收政府信息依申请公开数量</a:t>
            </a:r>
          </a:p>
        </c:rich>
      </c:tx>
      <c:layout/>
      <c:overlay val="0"/>
      <c:spPr>
        <a:noFill/>
        <a:ln>
          <a:noFill/>
        </a:ln>
        <a:effectLst/>
      </c:spPr>
    </c:title>
    <c:autoTitleDeleted val="0"/>
    <c:plotArea>
      <c:layout>
        <c:manualLayout>
          <c:layoutTarget val="inner"/>
          <c:xMode val="edge"/>
          <c:yMode val="edge"/>
          <c:x val="0.0595071273254409"/>
          <c:y val="0.165108372290693"/>
          <c:w val="0.919352500604011"/>
          <c:h val="0.567870803229919"/>
        </c:manualLayout>
      </c:layout>
      <c:lineChart>
        <c:grouping val="standard"/>
        <c:varyColors val="0"/>
        <c:ser>
          <c:idx val="0"/>
          <c:order val="0"/>
          <c:tx>
            <c:strRef>
              <c:f>"件数"</c:f>
              <c:strCache>
                <c:ptCount val="1"/>
                <c:pt idx="0">
                  <c:v>件数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2019年</c:v>
                </c:pt>
                <c:pt idx="1">
                  <c:v>2020年</c:v>
                </c:pt>
                <c:pt idx="2">
                  <c:v>2021年</c:v>
                </c:pt>
                <c:pt idx="3">
                  <c:v>2022年</c:v>
                </c:pt>
                <c:pt idx="4">
                  <c:v>2023年</c:v>
                </c:pt>
              </c:strCache>
            </c:strRef>
          </c:cat>
          <c:val>
            <c:numRef>
              <c:f>Sheet1!$B$2:$B$6</c:f>
              <c:numCache>
                <c:formatCode>General</c:formatCode>
                <c:ptCount val="5"/>
                <c:pt idx="0">
                  <c:v>26</c:v>
                </c:pt>
                <c:pt idx="1">
                  <c:v>9</c:v>
                </c:pt>
                <c:pt idx="2">
                  <c:v>14</c:v>
                </c:pt>
                <c:pt idx="3">
                  <c:v>15</c:v>
                </c:pt>
                <c:pt idx="4">
                  <c:v>28</c:v>
                </c:pt>
              </c:numCache>
            </c:numRef>
          </c:val>
          <c:smooth val="0"/>
        </c:ser>
        <c:dLbls>
          <c:showLegendKey val="0"/>
          <c:showVal val="1"/>
          <c:showCatName val="0"/>
          <c:showSerName val="0"/>
          <c:showPercent val="0"/>
          <c:showBubbleSize val="0"/>
        </c:dLbls>
        <c:marker val="1"/>
        <c:smooth val="0"/>
        <c:axId val="186493683"/>
        <c:axId val="824365020"/>
      </c:lineChart>
      <c:catAx>
        <c:axId val="186493683"/>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365020"/>
        <c:crosses val="autoZero"/>
        <c:auto val="1"/>
        <c:lblAlgn val="ctr"/>
        <c:lblOffset val="100"/>
        <c:noMultiLvlLbl val="0"/>
      </c:catAx>
      <c:valAx>
        <c:axId val="82436502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493683"/>
        <c:crosses val="autoZero"/>
        <c:crossBetween val="between"/>
      </c:valAx>
      <c:spPr>
        <a:noFill/>
        <a:ln>
          <a:noFill/>
        </a:ln>
        <a:effectLst/>
      </c:spPr>
    </c:plotArea>
    <c:legend>
      <c:legendPos val="b"/>
      <c:layout>
        <c:manualLayout>
          <c:xMode val="edge"/>
          <c:yMode val="edge"/>
          <c:x val="0.459712490939841"/>
          <c:y val="0.90373990650233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2021-12-31T22:46:00Z</dcterms:created>
  <dc:creator>听风吹.</dc:creator>
  <cp:lastModifiedBy>Administrator</cp:lastModifiedBy>
  <dcterms:modified xsi:type="dcterms:W3CDTF">2024-02-18T01:32:41Z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CE0D5FC6E92542E385ADEFD4DC4A1047</vt:lpwstr>
  </property>
</Properties>
</file>