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峄城区人民政府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202</w:t>
      </w:r>
      <w:r>
        <w:rPr>
          <w:rFonts w:hint="eastAsia" w:ascii="方正小标宋简体" w:hAnsi="宋体" w:eastAsia="方正小标宋简体" w:cs="宋体"/>
          <w:color w:val="000000"/>
          <w:kern w:val="0"/>
          <w:sz w:val="44"/>
          <w:szCs w:val="44"/>
          <w:lang w:val="en-US" w:eastAsia="zh-CN"/>
        </w:rPr>
        <w:t>4</w:t>
      </w:r>
      <w:r>
        <w:rPr>
          <w:rFonts w:hint="eastAsia" w:ascii="方正小标宋简体" w:hAnsi="宋体" w:eastAsia="方正小标宋简体" w:cs="宋体"/>
          <w:color w:val="000000"/>
          <w:kern w:val="0"/>
          <w:sz w:val="44"/>
          <w:szCs w:val="44"/>
        </w:rPr>
        <w:t>年政府信息公开工作年度报告</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根据《中华人民共和国政府信息公开条例》</w:t>
      </w:r>
      <w:r>
        <w:rPr>
          <w:rFonts w:hint="eastAsia" w:ascii="仿宋_GB2312" w:hAnsi="仿宋_GB2312" w:eastAsia="仿宋_GB2312" w:cs="仿宋_GB2312"/>
          <w:sz w:val="32"/>
          <w:szCs w:val="32"/>
          <w:u w:val="none"/>
          <w:lang w:eastAsia="zh-CN"/>
        </w:rPr>
        <w:t>（以下简称《条例》）</w:t>
      </w:r>
      <w:r>
        <w:rPr>
          <w:rFonts w:hint="eastAsia" w:ascii="仿宋_GB2312" w:hAnsi="仿宋_GB2312" w:eastAsia="仿宋_GB2312" w:cs="仿宋_GB2312"/>
          <w:sz w:val="32"/>
          <w:szCs w:val="32"/>
          <w:u w:val="none"/>
        </w:rPr>
        <w:t>规定和《国务院办公厅政府信息与政务公开办公室关于印发〈中华人民共和国政府信息公开工作年度报告格式〉的通知》（国办公开办函〔2021〕30号）要求，现发布《峄城区人民政府</w:t>
      </w:r>
      <w:r>
        <w:rPr>
          <w:rFonts w:hint="eastAsia" w:ascii="仿宋_GB2312" w:hAnsi="仿宋_GB2312" w:eastAsia="仿宋_GB2312" w:cs="仿宋_GB2312"/>
          <w:sz w:val="32"/>
          <w:szCs w:val="32"/>
          <w:u w:val="none"/>
          <w:lang w:eastAsia="zh-CN"/>
        </w:rPr>
        <w:t>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本报告所列数据统计期限自202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年1月1日起至20</w:t>
      </w:r>
      <w:r>
        <w:rPr>
          <w:rFonts w:hint="eastAsia" w:ascii="仿宋_GB2312" w:hAnsi="仿宋_GB2312" w:eastAsia="仿宋_GB2312" w:cs="仿宋_GB2312"/>
          <w:sz w:val="32"/>
          <w:szCs w:val="32"/>
          <w:u w:val="none"/>
          <w:lang w:val="en-US" w:eastAsia="zh-CN"/>
        </w:rPr>
        <w:t>24</w:t>
      </w:r>
      <w:r>
        <w:rPr>
          <w:rFonts w:hint="eastAsia" w:ascii="仿宋_GB2312" w:hAnsi="仿宋_GB2312" w:eastAsia="仿宋_GB2312" w:cs="仿宋_GB2312"/>
          <w:sz w:val="32"/>
          <w:szCs w:val="32"/>
          <w:u w:val="none"/>
        </w:rPr>
        <w:t>年12月31日止。报告电子版可在“</w:t>
      </w:r>
      <w:r>
        <w:rPr>
          <w:rFonts w:hint="eastAsia" w:ascii="仿宋_GB2312" w:hAnsi="仿宋_GB2312" w:eastAsia="仿宋_GB2312" w:cs="仿宋_GB2312"/>
          <w:sz w:val="32"/>
          <w:szCs w:val="32"/>
          <w:u w:val="none"/>
          <w:lang w:eastAsia="zh-CN"/>
        </w:rPr>
        <w:t>峄城区人民政府</w:t>
      </w:r>
      <w:r>
        <w:rPr>
          <w:rFonts w:hint="eastAsia" w:ascii="仿宋_GB2312" w:hAnsi="仿宋_GB2312" w:eastAsia="仿宋_GB2312" w:cs="仿宋_GB2312"/>
          <w:sz w:val="32"/>
          <w:szCs w:val="32"/>
          <w:u w:val="none"/>
        </w:rPr>
        <w:t>”门户网站（www.</w:t>
      </w:r>
      <w:r>
        <w:rPr>
          <w:rFonts w:hint="eastAsia" w:ascii="仿宋_GB2312" w:hAnsi="仿宋_GB2312" w:eastAsia="仿宋_GB2312" w:cs="仿宋_GB2312"/>
          <w:sz w:val="32"/>
          <w:szCs w:val="32"/>
          <w:u w:val="none"/>
          <w:lang w:val="en-US" w:eastAsia="zh-CN"/>
        </w:rPr>
        <w:t>ycq</w:t>
      </w:r>
      <w:r>
        <w:rPr>
          <w:rFonts w:hint="eastAsia" w:ascii="仿宋_GB2312" w:hAnsi="仿宋_GB2312" w:eastAsia="仿宋_GB2312" w:cs="仿宋_GB2312"/>
          <w:sz w:val="32"/>
          <w:szCs w:val="32"/>
          <w:u w:val="none"/>
        </w:rPr>
        <w:t>.gov.cn）下载。如对本报告有疑问，请与区政府办公室政务公开</w:t>
      </w:r>
      <w:r>
        <w:rPr>
          <w:rFonts w:hint="eastAsia" w:ascii="仿宋_GB2312" w:hAnsi="仿宋_GB2312" w:eastAsia="仿宋_GB2312" w:cs="仿宋_GB2312"/>
          <w:sz w:val="32"/>
          <w:szCs w:val="32"/>
          <w:u w:val="none"/>
          <w:lang w:eastAsia="zh-CN"/>
        </w:rPr>
        <w:t>室</w:t>
      </w:r>
      <w:r>
        <w:rPr>
          <w:rFonts w:hint="eastAsia" w:ascii="仿宋_GB2312" w:hAnsi="仿宋_GB2312" w:eastAsia="仿宋_GB2312" w:cs="仿宋_GB2312"/>
          <w:sz w:val="32"/>
          <w:szCs w:val="32"/>
          <w:u w:val="none"/>
        </w:rPr>
        <w:t>联系（地址：</w:t>
      </w:r>
      <w:r>
        <w:rPr>
          <w:rFonts w:hint="eastAsia" w:ascii="仿宋_GB2312" w:hAnsi="仿宋_GB2312" w:eastAsia="仿宋_GB2312" w:cs="仿宋_GB2312"/>
          <w:sz w:val="32"/>
          <w:szCs w:val="32"/>
          <w:u w:val="none"/>
          <w:lang w:eastAsia="zh-CN"/>
        </w:rPr>
        <w:t>峄城区坛山路</w:t>
      </w:r>
      <w:r>
        <w:rPr>
          <w:rFonts w:hint="eastAsia" w:ascii="仿宋_GB2312" w:hAnsi="仿宋_GB2312" w:eastAsia="仿宋_GB2312" w:cs="仿宋_GB2312"/>
          <w:sz w:val="32"/>
          <w:szCs w:val="32"/>
          <w:u w:val="none"/>
        </w:rPr>
        <w:t>166号，邮编</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2</w:t>
      </w:r>
      <w:r>
        <w:rPr>
          <w:rFonts w:hint="eastAsia" w:ascii="仿宋_GB2312" w:hAnsi="仿宋_GB2312" w:eastAsia="仿宋_GB2312" w:cs="仿宋_GB2312"/>
          <w:sz w:val="32"/>
          <w:szCs w:val="32"/>
          <w:u w:val="none"/>
          <w:lang w:val="en-US" w:eastAsia="zh-CN"/>
        </w:rPr>
        <w:t>77300</w:t>
      </w:r>
      <w:r>
        <w:rPr>
          <w:rFonts w:hint="eastAsia" w:ascii="仿宋_GB2312" w:hAnsi="仿宋_GB2312" w:eastAsia="仿宋_GB2312" w:cs="仿宋_GB2312"/>
          <w:sz w:val="32"/>
          <w:szCs w:val="32"/>
          <w:u w:val="none"/>
        </w:rPr>
        <w:t>，电话：</w:t>
      </w:r>
      <w:r>
        <w:rPr>
          <w:rFonts w:hint="eastAsia" w:ascii="仿宋_GB2312" w:hAnsi="仿宋_GB2312" w:eastAsia="仿宋_GB2312" w:cs="仿宋_GB2312"/>
          <w:sz w:val="32"/>
          <w:szCs w:val="32"/>
          <w:u w:val="none"/>
          <w:lang w:val="en-US" w:eastAsia="zh-CN"/>
        </w:rPr>
        <w:t>0632</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8079175</w:t>
      </w:r>
      <w:r>
        <w:rPr>
          <w:rFonts w:hint="eastAsia" w:ascii="仿宋_GB2312" w:hAnsi="仿宋_GB2312" w:eastAsia="仿宋_GB2312" w:cs="仿宋_GB2312"/>
          <w:sz w:val="32"/>
          <w:szCs w:val="32"/>
          <w:u w:val="none"/>
        </w:rPr>
        <w:t>，邮箱：</w:t>
      </w:r>
      <w:r>
        <w:rPr>
          <w:rFonts w:hint="eastAsia" w:ascii="仿宋_GB2312" w:hAnsi="仿宋_GB2312" w:eastAsia="仿宋_GB2312" w:cs="仿宋_GB2312"/>
          <w:color w:val="auto"/>
          <w:sz w:val="32"/>
          <w:szCs w:val="32"/>
          <w:u w:val="none"/>
          <w:lang w:val="en-US" w:eastAsia="zh-CN"/>
        </w:rPr>
        <w:t>yczwgk@zz.shandong.cn</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2024年，峄城区政府积极贯彻执行中央及省、市关于政务公开的决策部署，</w:t>
      </w:r>
      <w:r>
        <w:rPr>
          <w:rFonts w:hint="default" w:ascii="仿宋_GB2312" w:hAnsi="仿宋_GB2312" w:eastAsia="仿宋_GB2312" w:cs="仿宋_GB2312"/>
          <w:sz w:val="32"/>
          <w:szCs w:val="32"/>
          <w:u w:val="none"/>
          <w:lang w:val="en-US" w:eastAsia="zh-CN"/>
        </w:rPr>
        <w:t>以习近平新时代中国特色社会主义思想为指导，全面贯彻落实党的二十届三中全会精神，严格遵循《中华人民共和国政府信息公开条例》，不断</w:t>
      </w:r>
      <w:r>
        <w:rPr>
          <w:rFonts w:hint="eastAsia" w:ascii="仿宋_GB2312" w:hAnsi="仿宋_GB2312" w:eastAsia="仿宋_GB2312" w:cs="仿宋_GB2312"/>
          <w:sz w:val="32"/>
          <w:szCs w:val="32"/>
          <w:u w:val="none"/>
          <w:lang w:val="en-US" w:eastAsia="zh-CN"/>
        </w:rPr>
        <w:t>优化</w:t>
      </w:r>
      <w:r>
        <w:rPr>
          <w:rFonts w:hint="default" w:ascii="仿宋_GB2312" w:hAnsi="仿宋_GB2312" w:eastAsia="仿宋_GB2312" w:cs="仿宋_GB2312"/>
          <w:sz w:val="32"/>
          <w:szCs w:val="32"/>
          <w:u w:val="none"/>
          <w:lang w:val="en-US" w:eastAsia="zh-CN"/>
        </w:rPr>
        <w:t>主动公开、依申请公开、政策解读等各项工作，积极推进</w:t>
      </w:r>
      <w:r>
        <w:rPr>
          <w:rFonts w:hint="eastAsia" w:ascii="仿宋_GB2312" w:hAnsi="仿宋_GB2312" w:eastAsia="仿宋_GB2312" w:cs="仿宋_GB2312"/>
          <w:sz w:val="32"/>
          <w:szCs w:val="32"/>
          <w:u w:val="none"/>
          <w:lang w:val="en-US" w:eastAsia="zh-CN"/>
        </w:rPr>
        <w:t>政府</w:t>
      </w:r>
      <w:r>
        <w:rPr>
          <w:rFonts w:hint="default" w:ascii="仿宋_GB2312" w:hAnsi="仿宋_GB2312" w:eastAsia="仿宋_GB2312" w:cs="仿宋_GB2312"/>
          <w:sz w:val="32"/>
          <w:szCs w:val="32"/>
          <w:u w:val="none"/>
          <w:lang w:val="en-US" w:eastAsia="zh-CN"/>
        </w:rPr>
        <w:t>信息公开工作，</w:t>
      </w:r>
      <w:r>
        <w:rPr>
          <w:rFonts w:hint="eastAsia" w:ascii="仿宋_GB2312" w:hAnsi="仿宋_GB2312" w:eastAsia="仿宋_GB2312" w:cs="仿宋_GB2312"/>
          <w:sz w:val="32"/>
          <w:szCs w:val="32"/>
          <w:u w:val="none"/>
          <w:lang w:eastAsia="zh-CN"/>
        </w:rPr>
        <w:t>及时</w:t>
      </w:r>
      <w:r>
        <w:rPr>
          <w:rFonts w:hint="eastAsia" w:ascii="仿宋_GB2312" w:hAnsi="仿宋_GB2312" w:eastAsia="仿宋_GB2312" w:cs="仿宋_GB2312"/>
          <w:sz w:val="32"/>
          <w:szCs w:val="32"/>
          <w:u w:val="none"/>
        </w:rPr>
        <w:t>回应公众关注的问题，</w:t>
      </w:r>
      <w:r>
        <w:rPr>
          <w:rFonts w:hint="default" w:ascii="仿宋_GB2312" w:hAnsi="仿宋_GB2312" w:eastAsia="仿宋_GB2312" w:cs="仿宋_GB2312"/>
          <w:sz w:val="32"/>
          <w:szCs w:val="32"/>
          <w:u w:val="none"/>
          <w:lang w:val="en-US" w:eastAsia="zh-CN"/>
        </w:rPr>
        <w:t>致力于保障公民、法人和其他组织的知情权，提高政府工作透明度</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建立开放</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透明的政府。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（一）主动公开内容更全面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u w:val="none"/>
          <w:lang w:eastAsia="zh-CN" w:bidi="ar-SA"/>
        </w:rPr>
        <w:t>严格贯彻落实</w:t>
      </w:r>
      <w:r>
        <w:rPr>
          <w:rFonts w:ascii="仿宋_GB2312" w:hAnsi="仿宋_GB2312" w:eastAsia="仿宋_GB2312" w:cs="仿宋_GB2312"/>
          <w:kern w:val="2"/>
          <w:sz w:val="32"/>
          <w:szCs w:val="32"/>
          <w:u w:val="none"/>
          <w:lang w:bidi="ar-SA"/>
        </w:rPr>
        <w:t>《</w:t>
      </w:r>
      <w:r>
        <w:rPr>
          <w:rFonts w:hint="default" w:ascii="仿宋_GB2312" w:hAnsi="仿宋_GB2312" w:eastAsia="仿宋_GB2312" w:cs="仿宋_GB2312"/>
          <w:sz w:val="32"/>
          <w:szCs w:val="32"/>
          <w:u w:val="none"/>
          <w:lang w:val="en-US" w:eastAsia="zh-CN"/>
        </w:rPr>
        <w:t>中华人民共和国政府信息公开条例</w:t>
      </w:r>
      <w:r>
        <w:rPr>
          <w:rFonts w:ascii="仿宋_GB2312" w:hAnsi="仿宋_GB2312" w:eastAsia="仿宋_GB2312" w:cs="仿宋_GB2312"/>
          <w:kern w:val="2"/>
          <w:sz w:val="32"/>
          <w:szCs w:val="32"/>
          <w:u w:val="none"/>
          <w:lang w:bidi="ar-SA"/>
        </w:rPr>
        <w:t>》，全年通过</w:t>
      </w:r>
      <w:r>
        <w:rPr>
          <w:rFonts w:hint="eastAsia" w:ascii="仿宋_GB2312" w:hAnsi="仿宋_GB2312" w:eastAsia="仿宋_GB2312" w:cs="仿宋_GB2312"/>
          <w:kern w:val="2"/>
          <w:sz w:val="32"/>
          <w:szCs w:val="32"/>
          <w:u w:val="none"/>
          <w:lang w:eastAsia="zh-CN" w:bidi="ar-SA"/>
        </w:rPr>
        <w:t>区政府门户网站的</w:t>
      </w:r>
      <w:r>
        <w:rPr>
          <w:rFonts w:ascii="仿宋_GB2312" w:hAnsi="仿宋_GB2312" w:eastAsia="仿宋_GB2312" w:cs="仿宋_GB2312"/>
          <w:kern w:val="2"/>
          <w:sz w:val="32"/>
          <w:szCs w:val="32"/>
          <w:u w:val="none"/>
          <w:lang w:bidi="ar-SA"/>
        </w:rPr>
        <w:t>政府信息</w:t>
      </w:r>
      <w:r>
        <w:rPr>
          <w:rFonts w:hint="eastAsia" w:ascii="仿宋_GB2312" w:hAnsi="仿宋_GB2312" w:eastAsia="仿宋_GB2312" w:cs="仿宋_GB2312"/>
          <w:kern w:val="2"/>
          <w:sz w:val="32"/>
          <w:szCs w:val="32"/>
          <w:u w:val="none"/>
          <w:lang w:eastAsia="zh-CN" w:bidi="ar-SA"/>
        </w:rPr>
        <w:t>公开专栏</w:t>
      </w:r>
      <w:r>
        <w:rPr>
          <w:rFonts w:ascii="仿宋_GB2312" w:hAnsi="仿宋_GB2312" w:eastAsia="仿宋_GB2312" w:cs="仿宋_GB2312"/>
          <w:kern w:val="2"/>
          <w:sz w:val="32"/>
          <w:szCs w:val="32"/>
          <w:u w:val="none"/>
          <w:lang w:bidi="ar-SA"/>
        </w:rPr>
        <w:t>主动</w:t>
      </w:r>
      <w:r>
        <w:rPr>
          <w:rFonts w:hint="eastAsia" w:ascii="仿宋_GB2312" w:hAnsi="仿宋_GB2312" w:eastAsia="仿宋_GB2312" w:cs="仿宋_GB2312"/>
          <w:kern w:val="2"/>
          <w:sz w:val="32"/>
          <w:szCs w:val="32"/>
          <w:u w:val="none"/>
          <w:lang w:eastAsia="zh-CN" w:bidi="ar-SA"/>
        </w:rPr>
        <w:t>公开信息</w:t>
      </w:r>
      <w:r>
        <w:rPr>
          <w:rFonts w:ascii="仿宋_GB2312" w:hAnsi="仿宋_GB2312" w:eastAsia="仿宋_GB2312" w:cs="仿宋_GB2312"/>
          <w:kern w:val="2"/>
          <w:sz w:val="32"/>
          <w:szCs w:val="32"/>
          <w:u w:val="none"/>
          <w:lang w:bidi="ar-SA"/>
        </w:rPr>
        <w:t>共计</w:t>
      </w:r>
      <w:r>
        <w:rPr>
          <w:rFonts w:hint="eastAsia" w:ascii="仿宋_GB2312" w:hAnsi="仿宋_GB2312" w:eastAsia="仿宋_GB2312" w:cs="仿宋_GB2312"/>
          <w:kern w:val="2"/>
          <w:sz w:val="32"/>
          <w:szCs w:val="32"/>
          <w:highlight w:val="none"/>
          <w:u w:val="none"/>
          <w:lang w:val="en-US" w:eastAsia="zh-CN" w:bidi="ar-SA"/>
        </w:rPr>
        <w:t>3939</w:t>
      </w:r>
      <w:r>
        <w:rPr>
          <w:rFonts w:ascii="仿宋_GB2312" w:hAnsi="仿宋_GB2312" w:eastAsia="仿宋_GB2312" w:cs="仿宋_GB2312"/>
          <w:kern w:val="2"/>
          <w:sz w:val="32"/>
          <w:szCs w:val="32"/>
          <w:u w:val="none"/>
          <w:lang w:bidi="ar-SA"/>
        </w:rPr>
        <w:t>条，</w:t>
      </w:r>
      <w:r>
        <w:rPr>
          <w:rFonts w:hint="eastAsia" w:ascii="仿宋_GB2312" w:hAnsi="仿宋_GB2312" w:eastAsia="仿宋_GB2312" w:cs="仿宋_GB2312"/>
          <w:sz w:val="32"/>
          <w:szCs w:val="32"/>
        </w:rPr>
        <w:t>发布峄城区人民政府公报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期。及时主动公开政府文件、常务会议等内容，督促部门及时公开社会公益事业建设、行政执法、公共监管、建议提案办理等方面信息。</w:t>
      </w:r>
      <w:r>
        <w:rPr>
          <w:rFonts w:ascii="仿宋_GB2312" w:hAnsi="仿宋_GB2312" w:eastAsia="仿宋_GB2312" w:cs="仿宋_GB2312"/>
          <w:kern w:val="2"/>
          <w:sz w:val="32"/>
          <w:szCs w:val="32"/>
          <w:u w:val="none"/>
          <w:lang w:bidi="ar-SA"/>
        </w:rPr>
        <w:t>主动公开公文</w:t>
      </w:r>
      <w:r>
        <w:rPr>
          <w:rFonts w:hint="eastAsia" w:ascii="仿宋_GB2312" w:hAnsi="仿宋_GB2312" w:eastAsia="仿宋_GB2312" w:cs="仿宋_GB2312"/>
          <w:kern w:val="2"/>
          <w:sz w:val="32"/>
          <w:szCs w:val="32"/>
          <w:highlight w:val="none"/>
          <w:u w:val="none"/>
          <w:lang w:val="en-US" w:eastAsia="zh-CN" w:bidi="ar-SA"/>
        </w:rPr>
        <w:t>19</w:t>
      </w:r>
      <w:r>
        <w:rPr>
          <w:rFonts w:ascii="仿宋_GB2312" w:hAnsi="仿宋_GB2312" w:eastAsia="仿宋_GB2312" w:cs="仿宋_GB2312"/>
          <w:kern w:val="2"/>
          <w:sz w:val="32"/>
          <w:szCs w:val="32"/>
          <w:u w:val="none"/>
          <w:lang w:bidi="ar-SA"/>
        </w:rPr>
        <w:t>件</w:t>
      </w:r>
      <w:r>
        <w:rPr>
          <w:rFonts w:hint="eastAsia" w:ascii="仿宋_GB2312" w:hAnsi="仿宋_GB2312" w:eastAsia="仿宋_GB2312" w:cs="仿宋_GB2312"/>
          <w:kern w:val="2"/>
          <w:sz w:val="32"/>
          <w:szCs w:val="32"/>
          <w:u w:val="none"/>
          <w:lang w:eastAsia="zh-CN" w:bidi="ar-SA"/>
        </w:rPr>
        <w:t>，其中重要政策文件</w:t>
      </w:r>
      <w:r>
        <w:rPr>
          <w:rFonts w:hint="eastAsia" w:ascii="仿宋_GB2312" w:hAnsi="仿宋_GB2312" w:eastAsia="仿宋_GB2312" w:cs="仿宋_GB2312"/>
          <w:kern w:val="2"/>
          <w:sz w:val="32"/>
          <w:szCs w:val="32"/>
          <w:u w:val="none"/>
          <w:lang w:val="en-US" w:eastAsia="zh-CN" w:bidi="ar-SA"/>
        </w:rPr>
        <w:t>12个，</w:t>
      </w:r>
      <w:r>
        <w:rPr>
          <w:rFonts w:hint="eastAsia" w:ascii="仿宋_GB2312" w:hAnsi="仿宋_GB2312" w:eastAsia="仿宋_GB2312" w:cs="仿宋_GB2312"/>
          <w:kern w:val="2"/>
          <w:sz w:val="32"/>
          <w:szCs w:val="32"/>
          <w:u w:val="none"/>
          <w:lang w:eastAsia="zh-CN" w:bidi="ar-SA"/>
        </w:rPr>
        <w:t>多角度解读方面，负责人通过</w:t>
      </w:r>
      <w:r>
        <w:rPr>
          <w:rFonts w:hint="eastAsia" w:ascii="仿宋_GB2312" w:hAnsi="仿宋_GB2312" w:eastAsia="仿宋_GB2312" w:cs="仿宋_GB2312"/>
          <w:sz w:val="32"/>
          <w:szCs w:val="32"/>
        </w:rPr>
        <w:t>新闻发布会解读</w:t>
      </w:r>
      <w:r>
        <w:rPr>
          <w:rFonts w:hint="eastAsia" w:ascii="仿宋_GB2312" w:hAnsi="仿宋_GB2312" w:eastAsia="仿宋_GB2312" w:cs="仿宋_GB2312"/>
          <w:sz w:val="32"/>
          <w:szCs w:val="32"/>
          <w:lang w:eastAsia="zh-CN"/>
        </w:rPr>
        <w:t>重要政策文件</w:t>
      </w:r>
      <w:r>
        <w:rPr>
          <w:rFonts w:hint="eastAsia" w:ascii="仿宋_GB2312" w:hAnsi="仿宋_GB2312" w:eastAsia="仿宋_GB2312" w:cs="仿宋_GB2312"/>
          <w:sz w:val="32"/>
          <w:szCs w:val="32"/>
        </w:rPr>
        <w:t>4个，专家解读</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个，媒体解读</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；多形式解读方面，发布重要政策一图读懂</w:t>
      </w:r>
      <w:r>
        <w:rPr>
          <w:rFonts w:hint="eastAsia" w:ascii="仿宋_GB2312" w:hAnsi="仿宋_GB2312" w:eastAsia="仿宋_GB2312" w:cs="仿宋_GB2312"/>
          <w:sz w:val="32"/>
          <w:szCs w:val="32"/>
          <w:lang w:val="en-US" w:eastAsia="zh-CN"/>
        </w:rPr>
        <w:t>10个、</w:t>
      </w:r>
      <w:r>
        <w:rPr>
          <w:rFonts w:hint="eastAsia" w:ascii="仿宋_GB2312" w:hAnsi="仿宋_GB2312" w:eastAsia="仿宋_GB2312" w:cs="仿宋_GB2312"/>
          <w:sz w:val="32"/>
          <w:szCs w:val="32"/>
          <w:highlight w:val="none"/>
          <w:lang w:val="en-US" w:eastAsia="zh-CN"/>
        </w:rPr>
        <w:t>音频解读5个、动漫视频解读3个</w:t>
      </w:r>
      <w:r>
        <w:rPr>
          <w:rFonts w:hint="eastAsia" w:ascii="仿宋_GB2312" w:hAnsi="仿宋_GB2312" w:eastAsia="仿宋_GB2312" w:cs="仿宋_GB2312"/>
          <w:sz w:val="32"/>
          <w:szCs w:val="32"/>
          <w:lang w:val="en-US" w:eastAsia="zh-CN"/>
        </w:rPr>
        <w:t>，全年</w:t>
      </w:r>
      <w:r>
        <w:rPr>
          <w:rFonts w:ascii="仿宋_GB2312" w:hAnsi="仿宋_GB2312" w:eastAsia="仿宋_GB2312" w:cs="仿宋_GB2312"/>
          <w:kern w:val="2"/>
          <w:sz w:val="32"/>
          <w:szCs w:val="32"/>
          <w:u w:val="none"/>
          <w:lang w:bidi="ar-SA"/>
        </w:rPr>
        <w:t>共发布政策解读</w:t>
      </w:r>
      <w:r>
        <w:rPr>
          <w:rFonts w:hint="eastAsia" w:ascii="仿宋_GB2312" w:hAnsi="仿宋_GB2312" w:eastAsia="仿宋_GB2312" w:cs="仿宋_GB2312"/>
          <w:kern w:val="2"/>
          <w:sz w:val="32"/>
          <w:szCs w:val="32"/>
          <w:highlight w:val="none"/>
          <w:u w:val="none"/>
          <w:lang w:val="en-US" w:eastAsia="zh-CN" w:bidi="ar-SA"/>
        </w:rPr>
        <w:t>48</w:t>
      </w:r>
      <w:r>
        <w:rPr>
          <w:rFonts w:hint="eastAsia" w:ascii="仿宋_GB2312" w:hAnsi="仿宋_GB2312" w:eastAsia="仿宋_GB2312" w:cs="仿宋_GB2312"/>
          <w:kern w:val="2"/>
          <w:sz w:val="32"/>
          <w:szCs w:val="32"/>
          <w:u w:val="none"/>
          <w:lang w:eastAsia="zh-CN" w:bidi="ar-SA"/>
        </w:rPr>
        <w:t>个。分级分类</w:t>
      </w:r>
      <w:r>
        <w:rPr>
          <w:rFonts w:ascii="仿宋_GB2312" w:hAnsi="仿宋_GB2312" w:eastAsia="仿宋_GB2312" w:cs="仿宋_GB2312"/>
          <w:kern w:val="2"/>
          <w:sz w:val="32"/>
          <w:szCs w:val="32"/>
          <w:u w:val="none"/>
          <w:lang w:bidi="ar-SA"/>
        </w:rPr>
        <w:t>公布</w:t>
      </w:r>
      <w:r>
        <w:rPr>
          <w:rFonts w:hint="eastAsia" w:ascii="仿宋_GB2312" w:hAnsi="仿宋_GB2312" w:eastAsia="仿宋_GB2312" w:cs="仿宋_GB2312"/>
          <w:kern w:val="2"/>
          <w:sz w:val="32"/>
          <w:szCs w:val="32"/>
          <w:u w:val="none"/>
          <w:lang w:eastAsia="zh-CN" w:bidi="ar-SA"/>
        </w:rPr>
        <w:t>各</w:t>
      </w:r>
      <w:r>
        <w:rPr>
          <w:rFonts w:ascii="仿宋_GB2312" w:hAnsi="仿宋_GB2312" w:eastAsia="仿宋_GB2312" w:cs="仿宋_GB2312"/>
          <w:kern w:val="2"/>
          <w:sz w:val="32"/>
          <w:szCs w:val="32"/>
          <w:u w:val="none"/>
          <w:lang w:bidi="ar-SA"/>
        </w:rPr>
        <w:t>级人大代表建议、政协委员提案的办理结果</w:t>
      </w:r>
      <w:r>
        <w:rPr>
          <w:rFonts w:hint="eastAsia" w:ascii="仿宋_GB2312" w:hAnsi="仿宋_GB2312" w:eastAsia="仿宋_GB2312" w:cs="仿宋_GB2312"/>
          <w:kern w:val="2"/>
          <w:sz w:val="32"/>
          <w:szCs w:val="32"/>
          <w:highlight w:val="none"/>
          <w:u w:val="none"/>
          <w:lang w:val="en-US" w:eastAsia="zh-CN" w:bidi="ar-SA"/>
        </w:rPr>
        <w:t>303</w:t>
      </w:r>
      <w:r>
        <w:rPr>
          <w:rFonts w:ascii="仿宋_GB2312" w:hAnsi="仿宋_GB2312" w:eastAsia="仿宋_GB2312" w:cs="仿宋_GB2312"/>
          <w:kern w:val="2"/>
          <w:sz w:val="32"/>
          <w:szCs w:val="32"/>
          <w:u w:val="none"/>
          <w:lang w:bidi="ar-SA"/>
        </w:rPr>
        <w:t>件，定期公开财政预决算、行政执法、科教文卫、食品安全、社会救助和福利、社会保险就业创业等领域的信息。通过邀请群众代表参加政府常务会议</w:t>
      </w:r>
      <w:r>
        <w:rPr>
          <w:rFonts w:hint="eastAsia" w:ascii="仿宋_GB2312" w:hAnsi="仿宋_GB2312" w:eastAsia="仿宋_GB2312" w:cs="仿宋_GB2312"/>
          <w:kern w:val="2"/>
          <w:sz w:val="32"/>
          <w:szCs w:val="32"/>
          <w:highlight w:val="none"/>
          <w:u w:val="none"/>
          <w:lang w:val="en-US" w:eastAsia="zh-CN" w:bidi="ar-SA"/>
        </w:rPr>
        <w:t>3</w:t>
      </w:r>
      <w:r>
        <w:rPr>
          <w:rFonts w:ascii="仿宋_GB2312" w:hAnsi="仿宋_GB2312" w:eastAsia="仿宋_GB2312" w:cs="仿宋_GB2312"/>
          <w:kern w:val="2"/>
          <w:sz w:val="32"/>
          <w:szCs w:val="32"/>
          <w:u w:val="none"/>
          <w:lang w:bidi="ar-SA"/>
        </w:rPr>
        <w:t>次</w:t>
      </w:r>
      <w:r>
        <w:rPr>
          <w:rFonts w:hint="eastAsia" w:ascii="仿宋_GB2312" w:hAnsi="仿宋_GB2312" w:eastAsia="仿宋_GB2312" w:cs="仿宋_GB2312"/>
          <w:kern w:val="2"/>
          <w:sz w:val="32"/>
          <w:szCs w:val="32"/>
          <w:u w:val="none"/>
          <w:lang w:eastAsia="zh-CN" w:bidi="ar-SA"/>
        </w:rPr>
        <w:t>，</w:t>
      </w:r>
      <w:r>
        <w:rPr>
          <w:rFonts w:hint="eastAsia" w:ascii="仿宋_GB2312" w:hAnsi="仿宋_GB2312" w:eastAsia="仿宋_GB2312" w:cs="仿宋_GB2312"/>
          <w:sz w:val="32"/>
          <w:szCs w:val="32"/>
        </w:rPr>
        <w:t>集中开展“政府开放月”活动</w:t>
      </w:r>
      <w:r>
        <w:rPr>
          <w:rFonts w:hint="eastAsia" w:ascii="仿宋_GB2312" w:hAnsi="仿宋_GB2312" w:eastAsia="仿宋_GB2312" w:cs="仿宋_GB2312"/>
          <w:sz w:val="32"/>
          <w:szCs w:val="32"/>
          <w:lang w:eastAsia="zh-CN"/>
        </w:rPr>
        <w:t>，</w:t>
      </w:r>
      <w:r>
        <w:rPr>
          <w:rFonts w:ascii="仿宋_GB2312" w:hAnsi="仿宋_GB2312" w:eastAsia="仿宋_GB2312" w:cs="仿宋_GB2312"/>
          <w:kern w:val="2"/>
          <w:sz w:val="32"/>
          <w:szCs w:val="32"/>
          <w:u w:val="none"/>
          <w:lang w:bidi="ar-SA"/>
        </w:rPr>
        <w:t>主动回应群众关切，</w:t>
      </w:r>
      <w:r>
        <w:rPr>
          <w:rFonts w:hint="eastAsia" w:ascii="仿宋_GB2312" w:hAnsi="仿宋_GB2312" w:eastAsia="仿宋_GB2312" w:cs="仿宋_GB2312"/>
          <w:kern w:val="2"/>
          <w:sz w:val="32"/>
          <w:szCs w:val="32"/>
          <w:u w:val="none"/>
          <w:lang w:eastAsia="zh-CN" w:bidi="ar-SA"/>
        </w:rPr>
        <w:t>做到了</w:t>
      </w:r>
      <w:r>
        <w:rPr>
          <w:rFonts w:hint="eastAsia" w:ascii="仿宋_GB2312" w:hAnsi="仿宋_GB2312" w:eastAsia="仿宋_GB2312" w:cs="仿宋_GB2312"/>
          <w:sz w:val="32"/>
          <w:szCs w:val="32"/>
          <w:lang w:eastAsia="zh-CN"/>
        </w:rPr>
        <w:t>有效保障群众的知情权、参与权和监督权</w:t>
      </w:r>
      <w:r>
        <w:rPr>
          <w:rFonts w:hint="eastAsia" w:ascii="仿宋_GB2312" w:hAnsi="仿宋_GB2312" w:eastAsia="仿宋_GB2312" w:cs="仿宋_GB2312"/>
          <w:sz w:val="32"/>
          <w:szCs w:val="32"/>
        </w:rPr>
        <w:t>。</w:t>
      </w:r>
    </w:p>
    <w:p>
      <w:pPr>
        <w:pStyle w:val="2"/>
        <w:jc w:val="center"/>
        <w:rPr>
          <w:rFonts w:hint="eastAsia"/>
          <w:lang w:val="en-US" w:eastAsia="zh-CN"/>
        </w:rPr>
      </w:pPr>
      <w:r>
        <w:rPr>
          <w:rFonts w:hint="eastAsia"/>
          <w:lang w:val="en-US" w:eastAsia="zh-CN"/>
        </w:rPr>
        <w:drawing>
          <wp:inline distT="0" distB="0" distL="114300" distR="114300">
            <wp:extent cx="5256530" cy="2988310"/>
            <wp:effectExtent l="5080" t="4445" r="15240" b="1714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jc w:val="center"/>
        <w:rPr>
          <w:rFonts w:hint="eastAsia"/>
          <w:lang w:val="en-US" w:eastAsia="zh-CN"/>
        </w:rPr>
      </w:pPr>
      <w:r>
        <w:rPr>
          <w:rFonts w:hint="eastAsia"/>
          <w:lang w:val="en-US" w:eastAsia="zh-CN"/>
        </w:rPr>
        <w:drawing>
          <wp:inline distT="0" distB="0" distL="114300" distR="114300">
            <wp:extent cx="5256530" cy="2988310"/>
            <wp:effectExtent l="5080" t="4445" r="15240" b="17145"/>
            <wp:docPr id="16" name="图表 16" descr="7b0a202020202263686172745265734964223a202232303437363435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color w:val="000000"/>
          <w:sz w:val="32"/>
          <w:szCs w:val="32"/>
          <w:u w:val="none"/>
          <w:lang w:eastAsia="zh-CN"/>
        </w:rPr>
        <w:t>（二）依申请公开办理更规范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hAnsi="Times New Roman" w:eastAsia="仿宋_GB2312" w:cs="Times New Roman"/>
          <w:kern w:val="2"/>
          <w:sz w:val="32"/>
          <w:szCs w:val="32"/>
          <w:lang w:eastAsia="zh-CN" w:bidi="ar-SA"/>
        </w:rPr>
        <w:t>全区</w:t>
      </w:r>
      <w:r>
        <w:rPr>
          <w:rFonts w:ascii="仿宋_GB2312" w:eastAsia="仿宋_GB2312"/>
          <w:sz w:val="32"/>
          <w:szCs w:val="32"/>
        </w:rPr>
        <w:t>高度重视政府信息依申请公开工作，</w:t>
      </w:r>
      <w:r>
        <w:rPr>
          <w:rFonts w:hint="eastAsia" w:ascii="仿宋_GB2312" w:eastAsia="仿宋_GB2312"/>
          <w:sz w:val="32"/>
          <w:szCs w:val="32"/>
        </w:rPr>
        <w:t>通过</w:t>
      </w:r>
      <w:r>
        <w:rPr>
          <w:rFonts w:ascii="仿宋_GB2312" w:eastAsia="仿宋_GB2312"/>
          <w:sz w:val="32"/>
          <w:szCs w:val="32"/>
        </w:rPr>
        <w:t>规范依申请公开办理工作流程</w:t>
      </w:r>
      <w:r>
        <w:rPr>
          <w:rFonts w:hint="eastAsia" w:ascii="仿宋_GB2312" w:eastAsia="仿宋_GB2312"/>
          <w:sz w:val="32"/>
          <w:szCs w:val="32"/>
          <w:lang w:eastAsia="zh-CN"/>
        </w:rPr>
        <w:t>、</w:t>
      </w:r>
      <w:r>
        <w:rPr>
          <w:rFonts w:ascii="仿宋_GB2312" w:hAnsi="Times New Roman" w:eastAsia="仿宋_GB2312" w:cs="Times New Roman"/>
          <w:kern w:val="2"/>
          <w:sz w:val="32"/>
          <w:szCs w:val="32"/>
          <w:lang w:bidi="ar-SA"/>
        </w:rPr>
        <w:t>持续</w:t>
      </w:r>
      <w:r>
        <w:rPr>
          <w:rFonts w:hint="eastAsia" w:ascii="仿宋_GB2312" w:hAnsi="Times New Roman" w:eastAsia="仿宋_GB2312" w:cs="Times New Roman"/>
          <w:kern w:val="2"/>
          <w:sz w:val="32"/>
          <w:szCs w:val="32"/>
          <w:lang w:eastAsia="zh-CN" w:bidi="ar-SA"/>
        </w:rPr>
        <w:t>优化</w:t>
      </w:r>
      <w:r>
        <w:rPr>
          <w:rFonts w:ascii="仿宋_GB2312" w:eastAsia="仿宋_GB2312"/>
          <w:sz w:val="32"/>
          <w:szCs w:val="32"/>
        </w:rPr>
        <w:t>办理方式</w:t>
      </w:r>
      <w:r>
        <w:rPr>
          <w:rFonts w:hint="eastAsia" w:ascii="仿宋_GB2312" w:eastAsia="仿宋_GB2312"/>
          <w:sz w:val="32"/>
          <w:szCs w:val="32"/>
        </w:rPr>
        <w:t>等措施</w:t>
      </w:r>
      <w:r>
        <w:rPr>
          <w:rFonts w:hint="eastAsia" w:ascii="仿宋_GB2312" w:eastAsia="仿宋_GB2312"/>
          <w:sz w:val="32"/>
          <w:szCs w:val="32"/>
          <w:lang w:eastAsia="zh-CN"/>
        </w:rPr>
        <w:t>，</w:t>
      </w:r>
      <w:r>
        <w:rPr>
          <w:rFonts w:ascii="仿宋_GB2312" w:hAnsi="Times New Roman" w:eastAsia="仿宋_GB2312" w:cs="Times New Roman"/>
          <w:kern w:val="2"/>
          <w:sz w:val="32"/>
          <w:szCs w:val="32"/>
          <w:lang w:bidi="ar-SA"/>
        </w:rPr>
        <w:t>确保依申请公开途径畅通无阻，</w:t>
      </w:r>
      <w:r>
        <w:rPr>
          <w:rFonts w:hint="eastAsia" w:ascii="仿宋_GB2312" w:eastAsia="仿宋_GB2312" w:cs="Times New Roman"/>
          <w:kern w:val="2"/>
          <w:sz w:val="32"/>
          <w:szCs w:val="32"/>
          <w:lang w:eastAsia="zh-CN" w:bidi="ar-SA"/>
        </w:rPr>
        <w:t>回复前多方研判、</w:t>
      </w:r>
      <w:r>
        <w:rPr>
          <w:rFonts w:ascii="仿宋_GB2312" w:hAnsi="Times New Roman" w:eastAsia="仿宋_GB2312" w:cs="Times New Roman"/>
          <w:kern w:val="2"/>
          <w:sz w:val="32"/>
          <w:szCs w:val="32"/>
          <w:lang w:bidi="ar-SA"/>
        </w:rPr>
        <w:t>深入讨论</w:t>
      </w:r>
      <w:r>
        <w:rPr>
          <w:rFonts w:hint="eastAsia" w:ascii="仿宋_GB2312" w:hAnsi="Times New Roman" w:eastAsia="仿宋_GB2312" w:cs="Times New Roman"/>
          <w:kern w:val="2"/>
          <w:sz w:val="32"/>
          <w:szCs w:val="32"/>
          <w:lang w:eastAsia="zh-CN" w:bidi="ar-SA"/>
        </w:rPr>
        <w:t>并对办理情况做好详细记录</w:t>
      </w:r>
      <w:r>
        <w:rPr>
          <w:rFonts w:ascii="仿宋_GB2312" w:hAnsi="Times New Roman" w:eastAsia="仿宋_GB2312" w:cs="Times New Roman"/>
          <w:kern w:val="2"/>
          <w:sz w:val="32"/>
          <w:szCs w:val="32"/>
          <w:lang w:bidi="ar-SA"/>
        </w:rPr>
        <w:t>。2024年共收到28件政府信息公开申请，均在规定时间内给予答复，其中：</w:t>
      </w:r>
      <w:r>
        <w:rPr>
          <w:rFonts w:hint="eastAsia" w:ascii="仿宋_GB2312" w:eastAsia="仿宋_GB2312"/>
          <w:sz w:val="32"/>
          <w:szCs w:val="32"/>
          <w:lang w:val="en-US" w:eastAsia="zh-CN"/>
        </w:rPr>
        <w:t>予以公开8件，部分公开8件，因“属于行政执法案卷”不予公开3件，无法提供7件，不予处理2件。</w:t>
      </w:r>
      <w:r>
        <w:rPr>
          <w:rFonts w:ascii="仿宋_GB2312" w:hAnsi="Times New Roman" w:eastAsia="仿宋_GB2312" w:cs="Times New Roman"/>
          <w:kern w:val="2"/>
          <w:sz w:val="32"/>
          <w:szCs w:val="32"/>
          <w:lang w:bidi="ar-SA"/>
        </w:rPr>
        <w:t>从申请主体来看，</w:t>
      </w:r>
      <w:r>
        <w:rPr>
          <w:rFonts w:hint="eastAsia" w:ascii="仿宋_GB2312" w:hAnsi="Times New Roman" w:eastAsia="仿宋_GB2312" w:cs="Times New Roman"/>
          <w:kern w:val="2"/>
          <w:sz w:val="32"/>
          <w:szCs w:val="32"/>
          <w:lang w:eastAsia="zh-CN" w:bidi="ar-SA"/>
        </w:rPr>
        <w:t>均是</w:t>
      </w:r>
      <w:r>
        <w:rPr>
          <w:rFonts w:ascii="仿宋_GB2312" w:hAnsi="Times New Roman" w:eastAsia="仿宋_GB2312" w:cs="Times New Roman"/>
          <w:kern w:val="2"/>
          <w:sz w:val="32"/>
          <w:szCs w:val="32"/>
          <w:lang w:bidi="ar-SA"/>
        </w:rPr>
        <w:t>自然人提出</w:t>
      </w:r>
      <w:r>
        <w:rPr>
          <w:rFonts w:hint="eastAsia" w:ascii="仿宋_GB2312" w:hAnsi="Times New Roman" w:eastAsia="仿宋_GB2312" w:cs="Times New Roman"/>
          <w:kern w:val="2"/>
          <w:sz w:val="32"/>
          <w:szCs w:val="32"/>
          <w:lang w:eastAsia="zh-CN" w:bidi="ar-SA"/>
        </w:rPr>
        <w:t>的</w:t>
      </w:r>
      <w:r>
        <w:rPr>
          <w:rFonts w:ascii="仿宋_GB2312" w:hAnsi="Times New Roman" w:eastAsia="仿宋_GB2312" w:cs="Times New Roman"/>
          <w:kern w:val="2"/>
          <w:sz w:val="32"/>
          <w:szCs w:val="32"/>
          <w:lang w:bidi="ar-SA"/>
        </w:rPr>
        <w:t>申请。申请内容主要集中在</w:t>
      </w:r>
      <w:r>
        <w:rPr>
          <w:rFonts w:ascii="仿宋_GB2312" w:hAnsi="Times New Roman" w:eastAsia="仿宋_GB2312" w:cs="Times New Roman"/>
          <w:kern w:val="2"/>
          <w:sz w:val="32"/>
          <w:szCs w:val="32"/>
          <w:highlight w:val="none"/>
          <w:lang w:bidi="ar-SA"/>
        </w:rPr>
        <w:t>土地征收、</w:t>
      </w:r>
      <w:r>
        <w:rPr>
          <w:rFonts w:hint="eastAsia" w:ascii="仿宋_GB2312" w:eastAsia="仿宋_GB2312" w:cs="Times New Roman"/>
          <w:kern w:val="2"/>
          <w:sz w:val="32"/>
          <w:szCs w:val="32"/>
          <w:highlight w:val="none"/>
          <w:lang w:eastAsia="zh-CN" w:bidi="ar-SA"/>
        </w:rPr>
        <w:t>房屋征收、</w:t>
      </w:r>
      <w:r>
        <w:rPr>
          <w:rFonts w:ascii="仿宋_GB2312" w:hAnsi="Times New Roman" w:eastAsia="仿宋_GB2312" w:cs="Times New Roman"/>
          <w:kern w:val="2"/>
          <w:sz w:val="32"/>
          <w:szCs w:val="32"/>
          <w:highlight w:val="none"/>
          <w:lang w:bidi="ar-SA"/>
        </w:rPr>
        <w:t>城乡规划</w:t>
      </w:r>
      <w:r>
        <w:rPr>
          <w:rFonts w:hint="eastAsia" w:ascii="仿宋_GB2312" w:eastAsia="仿宋_GB2312" w:cs="Times New Roman"/>
          <w:kern w:val="2"/>
          <w:sz w:val="32"/>
          <w:szCs w:val="32"/>
          <w:highlight w:val="none"/>
          <w:lang w:eastAsia="zh-CN" w:bidi="ar-SA"/>
        </w:rPr>
        <w:t>、住房验收</w:t>
      </w:r>
      <w:r>
        <w:rPr>
          <w:rFonts w:ascii="仿宋_GB2312" w:hAnsi="Times New Roman" w:eastAsia="仿宋_GB2312" w:cs="Times New Roman"/>
          <w:kern w:val="2"/>
          <w:sz w:val="32"/>
          <w:szCs w:val="32"/>
          <w:lang w:bidi="ar-SA"/>
        </w:rPr>
        <w:t>等领域</w:t>
      </w:r>
      <w:r>
        <w:rPr>
          <w:rFonts w:hint="eastAsia" w:ascii="仿宋_GB2312" w:eastAsia="仿宋_GB2312" w:cs="Times New Roman"/>
          <w:kern w:val="2"/>
          <w:sz w:val="32"/>
          <w:szCs w:val="32"/>
          <w:lang w:eastAsia="zh-CN" w:bidi="ar-SA"/>
        </w:rPr>
        <w:t>，</w:t>
      </w:r>
      <w:r>
        <w:rPr>
          <w:rFonts w:hint="eastAsia" w:ascii="仿宋_GB2312" w:hAnsi="Times New Roman" w:eastAsia="仿宋_GB2312" w:cs="Times New Roman"/>
          <w:kern w:val="2"/>
          <w:sz w:val="32"/>
          <w:szCs w:val="32"/>
          <w:lang w:val="en-US" w:eastAsia="zh-CN" w:bidi="ar-SA"/>
        </w:rPr>
        <w:t>针对不予公开和无法提供的申请，明确告知申请人理由和依据，做好解释说明工作，增强政府工作的透明度和公信力。</w:t>
      </w:r>
      <w:r>
        <w:rPr>
          <w:rFonts w:hint="eastAsia" w:ascii="仿宋_GB2312" w:eastAsia="仿宋_GB2312" w:cs="Times New Roman"/>
          <w:kern w:val="2"/>
          <w:sz w:val="32"/>
          <w:szCs w:val="32"/>
          <w:lang w:eastAsia="zh-CN" w:bidi="ar-SA"/>
        </w:rPr>
        <w:t>全年</w:t>
      </w:r>
      <w:r>
        <w:rPr>
          <w:rFonts w:hint="eastAsia" w:ascii="仿宋_GB2312" w:eastAsia="仿宋_GB2312"/>
          <w:sz w:val="32"/>
          <w:szCs w:val="32"/>
          <w:lang w:val="en-US" w:eastAsia="zh-CN"/>
        </w:rPr>
        <w:t>因政府信息公开引发的行政复议总数为8</w:t>
      </w:r>
      <w:r>
        <w:rPr>
          <w:rFonts w:hint="eastAsia" w:ascii="仿宋_GB2312" w:hAnsi="Times New Roman" w:eastAsia="仿宋_GB2312" w:cs="Times New Roman"/>
          <w:kern w:val="2"/>
          <w:sz w:val="32"/>
          <w:szCs w:val="32"/>
          <w:lang w:val="en-US" w:eastAsia="zh-CN" w:bidi="ar-SA"/>
        </w:rPr>
        <w:t>件</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行政复议败诉案件为0</w:t>
      </w:r>
      <w:r>
        <w:rPr>
          <w:rFonts w:hint="eastAsia" w:ascii="仿宋_GB2312" w:eastAsia="仿宋_GB2312" w:cs="Times New Roman"/>
          <w:kern w:val="2"/>
          <w:sz w:val="32"/>
          <w:szCs w:val="32"/>
          <w:lang w:val="en-US" w:eastAsia="zh-CN" w:bidi="ar-SA"/>
        </w:rPr>
        <w:t>件，</w:t>
      </w:r>
      <w:r>
        <w:rPr>
          <w:rFonts w:hint="eastAsia" w:ascii="仿宋_GB2312" w:eastAsia="仿宋_GB2312"/>
          <w:sz w:val="32"/>
          <w:szCs w:val="32"/>
          <w:lang w:val="en-US" w:eastAsia="zh-CN"/>
        </w:rPr>
        <w:t>行政诉讼总数为0件、行政诉讼败诉案件为0件。</w:t>
      </w:r>
    </w:p>
    <w:p>
      <w:pPr>
        <w:pStyle w:val="2"/>
        <w:jc w:val="center"/>
        <w:rPr>
          <w:rFonts w:hint="default"/>
          <w:lang w:val="en-US" w:eastAsia="zh-CN"/>
        </w:rPr>
      </w:pPr>
      <w:r>
        <w:rPr>
          <w:rFonts w:hint="eastAsia"/>
          <w:lang w:val="en-US" w:eastAsia="zh-CN"/>
        </w:rPr>
        <w:drawing>
          <wp:inline distT="0" distB="0" distL="114300" distR="114300">
            <wp:extent cx="5276215" cy="2938145"/>
            <wp:effectExtent l="4445" t="4445" r="15240" b="10160"/>
            <wp:docPr id="18" name="图表 18" descr="7b0a202020202263686172745265734964223a202232303437363637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jc w:val="center"/>
        <w:rPr>
          <w:rFonts w:hint="eastAsia"/>
          <w:lang w:val="en-US" w:eastAsia="zh-CN"/>
        </w:rPr>
      </w:pPr>
      <w:r>
        <w:rPr>
          <w:rFonts w:hint="eastAsia"/>
          <w:lang w:val="en-US" w:eastAsia="zh-CN"/>
        </w:rPr>
        <w:drawing>
          <wp:inline distT="0" distB="0" distL="114300" distR="114300">
            <wp:extent cx="5256530" cy="2988310"/>
            <wp:effectExtent l="5080" t="4445" r="15240" b="55245"/>
            <wp:docPr id="22" name="图表 22" descr="7b0a202020202263686172745265734964223a202232303437363435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（三）政府信息管理更严格</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both"/>
        <w:textAlignment w:val="auto"/>
        <w:rPr>
          <w:rFonts w:hint="eastAsia"/>
          <w:lang w:val="en-US" w:eastAsia="zh-CN"/>
        </w:rPr>
      </w:pPr>
      <w:r>
        <w:rPr>
          <w:rFonts w:hint="eastAsia" w:ascii="仿宋_GB2312" w:hAnsi="宋体" w:eastAsia="仿宋_GB2312" w:cs="仿宋_GB2312"/>
          <w:color w:val="000000"/>
          <w:kern w:val="0"/>
          <w:sz w:val="31"/>
          <w:szCs w:val="31"/>
          <w:lang w:val="en-US" w:eastAsia="zh-CN" w:bidi="ar"/>
        </w:rPr>
        <w:t>积极</w:t>
      </w:r>
      <w:r>
        <w:rPr>
          <w:rFonts w:ascii="仿宋_GB2312" w:hAnsi="宋体" w:eastAsia="仿宋_GB2312" w:cs="仿宋_GB2312"/>
          <w:color w:val="000000"/>
          <w:kern w:val="0"/>
          <w:sz w:val="31"/>
          <w:szCs w:val="31"/>
          <w:lang w:val="en-US" w:eastAsia="zh-CN" w:bidi="ar"/>
        </w:rPr>
        <w:t>落实上级关于新时代政务公开工作要求，</w:t>
      </w:r>
      <w:r>
        <w:rPr>
          <w:rFonts w:hint="eastAsia" w:ascii="仿宋_GB2312" w:hAnsi="宋体" w:eastAsia="仿宋_GB2312" w:cs="仿宋_GB2312"/>
          <w:color w:val="000000"/>
          <w:kern w:val="0"/>
          <w:sz w:val="31"/>
          <w:szCs w:val="31"/>
          <w:lang w:val="en-US" w:eastAsia="zh-CN" w:bidi="ar"/>
        </w:rPr>
        <w:t>主动编制主动公开事项目录，</w:t>
      </w:r>
      <w:r>
        <w:rPr>
          <w:rFonts w:ascii="仿宋_GB2312" w:hAnsi="宋体" w:eastAsia="仿宋_GB2312" w:cs="仿宋_GB2312"/>
          <w:color w:val="000000"/>
          <w:kern w:val="0"/>
          <w:sz w:val="31"/>
          <w:szCs w:val="31"/>
          <w:lang w:val="en-US" w:eastAsia="zh-CN" w:bidi="ar"/>
        </w:rPr>
        <w:t>建立动态更新机制</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加强</w:t>
      </w:r>
      <w:r>
        <w:rPr>
          <w:rFonts w:hint="eastAsia" w:ascii="仿宋_GB2312" w:hAnsi="宋体" w:eastAsia="仿宋_GB2312" w:cs="仿宋_GB2312"/>
          <w:color w:val="000000"/>
          <w:kern w:val="0"/>
          <w:sz w:val="31"/>
          <w:szCs w:val="31"/>
          <w:lang w:val="en-US" w:eastAsia="zh-CN" w:bidi="ar"/>
        </w:rPr>
        <w:t>对部门和镇（街）主动公开事项目录指导</w:t>
      </w:r>
      <w:r>
        <w:rPr>
          <w:rFonts w:ascii="仿宋_GB2312" w:hAnsi="宋体" w:eastAsia="仿宋_GB2312" w:cs="仿宋_GB2312"/>
          <w:color w:val="000000"/>
          <w:kern w:val="0"/>
          <w:sz w:val="31"/>
          <w:szCs w:val="31"/>
          <w:lang w:val="en-US" w:eastAsia="zh-CN" w:bidi="ar"/>
        </w:rPr>
        <w:t>检查</w:t>
      </w:r>
      <w:r>
        <w:rPr>
          <w:rFonts w:hint="eastAsia" w:ascii="仿宋_GB2312" w:hAnsi="宋体" w:eastAsia="仿宋_GB2312" w:cs="仿宋_GB2312"/>
          <w:color w:val="000000"/>
          <w:kern w:val="0"/>
          <w:sz w:val="31"/>
          <w:szCs w:val="31"/>
          <w:lang w:val="en-US" w:eastAsia="zh-CN" w:bidi="ar"/>
        </w:rPr>
        <w:t>等工作。</w:t>
      </w:r>
      <w:r>
        <w:rPr>
          <w:rFonts w:hint="eastAsia" w:ascii="仿宋_GB2312" w:hAnsi="仿宋_GB2312" w:eastAsia="仿宋_GB2312" w:cs="仿宋_GB2312"/>
          <w:kern w:val="2"/>
          <w:sz w:val="32"/>
          <w:szCs w:val="32"/>
          <w:u w:val="none"/>
          <w:lang w:eastAsia="zh-CN" w:bidi="ar-SA"/>
        </w:rPr>
        <w:t>细化</w:t>
      </w:r>
      <w:r>
        <w:rPr>
          <w:rFonts w:ascii="仿宋_GB2312" w:hAnsi="仿宋_GB2312" w:eastAsia="仿宋_GB2312" w:cs="仿宋_GB2312"/>
          <w:kern w:val="2"/>
          <w:sz w:val="32"/>
          <w:szCs w:val="32"/>
          <w:u w:val="none"/>
          <w:lang w:bidi="ar-SA"/>
        </w:rPr>
        <w:t>栏目设置，实现</w:t>
      </w:r>
      <w:r>
        <w:rPr>
          <w:rFonts w:hint="eastAsia" w:ascii="仿宋_GB2312" w:hAnsi="仿宋_GB2312" w:eastAsia="仿宋_GB2312" w:cs="仿宋_GB2312"/>
          <w:kern w:val="2"/>
          <w:sz w:val="32"/>
          <w:szCs w:val="32"/>
          <w:u w:val="none"/>
          <w:lang w:eastAsia="zh-CN" w:bidi="ar-SA"/>
        </w:rPr>
        <w:t>信息</w:t>
      </w:r>
      <w:r>
        <w:rPr>
          <w:rFonts w:ascii="仿宋_GB2312" w:hAnsi="仿宋_GB2312" w:eastAsia="仿宋_GB2312" w:cs="仿宋_GB2312"/>
          <w:kern w:val="2"/>
          <w:sz w:val="32"/>
          <w:szCs w:val="32"/>
          <w:u w:val="none"/>
          <w:lang w:bidi="ar-SA"/>
        </w:rPr>
        <w:t>精准推送</w:t>
      </w:r>
      <w:r>
        <w:rPr>
          <w:rFonts w:hint="eastAsia" w:ascii="仿宋_GB2312" w:hAnsi="仿宋_GB2312" w:eastAsia="仿宋_GB2312" w:cs="仿宋_GB2312"/>
          <w:kern w:val="2"/>
          <w:sz w:val="32"/>
          <w:szCs w:val="32"/>
          <w:u w:val="none"/>
          <w:lang w:eastAsia="zh-CN" w:bidi="ar-SA"/>
        </w:rPr>
        <w:t>，</w:t>
      </w:r>
      <w:r>
        <w:rPr>
          <w:rFonts w:hint="eastAsia" w:ascii="仿宋_GB2312" w:hAnsi="宋体" w:eastAsia="仿宋_GB2312" w:cs="仿宋_GB2312"/>
          <w:color w:val="000000"/>
          <w:kern w:val="0"/>
          <w:sz w:val="31"/>
          <w:szCs w:val="31"/>
          <w:lang w:val="en-US" w:eastAsia="zh-CN" w:bidi="ar"/>
        </w:rPr>
        <w:t>严格按照要求主动公开政府信息，调整完善区政府网站政府信息公开“法定主动公开内容”有关栏目。</w:t>
      </w:r>
      <w:r>
        <w:rPr>
          <w:rFonts w:hint="eastAsia" w:ascii="仿宋_GB2312" w:hAnsi="仿宋_GB2312" w:eastAsia="仿宋_GB2312" w:cs="仿宋_GB2312"/>
          <w:kern w:val="2"/>
          <w:sz w:val="32"/>
          <w:szCs w:val="32"/>
          <w:lang w:eastAsia="zh-CN" w:bidi="ar-SA"/>
        </w:rPr>
        <w:t>规范性文件管理方面，</w:t>
      </w:r>
      <w:r>
        <w:rPr>
          <w:rFonts w:ascii="仿宋_GB2312" w:hAnsi="仿宋_GB2312" w:eastAsia="仿宋_GB2312" w:cs="仿宋_GB2312"/>
          <w:kern w:val="2"/>
          <w:sz w:val="32"/>
          <w:szCs w:val="32"/>
          <w:lang w:bidi="ar-SA"/>
        </w:rPr>
        <w:t>202</w:t>
      </w:r>
      <w:r>
        <w:rPr>
          <w:rFonts w:hint="eastAsia" w:ascii="仿宋_GB2312" w:hAnsi="仿宋_GB2312" w:eastAsia="仿宋_GB2312" w:cs="仿宋_GB2312"/>
          <w:kern w:val="2"/>
          <w:sz w:val="32"/>
          <w:szCs w:val="32"/>
          <w:lang w:val="en-US" w:eastAsia="zh-CN" w:bidi="ar-SA"/>
        </w:rPr>
        <w:t>4</w:t>
      </w:r>
      <w:r>
        <w:rPr>
          <w:rFonts w:ascii="仿宋_GB2312" w:hAnsi="仿宋_GB2312" w:eastAsia="仿宋_GB2312" w:cs="仿宋_GB2312"/>
          <w:kern w:val="2"/>
          <w:sz w:val="32"/>
          <w:szCs w:val="32"/>
          <w:lang w:bidi="ar-SA"/>
        </w:rPr>
        <w:t>年</w:t>
      </w:r>
      <w:r>
        <w:rPr>
          <w:rFonts w:hint="eastAsia" w:ascii="仿宋_GB2312" w:hAnsi="仿宋_GB2312" w:eastAsia="仿宋_GB2312" w:cs="仿宋_GB2312"/>
          <w:kern w:val="2"/>
          <w:sz w:val="32"/>
          <w:szCs w:val="32"/>
          <w:lang w:eastAsia="zh-CN" w:bidi="ar-SA"/>
        </w:rPr>
        <w:t>发布</w:t>
      </w:r>
      <w:r>
        <w:rPr>
          <w:rFonts w:hint="eastAsia" w:ascii="仿宋_GB2312" w:hAnsi="仿宋_GB2312" w:eastAsia="仿宋_GB2312" w:cs="仿宋_GB2312"/>
          <w:kern w:val="2"/>
          <w:sz w:val="32"/>
          <w:szCs w:val="32"/>
          <w:lang w:val="en-US" w:eastAsia="zh-CN" w:bidi="ar-SA"/>
        </w:rPr>
        <w:t>4</w:t>
      </w:r>
      <w:r>
        <w:rPr>
          <w:rFonts w:ascii="仿宋_GB2312" w:hAnsi="仿宋_GB2312" w:eastAsia="仿宋_GB2312" w:cs="仿宋_GB2312"/>
          <w:kern w:val="2"/>
          <w:sz w:val="32"/>
          <w:szCs w:val="32"/>
          <w:lang w:bidi="ar-SA"/>
        </w:rPr>
        <w:t>件区级规范性文</w:t>
      </w:r>
      <w:r>
        <w:rPr>
          <w:rFonts w:hint="eastAsia" w:ascii="仿宋_GB2312" w:hAnsi="宋体" w:eastAsia="仿宋_GB2312" w:cs="仿宋_GB2312"/>
          <w:color w:val="000000"/>
          <w:kern w:val="0"/>
          <w:sz w:val="31"/>
          <w:szCs w:val="31"/>
          <w:lang w:val="en-US" w:eastAsia="zh-CN" w:bidi="ar"/>
        </w:rPr>
        <w:t>件，清理规范性文件</w:t>
      </w:r>
      <w:r>
        <w:rPr>
          <w:rFonts w:hint="eastAsia" w:ascii="仿宋_GB2312" w:hAnsi="仿宋_GB2312" w:eastAsia="仿宋_GB2312" w:cs="仿宋_GB2312"/>
          <w:kern w:val="2"/>
          <w:sz w:val="32"/>
          <w:szCs w:val="32"/>
          <w:lang w:val="en-US" w:eastAsia="zh-CN" w:bidi="ar-SA"/>
        </w:rPr>
        <w:t>1次，</w:t>
      </w:r>
      <w:r>
        <w:rPr>
          <w:rFonts w:ascii="仿宋_GB2312" w:hAnsi="仿宋_GB2312" w:eastAsia="仿宋_GB2312" w:cs="仿宋_GB2312"/>
          <w:kern w:val="2"/>
          <w:sz w:val="32"/>
          <w:szCs w:val="32"/>
          <w:lang w:bidi="ar-SA"/>
        </w:rPr>
        <w:t>废止行政规范性文件</w:t>
      </w:r>
      <w:r>
        <w:rPr>
          <w:rFonts w:hint="eastAsia" w:ascii="仿宋_GB2312" w:hAnsi="仿宋_GB2312" w:eastAsia="仿宋_GB2312" w:cs="仿宋_GB2312"/>
          <w:kern w:val="2"/>
          <w:sz w:val="32"/>
          <w:szCs w:val="32"/>
          <w:lang w:val="en-US" w:eastAsia="zh-CN" w:bidi="ar-SA"/>
        </w:rPr>
        <w:t>2个，</w:t>
      </w:r>
      <w:r>
        <w:rPr>
          <w:rFonts w:ascii="仿宋_GB2312" w:hAnsi="仿宋_GB2312" w:eastAsia="仿宋_GB2312" w:cs="仿宋_GB2312"/>
          <w:kern w:val="2"/>
          <w:sz w:val="32"/>
          <w:szCs w:val="32"/>
          <w:u w:val="none"/>
          <w:lang w:bidi="ar-SA"/>
        </w:rPr>
        <w:t>宣布失效行政规范性文件</w:t>
      </w:r>
      <w:r>
        <w:rPr>
          <w:rFonts w:hint="eastAsia" w:ascii="仿宋_GB2312" w:hAnsi="仿宋_GB2312" w:eastAsia="仿宋_GB2312" w:cs="仿宋_GB2312"/>
          <w:kern w:val="2"/>
          <w:sz w:val="32"/>
          <w:szCs w:val="32"/>
          <w:u w:val="none"/>
          <w:lang w:val="en-US" w:eastAsia="zh-CN" w:bidi="ar-SA"/>
        </w:rPr>
        <w:t>3个，现行</w:t>
      </w:r>
      <w:r>
        <w:rPr>
          <w:rFonts w:ascii="仿宋_GB2312" w:hAnsi="仿宋_GB2312" w:eastAsia="仿宋_GB2312" w:cs="仿宋_GB2312"/>
          <w:kern w:val="2"/>
          <w:sz w:val="32"/>
          <w:szCs w:val="32"/>
          <w:u w:val="none"/>
          <w:lang w:bidi="ar-SA"/>
        </w:rPr>
        <w:t>有效的行政规范性文件</w:t>
      </w:r>
      <w:r>
        <w:rPr>
          <w:rFonts w:hint="eastAsia" w:ascii="仿宋_GB2312" w:hAnsi="仿宋_GB2312" w:eastAsia="仿宋_GB2312" w:cs="仿宋_GB2312"/>
          <w:kern w:val="2"/>
          <w:sz w:val="32"/>
          <w:szCs w:val="32"/>
          <w:u w:val="none"/>
          <w:lang w:eastAsia="zh-CN" w:bidi="ar-SA"/>
        </w:rPr>
        <w:t>共计</w:t>
      </w:r>
      <w:r>
        <w:rPr>
          <w:rFonts w:hint="eastAsia" w:ascii="仿宋_GB2312" w:hAnsi="仿宋_GB2312" w:eastAsia="仿宋_GB2312" w:cs="仿宋_GB2312"/>
          <w:kern w:val="2"/>
          <w:sz w:val="32"/>
          <w:szCs w:val="32"/>
          <w:u w:val="none"/>
          <w:lang w:val="en-US" w:eastAsia="zh-CN" w:bidi="ar-SA"/>
        </w:rPr>
        <w:t>15个。</w:t>
      </w:r>
      <w:r>
        <w:rPr>
          <w:rFonts w:hint="eastAsia" w:ascii="仿宋_GB2312" w:hAnsi="宋体" w:eastAsia="仿宋_GB2312" w:cs="仿宋_GB2312"/>
          <w:color w:val="000000"/>
          <w:kern w:val="0"/>
          <w:sz w:val="31"/>
          <w:szCs w:val="31"/>
          <w:lang w:val="en-US" w:eastAsia="zh-CN" w:bidi="ar"/>
        </w:rPr>
        <w:t>加强政府信息公开前保密审查和已公开政府信息管理，</w:t>
      </w:r>
      <w:r>
        <w:rPr>
          <w:rFonts w:hint="eastAsia" w:ascii="仿宋_GB2312" w:hAnsi="Times New Roman" w:eastAsia="仿宋_GB2312" w:cs="Times New Roman"/>
          <w:kern w:val="2"/>
          <w:sz w:val="32"/>
          <w:szCs w:val="32"/>
          <w:lang w:val="en-US" w:eastAsia="zh-CN" w:bidi="ar-SA"/>
        </w:rPr>
        <w:t>注重保护个人隐私和商业秘密，对于涉及敏感信息的申请</w:t>
      </w:r>
      <w:r>
        <w:rPr>
          <w:rFonts w:hint="eastAsia" w:ascii="仿宋_GB2312" w:eastAsia="仿宋_GB2312" w:cs="Times New Roman"/>
          <w:kern w:val="2"/>
          <w:sz w:val="32"/>
          <w:szCs w:val="32"/>
          <w:lang w:val="en-US" w:eastAsia="zh-CN" w:bidi="ar-SA"/>
        </w:rPr>
        <w:t>及发布</w:t>
      </w:r>
      <w:r>
        <w:rPr>
          <w:rFonts w:hint="eastAsia" w:ascii="仿宋_GB2312" w:hAnsi="Times New Roman" w:eastAsia="仿宋_GB2312" w:cs="Times New Roman"/>
          <w:kern w:val="2"/>
          <w:sz w:val="32"/>
          <w:szCs w:val="32"/>
          <w:lang w:val="en-US" w:eastAsia="zh-CN" w:bidi="ar-SA"/>
        </w:rPr>
        <w:t>，依法依规进行审查，确保信息公开与保密工作的平衡。此外，建立健全</w:t>
      </w:r>
      <w:r>
        <w:rPr>
          <w:rFonts w:hint="eastAsia" w:ascii="仿宋_GB2312" w:eastAsia="仿宋_GB2312" w:cs="Times New Roman"/>
          <w:kern w:val="2"/>
          <w:sz w:val="32"/>
          <w:szCs w:val="32"/>
          <w:lang w:val="en-US" w:eastAsia="zh-CN" w:bidi="ar-SA"/>
        </w:rPr>
        <w:t>政府信息管理</w:t>
      </w:r>
      <w:r>
        <w:rPr>
          <w:rFonts w:hint="eastAsia" w:ascii="仿宋_GB2312" w:hAnsi="Times New Roman" w:eastAsia="仿宋_GB2312" w:cs="Times New Roman"/>
          <w:kern w:val="2"/>
          <w:sz w:val="32"/>
          <w:szCs w:val="32"/>
          <w:lang w:val="en-US" w:eastAsia="zh-CN" w:bidi="ar-SA"/>
        </w:rPr>
        <w:t>监督机制，定期检查和评估，及时发现和解决问题，推动</w:t>
      </w:r>
      <w:r>
        <w:rPr>
          <w:rFonts w:hint="eastAsia" w:ascii="仿宋_GB2312" w:eastAsia="仿宋_GB2312" w:cs="Times New Roman"/>
          <w:kern w:val="2"/>
          <w:sz w:val="32"/>
          <w:szCs w:val="32"/>
          <w:lang w:val="en-US" w:eastAsia="zh-CN" w:bidi="ar-SA"/>
        </w:rPr>
        <w:t>政务公开</w:t>
      </w:r>
      <w:r>
        <w:rPr>
          <w:rFonts w:hint="eastAsia" w:ascii="仿宋_GB2312" w:hAnsi="Times New Roman" w:eastAsia="仿宋_GB2312" w:cs="Times New Roman"/>
          <w:kern w:val="2"/>
          <w:sz w:val="32"/>
          <w:szCs w:val="32"/>
          <w:lang w:val="en-US" w:eastAsia="zh-CN" w:bidi="ar-SA"/>
        </w:rPr>
        <w:t>工作不断迈上新台阶。</w:t>
      </w:r>
    </w:p>
    <w:p>
      <w:pPr>
        <w:pStyle w:val="2"/>
        <w:jc w:val="right"/>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-220345</wp:posOffset>
            </wp:positionH>
            <wp:positionV relativeFrom="paragraph">
              <wp:posOffset>97155</wp:posOffset>
            </wp:positionV>
            <wp:extent cx="2780030" cy="2768600"/>
            <wp:effectExtent l="0" t="0" r="1270" b="12700"/>
            <wp:wrapNone/>
            <wp:docPr id="4" name="图片 4" descr="政策文件发布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政策文件发布平台"/>
                    <pic:cNvPicPr>
                      <a:picLocks noChangeAspect="1"/>
                    </pic:cNvPicPr>
                  </pic:nvPicPr>
                  <pic:blipFill>
                    <a:blip r:embed="rId10"/>
                    <a:stretch>
                      <a:fillRect/>
                    </a:stretch>
                  </pic:blipFill>
                  <pic:spPr>
                    <a:xfrm>
                      <a:off x="0" y="0"/>
                      <a:ext cx="2780030" cy="2768600"/>
                    </a:xfrm>
                    <a:prstGeom prst="rect">
                      <a:avLst/>
                    </a:prstGeom>
                  </pic:spPr>
                </pic:pic>
              </a:graphicData>
            </a:graphic>
          </wp:anchor>
        </w:drawing>
      </w:r>
      <w:r>
        <w:rPr>
          <w:rFonts w:hint="eastAsia"/>
          <w:lang w:val="en-US" w:eastAsia="zh-CN"/>
        </w:rPr>
        <w:drawing>
          <wp:inline distT="0" distB="0" distL="114300" distR="114300">
            <wp:extent cx="3020060" cy="2788285"/>
            <wp:effectExtent l="0" t="0" r="8890" b="12065"/>
            <wp:docPr id="3" name="图片 3" descr="行政规范性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行政规范性文件"/>
                    <pic:cNvPicPr>
                      <a:picLocks noChangeAspect="1"/>
                    </pic:cNvPicPr>
                  </pic:nvPicPr>
                  <pic:blipFill>
                    <a:blip r:embed="rId11"/>
                    <a:stretch>
                      <a:fillRect/>
                    </a:stretch>
                  </pic:blipFill>
                  <pic:spPr>
                    <a:xfrm>
                      <a:off x="0" y="0"/>
                      <a:ext cx="3020060" cy="2788285"/>
                    </a:xfrm>
                    <a:prstGeom prst="rect">
                      <a:avLst/>
                    </a:prstGeom>
                  </pic:spPr>
                </pic:pic>
              </a:graphicData>
            </a:graphic>
          </wp:inline>
        </w:drawing>
      </w:r>
    </w:p>
    <w:p>
      <w:pPr>
        <w:pStyle w:val="3"/>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textAlignment w:val="auto"/>
        <w:rPr>
          <w:rFonts w:hint="eastAsia" w:ascii="楷体_GB2312" w:hAnsi="楷体_GB2312" w:eastAsia="楷体_GB2312" w:cs="楷体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政府信息公开平台建设更有特色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仿宋_GB2312" w:hAnsi="宋体" w:eastAsia="仿宋_GB2312" w:cs="仿宋_GB2312"/>
          <w:color w:val="000000"/>
          <w:kern w:val="0"/>
          <w:sz w:val="32"/>
          <w:szCs w:val="32"/>
          <w:lang w:val="en-US" w:eastAsia="zh-CN" w:bidi="ar"/>
        </w:rPr>
        <w:t>以保障群众知情权、参与权、表达权和监督权的需求为“半径”，守好政府信息平台线上线下“主阵地”。线下，优化政务公开专区，在峄城政务公开专区集中展示国家和省市区相关的政策文件等，设置专用展架和电子屏，便于公众浏览获取信息，定期</w:t>
      </w:r>
      <w:r>
        <w:rPr>
          <w:rFonts w:ascii="仿宋_GB2312" w:hAnsi="仿宋_GB2312" w:eastAsia="仿宋_GB2312" w:cs="仿宋_GB2312"/>
          <w:kern w:val="2"/>
          <w:sz w:val="32"/>
          <w:szCs w:val="32"/>
          <w:lang w:bidi="ar-SA"/>
        </w:rPr>
        <w:t>向市民中心、公共场所等免费赠阅《峄城区人民政府公报》，累计出版4</w:t>
      </w:r>
      <w:r>
        <w:rPr>
          <w:rFonts w:hint="eastAsia" w:ascii="仿宋_GB2312" w:hAnsi="仿宋_GB2312" w:eastAsia="仿宋_GB2312" w:cs="仿宋_GB2312"/>
          <w:kern w:val="2"/>
          <w:sz w:val="32"/>
          <w:szCs w:val="32"/>
          <w:lang w:val="en-US" w:eastAsia="zh-CN" w:bidi="ar-SA"/>
        </w:rPr>
        <w:t>4</w:t>
      </w:r>
      <w:bookmarkStart w:id="10" w:name="_GoBack"/>
      <w:bookmarkEnd w:id="10"/>
      <w:r>
        <w:rPr>
          <w:rFonts w:ascii="仿宋_GB2312" w:hAnsi="仿宋_GB2312" w:eastAsia="仿宋_GB2312" w:cs="仿宋_GB2312"/>
          <w:kern w:val="2"/>
          <w:sz w:val="32"/>
          <w:szCs w:val="32"/>
          <w:lang w:bidi="ar-SA"/>
        </w:rPr>
        <w:t>期，确保线上线下信息同步。</w:t>
      </w:r>
      <w:r>
        <w:rPr>
          <w:rFonts w:hint="eastAsia" w:ascii="仿宋_GB2312" w:hAnsi="宋体" w:eastAsia="仿宋_GB2312" w:cs="仿宋_GB2312"/>
          <w:color w:val="000000"/>
          <w:kern w:val="0"/>
          <w:sz w:val="32"/>
          <w:szCs w:val="32"/>
          <w:lang w:val="en-US" w:eastAsia="zh-CN" w:bidi="ar"/>
        </w:rPr>
        <w:t>线上，与线下同频发力，例如，立足我区石榴产业发展定位和资源禀赋，构建上下联动、横向协同、齐抓共促的工作格局，开设“石榴产业”专栏，及时跟进一二三产，发布石榴产业动态，为石榴产业发展营造良好氛围等。</w:t>
      </w:r>
      <w:r>
        <w:rPr>
          <w:rFonts w:ascii="仿宋_GB2312" w:hAnsi="仿宋_GB2312" w:eastAsia="仿宋_GB2312" w:cs="仿宋_GB2312"/>
          <w:kern w:val="2"/>
          <w:sz w:val="32"/>
          <w:szCs w:val="32"/>
          <w:lang w:bidi="ar-SA"/>
        </w:rPr>
        <w:t>借助区政府门户网站、政府信息公开专栏以及“峄城政务”等政务平台发布政务信息，确保信息的规范性、完整性、清晰性和准确性，以便公众</w:t>
      </w:r>
      <w:r>
        <w:rPr>
          <w:rFonts w:hint="eastAsia" w:ascii="仿宋_GB2312" w:hAnsi="仿宋_GB2312" w:eastAsia="仿宋_GB2312" w:cs="仿宋_GB2312"/>
          <w:kern w:val="2"/>
          <w:sz w:val="32"/>
          <w:szCs w:val="32"/>
          <w:lang w:eastAsia="zh-CN" w:bidi="ar-SA"/>
        </w:rPr>
        <w:t>获取政府信息</w:t>
      </w:r>
      <w:r>
        <w:rPr>
          <w:rFonts w:ascii="仿宋_GB2312" w:hAnsi="仿宋_GB2312" w:eastAsia="仿宋_GB2312" w:cs="仿宋_GB2312"/>
          <w:kern w:val="2"/>
          <w:sz w:val="32"/>
          <w:szCs w:val="32"/>
          <w:lang w:bidi="ar-SA"/>
        </w:rPr>
        <w:t>。</w:t>
      </w:r>
      <w:r>
        <w:rPr>
          <w:rFonts w:hint="eastAsia" w:ascii="仿宋_GB2312" w:hAnsi="宋体" w:eastAsia="仿宋_GB2312" w:cs="仿宋_GB2312"/>
          <w:color w:val="000000"/>
          <w:kern w:val="0"/>
          <w:sz w:val="32"/>
          <w:szCs w:val="32"/>
          <w:lang w:val="en-US" w:eastAsia="zh-CN" w:bidi="ar"/>
        </w:rPr>
        <w:t>在区政府网站设置意见征集专栏，广泛听取群众意见，扩大公众参与度。</w:t>
      </w:r>
    </w:p>
    <w:p>
      <w:pPr>
        <w:pStyle w:val="2"/>
        <w:rPr>
          <w:rFonts w:hint="default"/>
          <w:lang w:val="en-US" w:eastAsia="zh-CN"/>
        </w:rPr>
      </w:pPr>
      <w:r>
        <w:rPr>
          <w:rFonts w:hint="default"/>
          <w:lang w:val="en-US" w:eastAsia="zh-CN"/>
        </w:rPr>
        <w:drawing>
          <wp:inline distT="0" distB="0" distL="114300" distR="114300">
            <wp:extent cx="5542915" cy="3321685"/>
            <wp:effectExtent l="0" t="0" r="635" b="12065"/>
            <wp:docPr id="5" name="图片 5" descr="截图-www.ycq.gov.cn-2025.02.14-15_40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图-www.ycq.gov.cn-2025.02.14-15_40_42"/>
                    <pic:cNvPicPr>
                      <a:picLocks noChangeAspect="1"/>
                    </pic:cNvPicPr>
                  </pic:nvPicPr>
                  <pic:blipFill>
                    <a:blip r:embed="rId12"/>
                    <a:stretch>
                      <a:fillRect/>
                    </a:stretch>
                  </pic:blipFill>
                  <pic:spPr>
                    <a:xfrm>
                      <a:off x="0" y="0"/>
                      <a:ext cx="5542915" cy="33216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textAlignment w:val="auto"/>
        <w:rPr>
          <w:rFonts w:hint="default" w:ascii="仿宋_GB2312" w:eastAsia="仿宋_GB2312"/>
          <w:sz w:val="32"/>
          <w:szCs w:val="32"/>
          <w:lang w:val="en-US" w:eastAsia="zh-CN"/>
        </w:rPr>
      </w:pPr>
      <w:r>
        <w:rPr>
          <w:rFonts w:hint="eastAsia" w:ascii="楷体_GB2312" w:hAnsi="楷体_GB2312" w:eastAsia="楷体_GB2312" w:cs="楷体_GB2312"/>
          <w:color w:val="000000"/>
          <w:sz w:val="32"/>
          <w:szCs w:val="32"/>
          <w:u w:val="none"/>
          <w:lang w:eastAsia="zh-CN"/>
        </w:rPr>
        <w:t>监督保障力度更强</w:t>
      </w:r>
    </w:p>
    <w:p>
      <w:pPr>
        <w:ind w:firstLine="640" w:firstLineChars="200"/>
        <w:jc w:val="both"/>
        <w:rPr>
          <w:rFonts w:hint="default"/>
          <w:lang w:val="en-US" w:eastAsia="zh-CN"/>
        </w:rPr>
      </w:pPr>
      <w:r>
        <w:rPr>
          <w:rFonts w:hint="eastAsia" w:ascii="仿宋_GB2312" w:hAnsi="仿宋_GB2312" w:eastAsia="仿宋_GB2312" w:cs="仿宋_GB2312"/>
          <w:sz w:val="32"/>
          <w:szCs w:val="32"/>
          <w:lang w:eastAsia="zh-CN"/>
        </w:rPr>
        <w:t>及时调整政务公开工作领导小组，</w:t>
      </w:r>
      <w:r>
        <w:rPr>
          <w:rFonts w:hint="eastAsia" w:ascii="仿宋_GB2312" w:hAnsi="仿宋_GB2312" w:eastAsia="仿宋_GB2312" w:cs="仿宋_GB2312"/>
          <w:sz w:val="32"/>
          <w:szCs w:val="32"/>
          <w:lang w:val="en-US" w:eastAsia="zh-CN"/>
        </w:rPr>
        <w:t>统筹推进、指导、协调、监督政务公开工作，不断完善政务公开工作机制。</w:t>
      </w:r>
      <w:r>
        <w:rPr>
          <w:rFonts w:hint="eastAsia" w:ascii="仿宋_GB2312" w:hAnsi="仿宋_GB2312" w:eastAsia="仿宋_GB2312" w:cs="仿宋_GB2312"/>
          <w:sz w:val="32"/>
          <w:szCs w:val="32"/>
          <w:lang w:eastAsia="zh-CN"/>
        </w:rPr>
        <w:t>按季度印发</w:t>
      </w:r>
      <w:r>
        <w:rPr>
          <w:rFonts w:hint="eastAsia" w:ascii="仿宋_GB2312" w:hAnsi="仿宋_GB2312" w:eastAsia="仿宋_GB2312" w:cs="仿宋_GB2312"/>
          <w:sz w:val="32"/>
          <w:szCs w:val="32"/>
        </w:rPr>
        <w:t>《全区政务公开工作季度情况通报及下季度重点工作任务》</w:t>
      </w:r>
      <w:r>
        <w:rPr>
          <w:rFonts w:hint="eastAsia" w:ascii="仿宋_GB2312" w:hAnsi="仿宋_GB2312" w:eastAsia="仿宋_GB2312" w:cs="仿宋_GB2312"/>
          <w:sz w:val="32"/>
          <w:szCs w:val="32"/>
          <w:lang w:eastAsia="zh-CN"/>
        </w:rPr>
        <w:t>，下发</w:t>
      </w:r>
      <w:r>
        <w:rPr>
          <w:rFonts w:hint="eastAsia" w:ascii="仿宋_GB2312" w:hAnsi="仿宋_GB2312" w:eastAsia="仿宋_GB2312" w:cs="仿宋_GB2312"/>
          <w:sz w:val="32"/>
          <w:szCs w:val="32"/>
        </w:rPr>
        <w:t>《关于做好重要政策文件解读工作的通知》等</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指导各部门做好政务公开工作。召开全区政务公开工作培训会议，培训政策解读、依申请公开、政府信息年度报告编制等内容，提高部门工作人员的素质和能力。</w:t>
      </w:r>
      <w:r>
        <w:rPr>
          <w:rFonts w:hint="eastAsia" w:ascii="仿宋_GB2312" w:hAnsi="仿宋_GB2312" w:eastAsia="仿宋_GB2312" w:cs="仿宋_GB2312"/>
          <w:sz w:val="32"/>
          <w:szCs w:val="32"/>
          <w:lang w:val="en-US" w:eastAsia="zh-CN"/>
        </w:rPr>
        <w:t>将政府信息公开工作纳入全区高质量发展效能监测体系，制定监测指标和细则，结合日常工作、网站检查等，推进政务公开测评工作常态化开展。</w:t>
      </w:r>
      <w:r>
        <w:rPr>
          <w:rFonts w:hint="eastAsia" w:ascii="仿宋_GB2312" w:hAnsi="宋体" w:eastAsia="仿宋_GB2312" w:cs="仿宋_GB2312"/>
          <w:color w:val="000000"/>
          <w:kern w:val="0"/>
          <w:sz w:val="32"/>
          <w:szCs w:val="32"/>
          <w:lang w:val="en-US" w:eastAsia="zh-CN" w:bidi="ar"/>
        </w:rPr>
        <w:t>加强对信息公开的审核管理，提高工作效率，增强工作透明度，</w:t>
      </w:r>
      <w:r>
        <w:rPr>
          <w:rFonts w:ascii="仿宋_GB2312" w:hAnsi="仿宋_GB2312" w:eastAsia="仿宋_GB2312" w:cs="仿宋_GB2312"/>
          <w:color w:val="000000"/>
          <w:kern w:val="2"/>
          <w:sz w:val="32"/>
          <w:szCs w:val="32"/>
          <w:lang w:bidi="ar-SA"/>
        </w:rPr>
        <w:t>通过督促检查促进</w:t>
      </w:r>
      <w:r>
        <w:rPr>
          <w:rFonts w:hint="eastAsia" w:ascii="仿宋_GB2312" w:hAnsi="仿宋_GB2312" w:eastAsia="仿宋_GB2312" w:cs="仿宋_GB2312"/>
          <w:color w:val="000000"/>
          <w:kern w:val="2"/>
          <w:sz w:val="32"/>
          <w:szCs w:val="32"/>
          <w:lang w:eastAsia="zh-CN" w:bidi="ar-SA"/>
        </w:rPr>
        <w:t>工作提质增效</w:t>
      </w:r>
      <w:r>
        <w:rPr>
          <w:rFonts w:ascii="仿宋_GB2312" w:hAnsi="仿宋_GB2312" w:eastAsia="仿宋_GB2312" w:cs="仿宋_GB2312"/>
          <w:color w:val="000000"/>
          <w:kern w:val="2"/>
          <w:sz w:val="32"/>
          <w:szCs w:val="32"/>
          <w:lang w:bidi="ar-SA"/>
        </w:rPr>
        <w:t>，确保全区政务公开工作水平稳步提升</w:t>
      </w:r>
      <w:r>
        <w:rPr>
          <w:rFonts w:hint="eastAsia" w:ascii="仿宋_GB2312" w:hAnsi="仿宋_GB2312" w:eastAsia="仿宋_GB2312" w:cs="仿宋_GB2312"/>
          <w:color w:val="000000"/>
          <w:kern w:val="2"/>
          <w:sz w:val="32"/>
          <w:szCs w:val="32"/>
          <w:lang w:eastAsia="zh-CN" w:bidi="ar-SA"/>
        </w:rPr>
        <w:t>，</w:t>
      </w:r>
      <w:r>
        <w:rPr>
          <w:rFonts w:hint="eastAsia" w:ascii="仿宋_GB2312" w:hAnsi="宋体" w:eastAsia="仿宋_GB2312" w:cs="仿宋_GB2312"/>
          <w:color w:val="000000"/>
          <w:kern w:val="0"/>
          <w:sz w:val="32"/>
          <w:szCs w:val="32"/>
          <w:lang w:val="en-US" w:eastAsia="zh-CN" w:bidi="ar"/>
        </w:rPr>
        <w:t>推动峄城区向社会公众提供及时、准确、高效的政府信息。</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15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28380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4384</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154</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lang w:val="en-US" w:eastAsia="zh-CN"/>
              </w:rPr>
            </w:pPr>
            <w:r>
              <w:rPr>
                <w:rFonts w:hint="eastAsia" w:ascii="仿宋_GB2312" w:hAnsi="Calibri" w:eastAsia="仿宋_GB2312" w:cs="Calibri"/>
                <w:color w:val="000000"/>
                <w:kern w:val="0"/>
                <w:szCs w:val="21"/>
                <w:lang w:val="en-US" w:eastAsia="zh-CN"/>
              </w:rPr>
              <w:t>3130</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10"/>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28</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8</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8</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3</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6</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28</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color w:val="000000"/>
          <w:kern w:val="0"/>
          <w:sz w:val="32"/>
          <w:szCs w:val="32"/>
        </w:rPr>
      </w:pPr>
    </w:p>
    <w:p>
      <w:pPr>
        <w:widowControl/>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hint="eastAsia" w:ascii="黑体" w:hAnsi="黑体" w:eastAsia="黑体" w:cs="宋体"/>
          <w:color w:val="000000"/>
          <w:kern w:val="0"/>
          <w:sz w:val="32"/>
          <w:szCs w:val="32"/>
          <w:lang w:eastAsia="zh-CN"/>
        </w:rPr>
        <w:t>因</w:t>
      </w:r>
      <w:r>
        <w:rPr>
          <w:rFonts w:hint="eastAsia" w:ascii="黑体" w:hAnsi="黑体" w:eastAsia="黑体" w:cs="宋体"/>
          <w:color w:val="000000"/>
          <w:kern w:val="0"/>
          <w:sz w:val="32"/>
          <w:szCs w:val="32"/>
        </w:rPr>
        <w:t>政府信息公开</w:t>
      </w:r>
      <w:r>
        <w:rPr>
          <w:rFonts w:hint="eastAsia" w:ascii="黑体" w:hAnsi="黑体" w:eastAsia="黑体" w:cs="宋体"/>
          <w:color w:val="000000"/>
          <w:kern w:val="0"/>
          <w:sz w:val="32"/>
          <w:szCs w:val="32"/>
          <w:lang w:eastAsia="zh-CN"/>
        </w:rPr>
        <w:t>工作被申请</w:t>
      </w:r>
      <w:r>
        <w:rPr>
          <w:rFonts w:hint="eastAsia" w:ascii="黑体" w:hAnsi="黑体" w:eastAsia="黑体" w:cs="宋体"/>
          <w:color w:val="000000"/>
          <w:kern w:val="0"/>
          <w:sz w:val="32"/>
          <w:szCs w:val="32"/>
        </w:rPr>
        <w:t>行政复议、</w:t>
      </w:r>
      <w:r>
        <w:rPr>
          <w:rFonts w:hint="eastAsia" w:ascii="黑体" w:hAnsi="黑体" w:eastAsia="黑体" w:cs="宋体"/>
          <w:color w:val="000000"/>
          <w:kern w:val="0"/>
          <w:sz w:val="32"/>
          <w:szCs w:val="32"/>
          <w:lang w:eastAsia="zh-CN"/>
        </w:rPr>
        <w:t>提起</w:t>
      </w:r>
      <w:r>
        <w:rPr>
          <w:rFonts w:hint="eastAsia" w:ascii="黑体" w:hAnsi="黑体" w:eastAsia="黑体" w:cs="宋体"/>
          <w:color w:val="000000"/>
          <w:kern w:val="0"/>
          <w:sz w:val="32"/>
          <w:szCs w:val="32"/>
        </w:rPr>
        <w:t>行政诉讼情况</w:t>
      </w:r>
    </w:p>
    <w:tbl>
      <w:tblPr>
        <w:tblStyle w:val="10"/>
        <w:tblpPr w:leftFromText="180" w:rightFromText="180" w:vertAnchor="text" w:horzAnchor="page" w:tblpX="1605" w:tblpY="277"/>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5</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2</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8</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widowControl/>
        <w:jc w:val="left"/>
        <w:rPr>
          <w:rFonts w:ascii="宋体" w:hAnsi="宋体" w:eastAsia="宋体" w:cs="宋体"/>
          <w:color w:val="000000"/>
          <w:kern w:val="0"/>
          <w:sz w:val="20"/>
          <w:szCs w:val="20"/>
        </w:rPr>
      </w:pP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（一）</w:t>
      </w:r>
      <w:r>
        <w:rPr>
          <w:rFonts w:hint="eastAsia" w:ascii="楷体_GB2312" w:hAnsi="楷体_GB2312" w:eastAsia="楷体_GB2312" w:cs="楷体_GB2312"/>
          <w:color w:val="000000"/>
          <w:sz w:val="32"/>
          <w:szCs w:val="32"/>
          <w:u w:val="none"/>
          <w:lang w:val="en-US" w:eastAsia="zh-CN"/>
        </w:rPr>
        <w:t>2023年</w:t>
      </w:r>
      <w:r>
        <w:rPr>
          <w:rFonts w:hint="eastAsia" w:ascii="楷体_GB2312" w:hAnsi="楷体_GB2312" w:eastAsia="楷体_GB2312" w:cs="楷体_GB2312"/>
          <w:color w:val="000000"/>
          <w:sz w:val="32"/>
          <w:szCs w:val="32"/>
          <w:u w:val="none"/>
          <w:lang w:eastAsia="zh-CN"/>
        </w:rPr>
        <w:t>问题改进成效</w:t>
      </w:r>
    </w:p>
    <w:p>
      <w:pPr>
        <w:widowControl/>
        <w:ind w:firstLine="640" w:firstLineChars="200"/>
        <w:jc w:val="left"/>
        <w:rPr>
          <w:rFonts w:hint="eastAsia" w:ascii="楷体_GB2312" w:hAnsi="楷体_GB2312" w:eastAsia="楷体_GB2312" w:cs="楷体_GB2312"/>
          <w:color w:val="000000"/>
          <w:sz w:val="32"/>
          <w:szCs w:val="32"/>
          <w:u w:val="none"/>
          <w:lang w:eastAsia="zh-CN"/>
        </w:rPr>
      </w:pPr>
      <w:r>
        <w:rPr>
          <w:rFonts w:hint="eastAsia" w:ascii="仿宋_GB2312" w:hAnsi="黑体" w:eastAsia="仿宋_GB2312" w:cs="宋体"/>
          <w:color w:val="000000"/>
          <w:kern w:val="0"/>
          <w:sz w:val="32"/>
          <w:szCs w:val="32"/>
          <w:lang w:eastAsia="zh-CN"/>
        </w:rPr>
        <w:t>一是健全完善政务公开工作机制。</w:t>
      </w:r>
      <w:r>
        <w:rPr>
          <w:rFonts w:hint="eastAsia" w:ascii="仿宋_GB2312" w:hAnsi="仿宋_GB2312" w:eastAsia="仿宋_GB2312" w:cs="仿宋_GB2312"/>
          <w:sz w:val="32"/>
          <w:szCs w:val="32"/>
          <w:lang w:eastAsia="zh-CN"/>
        </w:rPr>
        <w:t>及时调整政务公开工作领导小组，</w:t>
      </w:r>
      <w:r>
        <w:rPr>
          <w:rFonts w:hint="eastAsia" w:ascii="仿宋_GB2312" w:hAnsi="仿宋_GB2312" w:eastAsia="仿宋_GB2312" w:cs="仿宋_GB2312"/>
          <w:sz w:val="32"/>
          <w:szCs w:val="32"/>
          <w:lang w:val="en-US" w:eastAsia="zh-CN"/>
        </w:rPr>
        <w:t>统筹推进、指导、协调、监督政务公开工作。</w:t>
      </w:r>
      <w:r>
        <w:rPr>
          <w:rFonts w:hint="eastAsia" w:ascii="仿宋_GB2312" w:hAnsi="黑体" w:eastAsia="仿宋_GB2312" w:cs="宋体"/>
          <w:color w:val="000000"/>
          <w:kern w:val="0"/>
          <w:sz w:val="32"/>
          <w:szCs w:val="32"/>
          <w:lang w:eastAsia="zh-CN"/>
        </w:rPr>
        <w:t>督促部门</w:t>
      </w:r>
      <w:r>
        <w:rPr>
          <w:rFonts w:hint="eastAsia" w:ascii="仿宋_GB2312" w:hAnsi="黑体" w:eastAsia="仿宋_GB2312" w:cs="宋体"/>
          <w:color w:val="000000"/>
          <w:kern w:val="0"/>
          <w:sz w:val="32"/>
          <w:szCs w:val="32"/>
          <w:lang w:val="en-US" w:eastAsia="zh-CN" w:bidi="ar-SA"/>
        </w:rPr>
        <w:t>扎实做好基础工作的同时，依托常规培训指导、季度通报和年度效能监测等措施，提高部门人员工作水平，较好地解决</w:t>
      </w:r>
      <w:r>
        <w:rPr>
          <w:rFonts w:hint="eastAsia" w:ascii="仿宋_GB2312" w:hAnsi="黑体" w:eastAsia="仿宋_GB2312" w:cs="宋体"/>
          <w:color w:val="000000"/>
          <w:kern w:val="0"/>
          <w:sz w:val="32"/>
          <w:szCs w:val="32"/>
          <w:lang w:eastAsia="zh-CN"/>
        </w:rPr>
        <w:t>人员流动导致的工作接续问题。二是提升政策解读的全面性、丰富性。在区政府网站公开的重要政策文件及时发布、及时解读，通过负责人解读、媒体解读、一图读懂等开展多角度、多形式解读，解读质量和效果显著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（二）</w:t>
      </w:r>
      <w:r>
        <w:rPr>
          <w:rFonts w:hint="eastAsia" w:ascii="楷体_GB2312" w:hAnsi="楷体_GB2312" w:eastAsia="楷体_GB2312" w:cs="楷体_GB2312"/>
          <w:color w:val="000000"/>
          <w:sz w:val="32"/>
          <w:szCs w:val="32"/>
          <w:u w:val="none"/>
          <w:lang w:val="en-US" w:eastAsia="zh-CN"/>
        </w:rPr>
        <w:t>2024年待改进问题</w:t>
      </w:r>
    </w:p>
    <w:p>
      <w:pPr>
        <w:widowControl/>
        <w:ind w:firstLine="640" w:firstLineChars="200"/>
        <w:jc w:val="left"/>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eastAsia="zh-CN"/>
        </w:rPr>
        <w:t>一是工作质效有待提升。部分部门单位政务公开信息发布及时性、规范性有待进一步提升。二是政策解读的质量仍需进一步提高。部分部门的重要政策文件解读不够生动，需要进一步提高解读质量。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（三）2025年改进措施和方向</w:t>
      </w:r>
    </w:p>
    <w:p>
      <w:pPr>
        <w:ind w:firstLine="642" w:firstLineChars="200"/>
        <w:jc w:val="both"/>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eastAsia="zh-CN"/>
        </w:rPr>
        <w:t>一是强机制、重实效，始终保持为民服务初心。</w:t>
      </w:r>
      <w:r>
        <w:rPr>
          <w:rFonts w:hint="eastAsia" w:ascii="仿宋_GB2312" w:hAnsi="宋体" w:eastAsia="仿宋_GB2312" w:cs="仿宋_GB2312"/>
          <w:color w:val="000000"/>
          <w:kern w:val="0"/>
          <w:sz w:val="32"/>
          <w:szCs w:val="32"/>
          <w:lang w:val="en-US" w:eastAsia="zh-CN" w:bidi="ar"/>
        </w:rPr>
        <w:t>一方面，做好主动公开内容的发布和审查工作，确保政策文件、常务会议、财政预决算、行政执法公示、稳岗就业等内容，应</w:t>
      </w:r>
      <w:r>
        <w:rPr>
          <w:rFonts w:hint="eastAsia" w:ascii="仿宋_GB2312" w:hAnsi="仿宋_GB2312" w:eastAsia="仿宋_GB2312" w:cs="仿宋_GB2312"/>
          <w:sz w:val="32"/>
          <w:szCs w:val="32"/>
          <w:lang w:val="en-US" w:eastAsia="zh-CN"/>
        </w:rPr>
        <w:t>公</w:t>
      </w:r>
      <w:r>
        <w:rPr>
          <w:rFonts w:hint="eastAsia" w:ascii="仿宋_GB2312" w:hAnsi="仿宋_GB2312" w:eastAsia="仿宋_GB2312" w:cs="仿宋_GB2312"/>
          <w:sz w:val="32"/>
          <w:szCs w:val="32"/>
          <w:lang w:eastAsia="zh-CN"/>
        </w:rPr>
        <w:t>开、尽公开。另一方面，继续做好依申请公开工作，</w:t>
      </w:r>
      <w:r>
        <w:rPr>
          <w:rFonts w:hint="eastAsia" w:ascii="仿宋_GB2312" w:hAnsi="仿宋_GB2312" w:eastAsia="仿宋_GB2312" w:cs="仿宋_GB2312"/>
          <w:sz w:val="32"/>
          <w:szCs w:val="32"/>
        </w:rPr>
        <w:t>指导部门持续做好依申请公开工作，畅通信息公开申请渠道，优化申请流程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在法定</w:t>
      </w:r>
      <w:r>
        <w:rPr>
          <w:rFonts w:hint="eastAsia" w:ascii="仿宋_GB2312" w:hAnsi="宋体" w:eastAsia="仿宋_GB2312" w:cs="仿宋_GB2312"/>
          <w:color w:val="000000"/>
          <w:kern w:val="0"/>
          <w:sz w:val="32"/>
          <w:szCs w:val="32"/>
          <w:lang w:val="en-US" w:eastAsia="zh-CN" w:bidi="ar"/>
        </w:rPr>
        <w:t>时限内依法答复。督促指导部门积极发布相关信息，加强业务培训和指导，提高工作效率。</w:t>
      </w:r>
    </w:p>
    <w:p>
      <w:p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二是提</w:t>
      </w:r>
      <w:r>
        <w:rPr>
          <w:rFonts w:hint="eastAsia" w:ascii="仿宋_GB2312" w:hAnsi="仿宋_GB2312" w:eastAsia="仿宋_GB2312" w:cs="仿宋_GB2312"/>
          <w:b/>
          <w:bCs/>
          <w:sz w:val="32"/>
          <w:szCs w:val="32"/>
          <w:lang w:val="en-US" w:eastAsia="zh-CN"/>
        </w:rPr>
        <w:t>标准、</w:t>
      </w:r>
      <w:r>
        <w:rPr>
          <w:rFonts w:hint="eastAsia" w:ascii="仿宋_GB2312" w:hAnsi="仿宋_GB2312" w:eastAsia="仿宋_GB2312" w:cs="仿宋_GB2312"/>
          <w:b/>
          <w:bCs/>
          <w:sz w:val="32"/>
          <w:szCs w:val="32"/>
          <w:lang w:eastAsia="zh-CN"/>
        </w:rPr>
        <w:t>树标杆，持续提升政策解读水平。</w:t>
      </w:r>
      <w:r>
        <w:rPr>
          <w:rFonts w:hint="eastAsia" w:ascii="仿宋_GB2312" w:hAnsi="仿宋_GB2312" w:eastAsia="仿宋_GB2312" w:cs="仿宋_GB2312"/>
          <w:sz w:val="32"/>
          <w:szCs w:val="32"/>
          <w:lang w:val="en-US" w:eastAsia="zh-CN"/>
        </w:rPr>
        <w:t>为进一步提升群众对各级各类政策的理解、运用和宣传，各部门加强信息发布和政策解读工作。对文件解读的质量严格要求、严格把关，特别是重要政策文件解读的数量和质量，围绕专家解读、媒体解读、负责人解读、一图读懂、H5动画、动漫视频等方面，开展多角度、多形式的文件解读。</w:t>
      </w:r>
    </w:p>
    <w:p>
      <w:pPr>
        <w:pStyle w:val="2"/>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三是抓亮点、创品牌，努力开创特色工作局面。</w:t>
      </w:r>
      <w:r>
        <w:rPr>
          <w:rFonts w:hint="eastAsia" w:ascii="仿宋_GB2312" w:hAnsi="仿宋_GB2312" w:eastAsia="仿宋_GB2312" w:cs="仿宋_GB2312"/>
          <w:sz w:val="32"/>
          <w:szCs w:val="32"/>
          <w:lang w:val="en-US" w:eastAsia="zh-CN"/>
        </w:rPr>
        <w:t>线上线下齐发力，线上，优化政务公开版面布局，完善文件库搜索查询功能，持续提升政务公开页面服务能力。</w:t>
      </w:r>
      <w:r>
        <w:rPr>
          <w:rFonts w:hint="eastAsia" w:ascii="仿宋_GB2312" w:hAnsi="仿宋_GB2312" w:eastAsia="仿宋_GB2312" w:cs="仿宋_GB2312"/>
          <w:sz w:val="32"/>
          <w:szCs w:val="32"/>
          <w:lang w:eastAsia="zh-CN"/>
        </w:rPr>
        <w:t>线下，优化升级政务公开专区，按照各镇街特色，打造“一镇街、一特色”的政务公开专区，不断完善政务公开专区</w:t>
      </w:r>
      <w:r>
        <w:rPr>
          <w:rFonts w:hint="eastAsia" w:ascii="仿宋_GB2312" w:hAnsi="仿宋_GB2312" w:eastAsia="仿宋_GB2312" w:cs="仿宋_GB2312"/>
          <w:sz w:val="32"/>
          <w:szCs w:val="32"/>
          <w:lang w:val="en-US" w:eastAsia="zh-CN"/>
        </w:rPr>
        <w:t>为民服务效能。</w:t>
      </w:r>
    </w:p>
    <w:p>
      <w:pPr>
        <w:widowControl/>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（一）收取信息处理费情况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依据《政府信息公开信息处理费管理办法》，区政府及各部门本年度收取信息处理费0元。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（二）落实上级年度政务公开工作要点情况</w:t>
      </w:r>
    </w:p>
    <w:p>
      <w:pPr>
        <w:keepNext w:val="0"/>
        <w:keepLines w:val="0"/>
        <w:pageBreakBefore w:val="0"/>
        <w:widowControl/>
        <w:kinsoku/>
        <w:wordWrap/>
        <w:overflowPunct/>
        <w:topLinePunct w:val="0"/>
        <w:autoSpaceDE/>
        <w:autoSpaceDN/>
        <w:bidi w:val="0"/>
        <w:adjustRightInd/>
        <w:snapToGrid/>
        <w:spacing w:line="240" w:lineRule="auto"/>
        <w:ind w:firstLine="960" w:firstLineChars="300"/>
        <w:jc w:val="left"/>
        <w:textAlignment w:val="auto"/>
        <w:rPr>
          <w:rFonts w:hint="eastAsia" w:ascii="仿宋_GB2312" w:hAnsi="仿宋_GB2312" w:eastAsia="仿宋_GB2312" w:cs="仿宋_GB2312"/>
          <w:color w:val="000000"/>
          <w:sz w:val="32"/>
          <w:szCs w:val="32"/>
          <w:lang w:eastAsia="zh-CN"/>
        </w:rPr>
      </w:pPr>
      <w:r>
        <w:rPr>
          <w:rFonts w:hint="eastAsia" w:ascii="仿宋_GB2312" w:hAnsi="宋体" w:eastAsia="仿宋_GB2312" w:cs="仿宋_GB2312"/>
          <w:i w:val="0"/>
          <w:iCs w:val="0"/>
          <w:caps w:val="0"/>
          <w:color w:val="auto"/>
          <w:spacing w:val="0"/>
          <w:sz w:val="32"/>
          <w:szCs w:val="32"/>
          <w:lang w:val="en-US" w:eastAsia="zh-CN"/>
        </w:rPr>
        <w:t>峄城区</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高度重视政务公开工作</w:t>
      </w:r>
      <w:r>
        <w:rPr>
          <w:rFonts w:hint="eastAsia" w:ascii="仿宋_GB2312" w:hAnsi="宋体" w:eastAsia="仿宋_GB2312" w:cs="仿宋_GB2312"/>
          <w:i w:val="0"/>
          <w:iCs w:val="0"/>
          <w:caps w:val="0"/>
          <w:color w:val="auto"/>
          <w:spacing w:val="0"/>
          <w:sz w:val="32"/>
          <w:szCs w:val="32"/>
          <w:lang w:val="en-US" w:eastAsia="zh-CN"/>
        </w:rPr>
        <w:t>，围绕《中华人民共和国政府信息公开条例》等规章制度，严格贯彻落实上级</w:t>
      </w:r>
      <w:r>
        <w:rPr>
          <w:rFonts w:ascii="仿宋_GB2312" w:hAnsi="Times New Roman" w:eastAsia="仿宋_GB2312" w:cs="仿宋_GB2312"/>
          <w:color w:val="000000"/>
          <w:kern w:val="0"/>
          <w:sz w:val="32"/>
          <w:szCs w:val="32"/>
          <w:lang w:bidi="ar"/>
        </w:rPr>
        <w:t>政府年度政务公开工作要点，</w:t>
      </w:r>
      <w:r>
        <w:rPr>
          <w:rFonts w:hint="eastAsia" w:ascii="仿宋_GB2312" w:eastAsia="仿宋_GB2312" w:cs="仿宋_GB2312"/>
          <w:color w:val="000000"/>
          <w:kern w:val="0"/>
          <w:sz w:val="32"/>
          <w:szCs w:val="32"/>
          <w:lang w:eastAsia="zh-CN" w:bidi="ar"/>
        </w:rPr>
        <w:t>通过</w:t>
      </w:r>
      <w:r>
        <w:rPr>
          <w:rFonts w:hint="eastAsia" w:ascii="仿宋_GB2312" w:hAnsi="宋体" w:eastAsia="仿宋_GB2312" w:cs="仿宋_GB2312"/>
          <w:i w:val="0"/>
          <w:iCs w:val="0"/>
          <w:caps w:val="0"/>
          <w:color w:val="auto"/>
          <w:spacing w:val="0"/>
          <w:sz w:val="32"/>
          <w:szCs w:val="32"/>
          <w:lang w:val="en-US" w:eastAsia="zh-CN"/>
        </w:rPr>
        <w:t>开展个人培训、集体学习的活动，提高政务公开工作人员的专业水平。根据区委、区政府重点工作、本单位年度重点工作以及公众关切的领域，进一步提高政务公开的工作质量，积极回应群众关切问题。健全和完善政务公开制度，推动重大决策、重点领域信息等及时公开，提高公开针对性。</w:t>
      </w:r>
      <w:r>
        <w:rPr>
          <w:rFonts w:hint="eastAsia" w:ascii="仿宋_GB2312" w:hAnsi="Times New Roman" w:eastAsia="仿宋_GB2312" w:cs="Times New Roman"/>
          <w:kern w:val="2"/>
          <w:sz w:val="32"/>
          <w:szCs w:val="32"/>
          <w:lang w:val="en-US" w:eastAsia="zh-CN" w:bidi="ar-SA"/>
        </w:rPr>
        <w:t>根据工作实际，针对政务公开的具体业务流程、信息发布规范、保密审查等内容，开展专题培训和案例分析，让工作人员在实践中不断提高业务水平和工作能力。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（三）人大代表建议和政协提案办理结果公开情况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2024年，区政府各部门共承办区级人大代表建议65件、政协委员提案180件，区政府承办市级人大代表建议2件、政协委员提案56件，答复结果均已在区政府网站公开。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黑体" w:eastAsia="仿宋_GB2312" w:cs="宋体"/>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（四）年度政务公开工作创新情况</w:t>
      </w:r>
    </w:p>
    <w:p>
      <w:pPr>
        <w:pStyle w:val="3"/>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2024年，峄城区结合区域经济发展需要，在区政府网站新增“石榴产业”专栏，开设石榴自然风光、活动动态、石榴产业发展三个板块，</w:t>
      </w:r>
      <w:r>
        <w:rPr>
          <w:rFonts w:hint="eastAsia" w:ascii="仿宋_GB2312" w:hAnsi="宋体" w:eastAsia="仿宋_GB2312" w:cs="仿宋_GB2312"/>
          <w:color w:val="000000"/>
          <w:kern w:val="0"/>
          <w:sz w:val="32"/>
          <w:szCs w:val="32"/>
          <w:lang w:val="en-US" w:eastAsia="zh-CN" w:bidi="ar"/>
        </w:rPr>
        <w:t>及时跟进一二三产，发布石榴产业动态，为石榴产业发展营造良好氛围，</w:t>
      </w:r>
      <w:r>
        <w:rPr>
          <w:rFonts w:hint="eastAsia" w:ascii="仿宋_GB2312" w:hAnsi="仿宋_GB2312" w:eastAsia="仿宋_GB2312" w:cs="仿宋_GB2312"/>
          <w:kern w:val="2"/>
          <w:sz w:val="32"/>
          <w:szCs w:val="32"/>
          <w:lang w:val="en-US" w:eastAsia="zh-CN" w:bidi="ar-SA"/>
        </w:rPr>
        <w:t>目前已发布各类信息100余条。</w:t>
      </w:r>
      <w:r>
        <w:rPr>
          <w:rFonts w:hint="eastAsia" w:ascii="仿宋_GB2312" w:hAnsi="Times New Roman" w:eastAsia="仿宋_GB2312" w:cs="Times New Roman"/>
          <w:kern w:val="2"/>
          <w:sz w:val="32"/>
          <w:szCs w:val="32"/>
          <w:lang w:val="en-US" w:eastAsia="zh-CN" w:bidi="ar-SA"/>
        </w:rPr>
        <w:t>制定科学合理的政务公开工作</w:t>
      </w:r>
      <w:r>
        <w:rPr>
          <w:rFonts w:hint="eastAsia" w:ascii="仿宋_GB2312" w:eastAsia="仿宋_GB2312" w:cs="Times New Roman"/>
          <w:kern w:val="2"/>
          <w:sz w:val="32"/>
          <w:szCs w:val="32"/>
          <w:lang w:val="en-US" w:eastAsia="zh-CN" w:bidi="ar-SA"/>
        </w:rPr>
        <w:t>效能监测方案</w:t>
      </w:r>
      <w:r>
        <w:rPr>
          <w:rFonts w:hint="eastAsia" w:ascii="仿宋_GB2312" w:hAnsi="Times New Roman" w:eastAsia="仿宋_GB2312" w:cs="Times New Roman"/>
          <w:kern w:val="2"/>
          <w:sz w:val="32"/>
          <w:szCs w:val="32"/>
          <w:lang w:val="en-US" w:eastAsia="zh-CN" w:bidi="ar-SA"/>
        </w:rPr>
        <w:t>，将</w:t>
      </w:r>
      <w:r>
        <w:rPr>
          <w:rFonts w:hint="eastAsia" w:ascii="仿宋_GB2312" w:eastAsia="仿宋_GB2312" w:cs="Times New Roman"/>
          <w:kern w:val="2"/>
          <w:sz w:val="32"/>
          <w:szCs w:val="32"/>
          <w:lang w:val="en-US" w:eastAsia="zh-CN" w:bidi="ar-SA"/>
        </w:rPr>
        <w:t>政务公开</w:t>
      </w:r>
      <w:r>
        <w:rPr>
          <w:rFonts w:hint="eastAsia" w:ascii="仿宋_GB2312" w:hAnsi="Times New Roman" w:eastAsia="仿宋_GB2312" w:cs="Times New Roman"/>
          <w:kern w:val="2"/>
          <w:sz w:val="32"/>
          <w:szCs w:val="32"/>
          <w:lang w:val="en-US" w:eastAsia="zh-CN" w:bidi="ar-SA"/>
        </w:rPr>
        <w:t>工作人员</w:t>
      </w:r>
      <w:r>
        <w:rPr>
          <w:rFonts w:hint="eastAsia" w:ascii="仿宋_GB2312" w:eastAsia="仿宋_GB2312" w:cs="Times New Roman"/>
          <w:kern w:val="2"/>
          <w:sz w:val="32"/>
          <w:szCs w:val="32"/>
          <w:lang w:val="en-US" w:eastAsia="zh-CN" w:bidi="ar-SA"/>
        </w:rPr>
        <w:t>的</w:t>
      </w:r>
      <w:r>
        <w:rPr>
          <w:rFonts w:hint="eastAsia" w:ascii="仿宋_GB2312" w:hAnsi="Times New Roman" w:eastAsia="仿宋_GB2312" w:cs="Times New Roman"/>
          <w:kern w:val="2"/>
          <w:sz w:val="32"/>
          <w:szCs w:val="32"/>
          <w:lang w:val="en-US" w:eastAsia="zh-CN" w:bidi="ar-SA"/>
        </w:rPr>
        <w:t>业务能力及工作成效等纳入</w:t>
      </w:r>
      <w:r>
        <w:rPr>
          <w:rFonts w:hint="eastAsia" w:ascii="仿宋_GB2312" w:eastAsia="仿宋_GB2312" w:cs="仿宋_GB2312"/>
          <w:color w:val="000000"/>
          <w:sz w:val="32"/>
          <w:szCs w:val="32"/>
        </w:rPr>
        <w:t>日常</w:t>
      </w:r>
      <w:r>
        <w:rPr>
          <w:rFonts w:hint="eastAsia" w:ascii="仿宋_GB2312" w:eastAsia="仿宋_GB2312" w:cs="仿宋_GB2312"/>
          <w:color w:val="000000"/>
          <w:sz w:val="32"/>
          <w:szCs w:val="32"/>
          <w:lang w:eastAsia="zh-CN"/>
        </w:rPr>
        <w:t>监督</w:t>
      </w:r>
      <w:r>
        <w:rPr>
          <w:rFonts w:hint="eastAsia" w:ascii="仿宋_GB2312" w:eastAsia="仿宋_GB2312" w:cs="仿宋_GB2312"/>
          <w:color w:val="000000"/>
          <w:sz w:val="32"/>
          <w:szCs w:val="32"/>
        </w:rPr>
        <w:t>、定期</w:t>
      </w:r>
      <w:r>
        <w:rPr>
          <w:rFonts w:hint="eastAsia" w:ascii="仿宋_GB2312" w:eastAsia="仿宋_GB2312" w:cs="仿宋_GB2312"/>
          <w:color w:val="000000"/>
          <w:sz w:val="32"/>
          <w:szCs w:val="32"/>
          <w:lang w:eastAsia="zh-CN"/>
        </w:rPr>
        <w:t>检查</w:t>
      </w:r>
      <w:r>
        <w:rPr>
          <w:rFonts w:hint="eastAsia" w:ascii="仿宋_GB2312" w:eastAsia="仿宋_GB2312" w:cs="仿宋_GB2312"/>
          <w:color w:val="000000"/>
          <w:sz w:val="32"/>
          <w:szCs w:val="32"/>
        </w:rPr>
        <w:t>和重点督查</w:t>
      </w:r>
      <w:r>
        <w:rPr>
          <w:rFonts w:hint="eastAsia" w:ascii="仿宋_GB2312" w:hAnsi="Times New Roman" w:eastAsia="仿宋_GB2312" w:cs="Times New Roman"/>
          <w:kern w:val="2"/>
          <w:sz w:val="32"/>
          <w:szCs w:val="32"/>
          <w:lang w:val="en-US" w:eastAsia="zh-CN" w:bidi="ar-SA"/>
        </w:rPr>
        <w:t>范围，</w:t>
      </w:r>
      <w:r>
        <w:rPr>
          <w:rFonts w:hint="eastAsia" w:ascii="仿宋_GB2312" w:eastAsia="仿宋_GB2312" w:cs="Times New Roman"/>
          <w:kern w:val="2"/>
          <w:sz w:val="32"/>
          <w:szCs w:val="32"/>
          <w:lang w:val="en-US" w:eastAsia="zh-CN" w:bidi="ar-SA"/>
        </w:rPr>
        <w:t>不断提升政务公开工作实效。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（五）本行政机关政府信息公开工作年度报告数据统计需要说明的事项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（六）本行政机关认为需要报告的其他事项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（七）其他有关文件专门要求通过政府信息公开工作年度报告予以报告的事项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kern w:val="0"/>
          <w:sz w:val="32"/>
          <w:szCs w:val="32"/>
          <w:lang w:val="en-US" w:eastAsia="zh-CN" w:bidi="ar-SA"/>
        </w:rPr>
        <w:t>无。</w:t>
      </w:r>
    </w:p>
    <w:sectPr>
      <w:headerReference r:id="rId3" w:type="default"/>
      <w:footerReference r:id="rId4" w:type="default"/>
      <w:pgSz w:w="11906" w:h="16838"/>
      <w:pgMar w:top="181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83018"/>
    <w:multiLevelType w:val="singleLevel"/>
    <w:tmpl w:val="7B683018"/>
    <w:lvl w:ilvl="0" w:tentative="0">
      <w:start w:val="4"/>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ZDI5MmExZTNlOTA0ZDNiMjQ1M2ZmNWY3MWVhYjQifQ=="/>
    <w:docVar w:name="KSO_WPS_MARK_KEY" w:val="989ceb4b-f8d0-4e33-9594-d2196de90dcf"/>
  </w:docVars>
  <w:rsids>
    <w:rsidRoot w:val="30BA171F"/>
    <w:rsid w:val="00144B5D"/>
    <w:rsid w:val="001D5FB4"/>
    <w:rsid w:val="00296707"/>
    <w:rsid w:val="002E01C1"/>
    <w:rsid w:val="004C0647"/>
    <w:rsid w:val="004E43BF"/>
    <w:rsid w:val="00832BF2"/>
    <w:rsid w:val="008F6EB2"/>
    <w:rsid w:val="009C512B"/>
    <w:rsid w:val="009C779F"/>
    <w:rsid w:val="009D0EA3"/>
    <w:rsid w:val="00B00BD6"/>
    <w:rsid w:val="00BA7CA7"/>
    <w:rsid w:val="00C85F20"/>
    <w:rsid w:val="00CA613C"/>
    <w:rsid w:val="00D40D69"/>
    <w:rsid w:val="00ED6FC2"/>
    <w:rsid w:val="01145609"/>
    <w:rsid w:val="01192C1F"/>
    <w:rsid w:val="0119677B"/>
    <w:rsid w:val="011E3D92"/>
    <w:rsid w:val="0147153B"/>
    <w:rsid w:val="014E3808"/>
    <w:rsid w:val="01626374"/>
    <w:rsid w:val="01D152A8"/>
    <w:rsid w:val="01EE19B6"/>
    <w:rsid w:val="02076F1C"/>
    <w:rsid w:val="020D30C3"/>
    <w:rsid w:val="021F1F87"/>
    <w:rsid w:val="02300221"/>
    <w:rsid w:val="023A4BFB"/>
    <w:rsid w:val="02467A44"/>
    <w:rsid w:val="02555ED9"/>
    <w:rsid w:val="02557C87"/>
    <w:rsid w:val="025F4662"/>
    <w:rsid w:val="0266572D"/>
    <w:rsid w:val="026E2AF7"/>
    <w:rsid w:val="02A4476B"/>
    <w:rsid w:val="02B7624C"/>
    <w:rsid w:val="02BD75DA"/>
    <w:rsid w:val="02C170CB"/>
    <w:rsid w:val="02E31CC0"/>
    <w:rsid w:val="030376E3"/>
    <w:rsid w:val="03187FC7"/>
    <w:rsid w:val="031C69F7"/>
    <w:rsid w:val="032B09E8"/>
    <w:rsid w:val="034A70C0"/>
    <w:rsid w:val="03555A65"/>
    <w:rsid w:val="03633399"/>
    <w:rsid w:val="03A32C74"/>
    <w:rsid w:val="03B52A74"/>
    <w:rsid w:val="03FC7C4B"/>
    <w:rsid w:val="04082AD7"/>
    <w:rsid w:val="04581CB1"/>
    <w:rsid w:val="04D10CCB"/>
    <w:rsid w:val="04D94B9F"/>
    <w:rsid w:val="04E83035"/>
    <w:rsid w:val="04ED23F9"/>
    <w:rsid w:val="04F82B4C"/>
    <w:rsid w:val="04FF212C"/>
    <w:rsid w:val="05300538"/>
    <w:rsid w:val="05393890"/>
    <w:rsid w:val="054E09BE"/>
    <w:rsid w:val="055A7363"/>
    <w:rsid w:val="057743B8"/>
    <w:rsid w:val="05940AC6"/>
    <w:rsid w:val="059E51D4"/>
    <w:rsid w:val="05B20F4D"/>
    <w:rsid w:val="05C313AC"/>
    <w:rsid w:val="05D215EF"/>
    <w:rsid w:val="05D9297D"/>
    <w:rsid w:val="05E03D0C"/>
    <w:rsid w:val="05E337FC"/>
    <w:rsid w:val="05E76E48"/>
    <w:rsid w:val="06147E59"/>
    <w:rsid w:val="0618289E"/>
    <w:rsid w:val="062E0F1B"/>
    <w:rsid w:val="06383B48"/>
    <w:rsid w:val="06563FCE"/>
    <w:rsid w:val="066E0F94"/>
    <w:rsid w:val="066E1317"/>
    <w:rsid w:val="06896151"/>
    <w:rsid w:val="06913258"/>
    <w:rsid w:val="06A05249"/>
    <w:rsid w:val="06A411DD"/>
    <w:rsid w:val="06B64A6C"/>
    <w:rsid w:val="06BD190F"/>
    <w:rsid w:val="06CB676A"/>
    <w:rsid w:val="06DA69AD"/>
    <w:rsid w:val="07034156"/>
    <w:rsid w:val="071C5217"/>
    <w:rsid w:val="071F7265"/>
    <w:rsid w:val="074958E1"/>
    <w:rsid w:val="07603356"/>
    <w:rsid w:val="076D7821"/>
    <w:rsid w:val="07752984"/>
    <w:rsid w:val="07972AF0"/>
    <w:rsid w:val="07B76C1F"/>
    <w:rsid w:val="07BC4304"/>
    <w:rsid w:val="07DB478B"/>
    <w:rsid w:val="07E21FBD"/>
    <w:rsid w:val="07E61381"/>
    <w:rsid w:val="07F13FAE"/>
    <w:rsid w:val="080D2DB2"/>
    <w:rsid w:val="08297BEC"/>
    <w:rsid w:val="085E53BC"/>
    <w:rsid w:val="08670714"/>
    <w:rsid w:val="08674270"/>
    <w:rsid w:val="0869448C"/>
    <w:rsid w:val="08730E67"/>
    <w:rsid w:val="08892CC7"/>
    <w:rsid w:val="08A2174C"/>
    <w:rsid w:val="08B82D1E"/>
    <w:rsid w:val="08F024B8"/>
    <w:rsid w:val="08FA6E92"/>
    <w:rsid w:val="09122764"/>
    <w:rsid w:val="091837BC"/>
    <w:rsid w:val="092A7769"/>
    <w:rsid w:val="09420839"/>
    <w:rsid w:val="095306EF"/>
    <w:rsid w:val="09594501"/>
    <w:rsid w:val="0976663B"/>
    <w:rsid w:val="099146D8"/>
    <w:rsid w:val="09AD5159"/>
    <w:rsid w:val="09C676BC"/>
    <w:rsid w:val="09D5345C"/>
    <w:rsid w:val="09E7549D"/>
    <w:rsid w:val="0A002BCE"/>
    <w:rsid w:val="0A0501E5"/>
    <w:rsid w:val="0A0F4BBF"/>
    <w:rsid w:val="0A3E54A5"/>
    <w:rsid w:val="0A670558"/>
    <w:rsid w:val="0A7669ED"/>
    <w:rsid w:val="0A7F7F97"/>
    <w:rsid w:val="0A9B46A5"/>
    <w:rsid w:val="0AA25A34"/>
    <w:rsid w:val="0AAA48E8"/>
    <w:rsid w:val="0AB17A25"/>
    <w:rsid w:val="0AE0030A"/>
    <w:rsid w:val="0AEC3153"/>
    <w:rsid w:val="0AF838A6"/>
    <w:rsid w:val="0B0303CB"/>
    <w:rsid w:val="0B470389"/>
    <w:rsid w:val="0B7078E0"/>
    <w:rsid w:val="0B996E37"/>
    <w:rsid w:val="0BA80E28"/>
    <w:rsid w:val="0BBA0B5B"/>
    <w:rsid w:val="0BE1258C"/>
    <w:rsid w:val="0C142961"/>
    <w:rsid w:val="0C50326D"/>
    <w:rsid w:val="0C790A16"/>
    <w:rsid w:val="0C880C59"/>
    <w:rsid w:val="0C8F5A85"/>
    <w:rsid w:val="0CB8153E"/>
    <w:rsid w:val="0CDB522D"/>
    <w:rsid w:val="0D132C19"/>
    <w:rsid w:val="0D18022F"/>
    <w:rsid w:val="0D1B387B"/>
    <w:rsid w:val="0D352B8F"/>
    <w:rsid w:val="0D4B4161"/>
    <w:rsid w:val="0D4C612B"/>
    <w:rsid w:val="0D58062B"/>
    <w:rsid w:val="0D6366BB"/>
    <w:rsid w:val="0D6C40D7"/>
    <w:rsid w:val="0D927FE1"/>
    <w:rsid w:val="0DB5782C"/>
    <w:rsid w:val="0DDA2B74"/>
    <w:rsid w:val="0DED346A"/>
    <w:rsid w:val="0DF02F5A"/>
    <w:rsid w:val="0E0D58BA"/>
    <w:rsid w:val="0E197DBB"/>
    <w:rsid w:val="0E601AFE"/>
    <w:rsid w:val="0E6354DA"/>
    <w:rsid w:val="0E645F25"/>
    <w:rsid w:val="0E6D6359"/>
    <w:rsid w:val="0E7B4B53"/>
    <w:rsid w:val="0E83792A"/>
    <w:rsid w:val="0E9733D5"/>
    <w:rsid w:val="0EA13BB4"/>
    <w:rsid w:val="0EAC6E81"/>
    <w:rsid w:val="0EB524AA"/>
    <w:rsid w:val="0EB9334C"/>
    <w:rsid w:val="0EBB70C4"/>
    <w:rsid w:val="0ED32660"/>
    <w:rsid w:val="0ED65CAC"/>
    <w:rsid w:val="0EE859DF"/>
    <w:rsid w:val="0F3F1AA3"/>
    <w:rsid w:val="0F421593"/>
    <w:rsid w:val="0F44530B"/>
    <w:rsid w:val="0F5C08A7"/>
    <w:rsid w:val="0F76123D"/>
    <w:rsid w:val="0F8E2A2A"/>
    <w:rsid w:val="0FB3423F"/>
    <w:rsid w:val="0FB6788B"/>
    <w:rsid w:val="0FB87AA7"/>
    <w:rsid w:val="0FC71A98"/>
    <w:rsid w:val="0FE8038D"/>
    <w:rsid w:val="10066A65"/>
    <w:rsid w:val="10101691"/>
    <w:rsid w:val="101F3682"/>
    <w:rsid w:val="103C5FE2"/>
    <w:rsid w:val="10484987"/>
    <w:rsid w:val="104906FF"/>
    <w:rsid w:val="10507CE0"/>
    <w:rsid w:val="108C6F6A"/>
    <w:rsid w:val="1098289D"/>
    <w:rsid w:val="10A73DA4"/>
    <w:rsid w:val="10D17073"/>
    <w:rsid w:val="10D40911"/>
    <w:rsid w:val="10D86EA2"/>
    <w:rsid w:val="10E072B6"/>
    <w:rsid w:val="10EC17B7"/>
    <w:rsid w:val="114C3F1E"/>
    <w:rsid w:val="115F59AD"/>
    <w:rsid w:val="11616753"/>
    <w:rsid w:val="117D68B3"/>
    <w:rsid w:val="118B7221"/>
    <w:rsid w:val="11A007F3"/>
    <w:rsid w:val="11AE2F10"/>
    <w:rsid w:val="11E95673"/>
    <w:rsid w:val="11EE155E"/>
    <w:rsid w:val="11F35D58"/>
    <w:rsid w:val="12064A9B"/>
    <w:rsid w:val="121C256F"/>
    <w:rsid w:val="121C431D"/>
    <w:rsid w:val="12256C5E"/>
    <w:rsid w:val="1243599B"/>
    <w:rsid w:val="12631F4C"/>
    <w:rsid w:val="129739A4"/>
    <w:rsid w:val="12C329EB"/>
    <w:rsid w:val="12C34799"/>
    <w:rsid w:val="12C83CCA"/>
    <w:rsid w:val="12EA7F78"/>
    <w:rsid w:val="12FE3A23"/>
    <w:rsid w:val="13207E3D"/>
    <w:rsid w:val="132F0080"/>
    <w:rsid w:val="1340403C"/>
    <w:rsid w:val="134E6759"/>
    <w:rsid w:val="13643041"/>
    <w:rsid w:val="13737F6D"/>
    <w:rsid w:val="137D5290"/>
    <w:rsid w:val="139029BB"/>
    <w:rsid w:val="1393060F"/>
    <w:rsid w:val="13946135"/>
    <w:rsid w:val="13AC4C0C"/>
    <w:rsid w:val="13F310AE"/>
    <w:rsid w:val="13F56BD4"/>
    <w:rsid w:val="14215C1B"/>
    <w:rsid w:val="142C45C0"/>
    <w:rsid w:val="1432607A"/>
    <w:rsid w:val="14504752"/>
    <w:rsid w:val="145D5B58"/>
    <w:rsid w:val="14860174"/>
    <w:rsid w:val="14983A03"/>
    <w:rsid w:val="14CD5DA3"/>
    <w:rsid w:val="14DA401C"/>
    <w:rsid w:val="14E80F29"/>
    <w:rsid w:val="15205ED3"/>
    <w:rsid w:val="152F25BA"/>
    <w:rsid w:val="15664D87"/>
    <w:rsid w:val="15787ABD"/>
    <w:rsid w:val="15A9411A"/>
    <w:rsid w:val="15AB60E4"/>
    <w:rsid w:val="15BD1974"/>
    <w:rsid w:val="15E769F0"/>
    <w:rsid w:val="163D2AB4"/>
    <w:rsid w:val="16473933"/>
    <w:rsid w:val="165529EC"/>
    <w:rsid w:val="167D7494"/>
    <w:rsid w:val="1683496B"/>
    <w:rsid w:val="16B25250"/>
    <w:rsid w:val="16C32FBA"/>
    <w:rsid w:val="16CD3E38"/>
    <w:rsid w:val="16E8757C"/>
    <w:rsid w:val="16F45869"/>
    <w:rsid w:val="17321EED"/>
    <w:rsid w:val="174165D4"/>
    <w:rsid w:val="17B46DA6"/>
    <w:rsid w:val="17C36FE9"/>
    <w:rsid w:val="17D85E89"/>
    <w:rsid w:val="180513B0"/>
    <w:rsid w:val="18131D1F"/>
    <w:rsid w:val="18365A0D"/>
    <w:rsid w:val="18383533"/>
    <w:rsid w:val="183F0D66"/>
    <w:rsid w:val="1864257A"/>
    <w:rsid w:val="188B7B07"/>
    <w:rsid w:val="1890511D"/>
    <w:rsid w:val="18BA4B90"/>
    <w:rsid w:val="18C869AE"/>
    <w:rsid w:val="18ED7793"/>
    <w:rsid w:val="19257F5C"/>
    <w:rsid w:val="192C4C84"/>
    <w:rsid w:val="192D6E10"/>
    <w:rsid w:val="19436634"/>
    <w:rsid w:val="194A79C2"/>
    <w:rsid w:val="194D0E94"/>
    <w:rsid w:val="197B7B7C"/>
    <w:rsid w:val="19930963"/>
    <w:rsid w:val="19B412DF"/>
    <w:rsid w:val="19EA2F53"/>
    <w:rsid w:val="19FE07AD"/>
    <w:rsid w:val="1A0F6516"/>
    <w:rsid w:val="1A2851B1"/>
    <w:rsid w:val="1A2F0966"/>
    <w:rsid w:val="1A7D5B75"/>
    <w:rsid w:val="1A807414"/>
    <w:rsid w:val="1A8213DE"/>
    <w:rsid w:val="1AC27A2C"/>
    <w:rsid w:val="1AD05CA5"/>
    <w:rsid w:val="1AFC6A9A"/>
    <w:rsid w:val="1AFE6CB6"/>
    <w:rsid w:val="1B067919"/>
    <w:rsid w:val="1B122762"/>
    <w:rsid w:val="1B3E1A11"/>
    <w:rsid w:val="1B495A3F"/>
    <w:rsid w:val="1B4C2C1A"/>
    <w:rsid w:val="1B666609"/>
    <w:rsid w:val="1B9238A2"/>
    <w:rsid w:val="1B943177"/>
    <w:rsid w:val="1BC7354C"/>
    <w:rsid w:val="1BE063BC"/>
    <w:rsid w:val="1BEC2FB3"/>
    <w:rsid w:val="1C010930"/>
    <w:rsid w:val="1C1C0C3D"/>
    <w:rsid w:val="1C220782"/>
    <w:rsid w:val="1C2300FD"/>
    <w:rsid w:val="1C2344FA"/>
    <w:rsid w:val="1C646FED"/>
    <w:rsid w:val="1C7B7E93"/>
    <w:rsid w:val="1C827473"/>
    <w:rsid w:val="1C8E7BC6"/>
    <w:rsid w:val="1C913B5A"/>
    <w:rsid w:val="1CA23671"/>
    <w:rsid w:val="1CAB4C1C"/>
    <w:rsid w:val="1CB02BFE"/>
    <w:rsid w:val="1CBF5583"/>
    <w:rsid w:val="1CC730D8"/>
    <w:rsid w:val="1CCA3A08"/>
    <w:rsid w:val="1CEE6A7A"/>
    <w:rsid w:val="1D4806BC"/>
    <w:rsid w:val="1D540E0F"/>
    <w:rsid w:val="1D6D3C7F"/>
    <w:rsid w:val="1D7B1846"/>
    <w:rsid w:val="1D7E5E8C"/>
    <w:rsid w:val="1DAF0DF1"/>
    <w:rsid w:val="1DB775F0"/>
    <w:rsid w:val="1DD97567"/>
    <w:rsid w:val="1DFB128B"/>
    <w:rsid w:val="1E0F4D36"/>
    <w:rsid w:val="1E124827"/>
    <w:rsid w:val="1E3B5B2B"/>
    <w:rsid w:val="1E546BED"/>
    <w:rsid w:val="1E553E77"/>
    <w:rsid w:val="1E5F5CBE"/>
    <w:rsid w:val="1EA638ED"/>
    <w:rsid w:val="1EBF675C"/>
    <w:rsid w:val="1ED91410"/>
    <w:rsid w:val="1EFFA381"/>
    <w:rsid w:val="1F274302"/>
    <w:rsid w:val="1F2E5690"/>
    <w:rsid w:val="1F2E743E"/>
    <w:rsid w:val="1F364345"/>
    <w:rsid w:val="1F470500"/>
    <w:rsid w:val="1F4B6242"/>
    <w:rsid w:val="1F576995"/>
    <w:rsid w:val="1F670CA2"/>
    <w:rsid w:val="1F6E1F58"/>
    <w:rsid w:val="1F72557D"/>
    <w:rsid w:val="1F784B5D"/>
    <w:rsid w:val="1F7C63FB"/>
    <w:rsid w:val="1FA15E62"/>
    <w:rsid w:val="1FD9384E"/>
    <w:rsid w:val="1FFC12EA"/>
    <w:rsid w:val="204D413F"/>
    <w:rsid w:val="205B4263"/>
    <w:rsid w:val="20672C08"/>
    <w:rsid w:val="206A094A"/>
    <w:rsid w:val="2096173F"/>
    <w:rsid w:val="209634ED"/>
    <w:rsid w:val="2099122F"/>
    <w:rsid w:val="20BF7F0D"/>
    <w:rsid w:val="20D81D57"/>
    <w:rsid w:val="20E701EC"/>
    <w:rsid w:val="20EC75B1"/>
    <w:rsid w:val="20EE3329"/>
    <w:rsid w:val="210E5779"/>
    <w:rsid w:val="21313D66"/>
    <w:rsid w:val="21350F58"/>
    <w:rsid w:val="2149055F"/>
    <w:rsid w:val="214967B1"/>
    <w:rsid w:val="21771570"/>
    <w:rsid w:val="21881CE4"/>
    <w:rsid w:val="21C422DC"/>
    <w:rsid w:val="21EF7359"/>
    <w:rsid w:val="221B63A0"/>
    <w:rsid w:val="22433200"/>
    <w:rsid w:val="224F66C7"/>
    <w:rsid w:val="227506EF"/>
    <w:rsid w:val="22814E21"/>
    <w:rsid w:val="22D622C7"/>
    <w:rsid w:val="22D70AB4"/>
    <w:rsid w:val="22DA287C"/>
    <w:rsid w:val="22F83FEB"/>
    <w:rsid w:val="23173D36"/>
    <w:rsid w:val="23476D20"/>
    <w:rsid w:val="23503E27"/>
    <w:rsid w:val="23696C97"/>
    <w:rsid w:val="236D2C2B"/>
    <w:rsid w:val="237A70F6"/>
    <w:rsid w:val="23847BDA"/>
    <w:rsid w:val="238C6E29"/>
    <w:rsid w:val="239D185F"/>
    <w:rsid w:val="239D4B92"/>
    <w:rsid w:val="23A81EB5"/>
    <w:rsid w:val="23B00D6A"/>
    <w:rsid w:val="23B75C54"/>
    <w:rsid w:val="23E26A49"/>
    <w:rsid w:val="23ED78C8"/>
    <w:rsid w:val="23F70746"/>
    <w:rsid w:val="23FE7D27"/>
    <w:rsid w:val="24092228"/>
    <w:rsid w:val="24305A06"/>
    <w:rsid w:val="247753E3"/>
    <w:rsid w:val="24B86128"/>
    <w:rsid w:val="24D25416"/>
    <w:rsid w:val="24DB4137"/>
    <w:rsid w:val="24E355E7"/>
    <w:rsid w:val="24EA02AB"/>
    <w:rsid w:val="24F00B4F"/>
    <w:rsid w:val="24FA7396"/>
    <w:rsid w:val="250749B9"/>
    <w:rsid w:val="252C4420"/>
    <w:rsid w:val="25400F60"/>
    <w:rsid w:val="25792EAD"/>
    <w:rsid w:val="25B6459C"/>
    <w:rsid w:val="25CE3993"/>
    <w:rsid w:val="25E44CFA"/>
    <w:rsid w:val="26013AFE"/>
    <w:rsid w:val="26081E5A"/>
    <w:rsid w:val="261F5D33"/>
    <w:rsid w:val="26647BE9"/>
    <w:rsid w:val="268D0EEE"/>
    <w:rsid w:val="26926505"/>
    <w:rsid w:val="26A20476"/>
    <w:rsid w:val="26BB5A5B"/>
    <w:rsid w:val="26C64400"/>
    <w:rsid w:val="26F31699"/>
    <w:rsid w:val="273E00BA"/>
    <w:rsid w:val="27457A1B"/>
    <w:rsid w:val="2751016E"/>
    <w:rsid w:val="27533EE6"/>
    <w:rsid w:val="27690A2C"/>
    <w:rsid w:val="276C144B"/>
    <w:rsid w:val="27743E5C"/>
    <w:rsid w:val="27800A53"/>
    <w:rsid w:val="279B763B"/>
    <w:rsid w:val="279F712B"/>
    <w:rsid w:val="27C6290A"/>
    <w:rsid w:val="27E36424"/>
    <w:rsid w:val="280B47C0"/>
    <w:rsid w:val="281318C7"/>
    <w:rsid w:val="28186EDD"/>
    <w:rsid w:val="28243AD4"/>
    <w:rsid w:val="282615FA"/>
    <w:rsid w:val="28327F9F"/>
    <w:rsid w:val="283449A9"/>
    <w:rsid w:val="283F26BC"/>
    <w:rsid w:val="28415E40"/>
    <w:rsid w:val="287E1436"/>
    <w:rsid w:val="289724F8"/>
    <w:rsid w:val="289E5635"/>
    <w:rsid w:val="28A95D87"/>
    <w:rsid w:val="28AF7842"/>
    <w:rsid w:val="28B112DC"/>
    <w:rsid w:val="29323FCF"/>
    <w:rsid w:val="293253E8"/>
    <w:rsid w:val="294E52E3"/>
    <w:rsid w:val="29634188"/>
    <w:rsid w:val="29673C78"/>
    <w:rsid w:val="29695C42"/>
    <w:rsid w:val="29746395"/>
    <w:rsid w:val="29AE18A7"/>
    <w:rsid w:val="29BF3AB4"/>
    <w:rsid w:val="29F14587"/>
    <w:rsid w:val="29FF2103"/>
    <w:rsid w:val="2A1C76AC"/>
    <w:rsid w:val="2A1F09F7"/>
    <w:rsid w:val="2A2B114A"/>
    <w:rsid w:val="2A3D5B42"/>
    <w:rsid w:val="2A4D7312"/>
    <w:rsid w:val="2A8414D9"/>
    <w:rsid w:val="2A8D770F"/>
    <w:rsid w:val="2AD9456B"/>
    <w:rsid w:val="2AFE23BA"/>
    <w:rsid w:val="2B381D70"/>
    <w:rsid w:val="2B4F2C16"/>
    <w:rsid w:val="2B667F60"/>
    <w:rsid w:val="2B6F2DD8"/>
    <w:rsid w:val="2B7E174D"/>
    <w:rsid w:val="2B801F8B"/>
    <w:rsid w:val="2BA07916"/>
    <w:rsid w:val="2BC5737C"/>
    <w:rsid w:val="2BC929C8"/>
    <w:rsid w:val="2BCF3D57"/>
    <w:rsid w:val="2C273B93"/>
    <w:rsid w:val="2C311870"/>
    <w:rsid w:val="2C7B35AA"/>
    <w:rsid w:val="2C9F3729"/>
    <w:rsid w:val="2CB2345D"/>
    <w:rsid w:val="2CB27900"/>
    <w:rsid w:val="2CC6515A"/>
    <w:rsid w:val="2CD47877"/>
    <w:rsid w:val="2CE657FC"/>
    <w:rsid w:val="2D03015C"/>
    <w:rsid w:val="2D050C8C"/>
    <w:rsid w:val="2D2B1461"/>
    <w:rsid w:val="2D2F71A3"/>
    <w:rsid w:val="2D377E06"/>
    <w:rsid w:val="2D3A4195"/>
    <w:rsid w:val="2D3C390E"/>
    <w:rsid w:val="2D597D7C"/>
    <w:rsid w:val="2D5B1D46"/>
    <w:rsid w:val="2D5C786C"/>
    <w:rsid w:val="2D684463"/>
    <w:rsid w:val="2D6A01DB"/>
    <w:rsid w:val="2D713318"/>
    <w:rsid w:val="2DA07759"/>
    <w:rsid w:val="2DA51213"/>
    <w:rsid w:val="2DB43204"/>
    <w:rsid w:val="2DBE22D5"/>
    <w:rsid w:val="2DCC67A0"/>
    <w:rsid w:val="2DE03FF9"/>
    <w:rsid w:val="2DF16206"/>
    <w:rsid w:val="2DFB52D7"/>
    <w:rsid w:val="2E0917A2"/>
    <w:rsid w:val="2E1B7727"/>
    <w:rsid w:val="2E1D349F"/>
    <w:rsid w:val="2E383E35"/>
    <w:rsid w:val="2E625356"/>
    <w:rsid w:val="2E690493"/>
    <w:rsid w:val="2E8250B1"/>
    <w:rsid w:val="2E9F3EB4"/>
    <w:rsid w:val="2EA17C2D"/>
    <w:rsid w:val="2EA8720D"/>
    <w:rsid w:val="2EC456C9"/>
    <w:rsid w:val="2ECD0A22"/>
    <w:rsid w:val="2F126434"/>
    <w:rsid w:val="2F4F113B"/>
    <w:rsid w:val="2F511653"/>
    <w:rsid w:val="2F9E23BE"/>
    <w:rsid w:val="2FAD2601"/>
    <w:rsid w:val="2FC00586"/>
    <w:rsid w:val="2FCB9492"/>
    <w:rsid w:val="2FDB28DD"/>
    <w:rsid w:val="2FDD2EE6"/>
    <w:rsid w:val="2FFD720B"/>
    <w:rsid w:val="3008511A"/>
    <w:rsid w:val="300A2E08"/>
    <w:rsid w:val="306C7DC6"/>
    <w:rsid w:val="30711881"/>
    <w:rsid w:val="30797DCA"/>
    <w:rsid w:val="30803872"/>
    <w:rsid w:val="309F1F4A"/>
    <w:rsid w:val="30A97B6A"/>
    <w:rsid w:val="30BA171F"/>
    <w:rsid w:val="30D836AE"/>
    <w:rsid w:val="30E402A4"/>
    <w:rsid w:val="30FF0C3A"/>
    <w:rsid w:val="311F66C8"/>
    <w:rsid w:val="31216E03"/>
    <w:rsid w:val="315076E8"/>
    <w:rsid w:val="316F5DC0"/>
    <w:rsid w:val="31975317"/>
    <w:rsid w:val="31A43590"/>
    <w:rsid w:val="31D245A1"/>
    <w:rsid w:val="31E56082"/>
    <w:rsid w:val="31E87920"/>
    <w:rsid w:val="31EA3699"/>
    <w:rsid w:val="3212499D"/>
    <w:rsid w:val="32135F41"/>
    <w:rsid w:val="32180206"/>
    <w:rsid w:val="322A05A2"/>
    <w:rsid w:val="32462F60"/>
    <w:rsid w:val="3267118D"/>
    <w:rsid w:val="32715B68"/>
    <w:rsid w:val="32780CA4"/>
    <w:rsid w:val="327F0285"/>
    <w:rsid w:val="3287538B"/>
    <w:rsid w:val="32990C1B"/>
    <w:rsid w:val="32A41A99"/>
    <w:rsid w:val="32AA2E28"/>
    <w:rsid w:val="32BD0DAD"/>
    <w:rsid w:val="32C043F9"/>
    <w:rsid w:val="32C055C3"/>
    <w:rsid w:val="32C20171"/>
    <w:rsid w:val="32C43EEA"/>
    <w:rsid w:val="32D3412D"/>
    <w:rsid w:val="32D61E6F"/>
    <w:rsid w:val="32F72511"/>
    <w:rsid w:val="32FE389F"/>
    <w:rsid w:val="33114C55"/>
    <w:rsid w:val="33354DE7"/>
    <w:rsid w:val="335133F7"/>
    <w:rsid w:val="33541711"/>
    <w:rsid w:val="338B2C59"/>
    <w:rsid w:val="339733AC"/>
    <w:rsid w:val="33C57F19"/>
    <w:rsid w:val="33EC194A"/>
    <w:rsid w:val="343706EB"/>
    <w:rsid w:val="344057F2"/>
    <w:rsid w:val="34605E94"/>
    <w:rsid w:val="346D235F"/>
    <w:rsid w:val="346E6803"/>
    <w:rsid w:val="348A2F11"/>
    <w:rsid w:val="348C46DB"/>
    <w:rsid w:val="34915DAF"/>
    <w:rsid w:val="34963664"/>
    <w:rsid w:val="34A42225"/>
    <w:rsid w:val="34B61F58"/>
    <w:rsid w:val="34CC693E"/>
    <w:rsid w:val="34CE72A2"/>
    <w:rsid w:val="350121E9"/>
    <w:rsid w:val="357F67EE"/>
    <w:rsid w:val="358838F4"/>
    <w:rsid w:val="358B6F41"/>
    <w:rsid w:val="35951B6D"/>
    <w:rsid w:val="35A65B28"/>
    <w:rsid w:val="35A92FC5"/>
    <w:rsid w:val="35E328D9"/>
    <w:rsid w:val="36154A5C"/>
    <w:rsid w:val="361615D0"/>
    <w:rsid w:val="361707D4"/>
    <w:rsid w:val="36321AB2"/>
    <w:rsid w:val="363B44C3"/>
    <w:rsid w:val="36454940"/>
    <w:rsid w:val="3651018A"/>
    <w:rsid w:val="36591C9C"/>
    <w:rsid w:val="367E1CA3"/>
    <w:rsid w:val="37024FE0"/>
    <w:rsid w:val="37052D23"/>
    <w:rsid w:val="370E1BD7"/>
    <w:rsid w:val="371C0798"/>
    <w:rsid w:val="37341438"/>
    <w:rsid w:val="37503F9E"/>
    <w:rsid w:val="375A12C0"/>
    <w:rsid w:val="375F0685"/>
    <w:rsid w:val="377A101B"/>
    <w:rsid w:val="377C1237"/>
    <w:rsid w:val="37921E4C"/>
    <w:rsid w:val="37983B97"/>
    <w:rsid w:val="37B207B5"/>
    <w:rsid w:val="37C9112C"/>
    <w:rsid w:val="37CD2FFD"/>
    <w:rsid w:val="37F4701F"/>
    <w:rsid w:val="37FBF7F3"/>
    <w:rsid w:val="383209C1"/>
    <w:rsid w:val="384A30E3"/>
    <w:rsid w:val="38514471"/>
    <w:rsid w:val="38765C86"/>
    <w:rsid w:val="38797524"/>
    <w:rsid w:val="387E14C4"/>
    <w:rsid w:val="3894435E"/>
    <w:rsid w:val="38B7004D"/>
    <w:rsid w:val="38F31085"/>
    <w:rsid w:val="38F372D7"/>
    <w:rsid w:val="38F63B0F"/>
    <w:rsid w:val="390019F4"/>
    <w:rsid w:val="39162FC5"/>
    <w:rsid w:val="39174BE2"/>
    <w:rsid w:val="39203E44"/>
    <w:rsid w:val="39382F3B"/>
    <w:rsid w:val="395A0970"/>
    <w:rsid w:val="39754190"/>
    <w:rsid w:val="39A607ED"/>
    <w:rsid w:val="39B87EF6"/>
    <w:rsid w:val="39D76BF8"/>
    <w:rsid w:val="39FE4185"/>
    <w:rsid w:val="3A0177D1"/>
    <w:rsid w:val="3A15748D"/>
    <w:rsid w:val="3A354B83"/>
    <w:rsid w:val="3A483652"/>
    <w:rsid w:val="3A500759"/>
    <w:rsid w:val="3A52002D"/>
    <w:rsid w:val="3A7E7074"/>
    <w:rsid w:val="3A8F1281"/>
    <w:rsid w:val="3AA24EF0"/>
    <w:rsid w:val="3ADC3D9A"/>
    <w:rsid w:val="3AE113B1"/>
    <w:rsid w:val="3B091033"/>
    <w:rsid w:val="3B0D21A6"/>
    <w:rsid w:val="3B1A3241"/>
    <w:rsid w:val="3B1B0D67"/>
    <w:rsid w:val="3B31058A"/>
    <w:rsid w:val="3B6439C5"/>
    <w:rsid w:val="3B712735"/>
    <w:rsid w:val="3B732951"/>
    <w:rsid w:val="3B7A2BF2"/>
    <w:rsid w:val="3B7E2BAF"/>
    <w:rsid w:val="3BA25320"/>
    <w:rsid w:val="3BBD597A"/>
    <w:rsid w:val="3BCA30F3"/>
    <w:rsid w:val="3BDD426E"/>
    <w:rsid w:val="3BFD221A"/>
    <w:rsid w:val="3C1F6635"/>
    <w:rsid w:val="3C2B4FD9"/>
    <w:rsid w:val="3C3A346E"/>
    <w:rsid w:val="3C3A6FCB"/>
    <w:rsid w:val="3C552056"/>
    <w:rsid w:val="3C77021F"/>
    <w:rsid w:val="3C9C7C85"/>
    <w:rsid w:val="3CBE25E8"/>
    <w:rsid w:val="3CC01BC6"/>
    <w:rsid w:val="3CD70CBD"/>
    <w:rsid w:val="3CDB07AE"/>
    <w:rsid w:val="3CF11D7F"/>
    <w:rsid w:val="3CFE679F"/>
    <w:rsid w:val="3D261A2B"/>
    <w:rsid w:val="3D4103E4"/>
    <w:rsid w:val="3D5642D8"/>
    <w:rsid w:val="3D5B369C"/>
    <w:rsid w:val="3D69400B"/>
    <w:rsid w:val="3D6D517E"/>
    <w:rsid w:val="3D8C1138"/>
    <w:rsid w:val="3D8F56DC"/>
    <w:rsid w:val="3D954E00"/>
    <w:rsid w:val="3D990AD9"/>
    <w:rsid w:val="3DC70D32"/>
    <w:rsid w:val="3DD260C1"/>
    <w:rsid w:val="3DDF7E2A"/>
    <w:rsid w:val="3E18333B"/>
    <w:rsid w:val="3E263CAA"/>
    <w:rsid w:val="3E38578C"/>
    <w:rsid w:val="3E3C34CE"/>
    <w:rsid w:val="3E4D1237"/>
    <w:rsid w:val="3E9B4698"/>
    <w:rsid w:val="3EF43DA9"/>
    <w:rsid w:val="3F1955BD"/>
    <w:rsid w:val="3F483A04"/>
    <w:rsid w:val="3F5C54AA"/>
    <w:rsid w:val="3F5E56C6"/>
    <w:rsid w:val="3F6E5909"/>
    <w:rsid w:val="3F7153F9"/>
    <w:rsid w:val="3F852C53"/>
    <w:rsid w:val="3FBF0058"/>
    <w:rsid w:val="3FCF3ECE"/>
    <w:rsid w:val="3FD173C1"/>
    <w:rsid w:val="3FF322B2"/>
    <w:rsid w:val="3FFD5B5F"/>
    <w:rsid w:val="402204A1"/>
    <w:rsid w:val="402E7F0F"/>
    <w:rsid w:val="403E177F"/>
    <w:rsid w:val="407F3B46"/>
    <w:rsid w:val="40891FAA"/>
    <w:rsid w:val="40A52878"/>
    <w:rsid w:val="40A67324"/>
    <w:rsid w:val="40A84E4B"/>
    <w:rsid w:val="40AB0497"/>
    <w:rsid w:val="40CD2B03"/>
    <w:rsid w:val="40D23C76"/>
    <w:rsid w:val="40D75730"/>
    <w:rsid w:val="40D971A2"/>
    <w:rsid w:val="40F97454"/>
    <w:rsid w:val="41285F8B"/>
    <w:rsid w:val="41630D72"/>
    <w:rsid w:val="41656898"/>
    <w:rsid w:val="41792343"/>
    <w:rsid w:val="41AE6491"/>
    <w:rsid w:val="41CB43D7"/>
    <w:rsid w:val="41E73751"/>
    <w:rsid w:val="42002358"/>
    <w:rsid w:val="42224789"/>
    <w:rsid w:val="423746D8"/>
    <w:rsid w:val="42442951"/>
    <w:rsid w:val="426F381D"/>
    <w:rsid w:val="427E2307"/>
    <w:rsid w:val="42937435"/>
    <w:rsid w:val="42B549E2"/>
    <w:rsid w:val="42CB6BCE"/>
    <w:rsid w:val="42CD268F"/>
    <w:rsid w:val="42DC0DDB"/>
    <w:rsid w:val="42E45EE2"/>
    <w:rsid w:val="43140575"/>
    <w:rsid w:val="432770C8"/>
    <w:rsid w:val="4335673E"/>
    <w:rsid w:val="43430E5B"/>
    <w:rsid w:val="434B5F61"/>
    <w:rsid w:val="43610606"/>
    <w:rsid w:val="43747266"/>
    <w:rsid w:val="437B05F4"/>
    <w:rsid w:val="437C436D"/>
    <w:rsid w:val="438D0328"/>
    <w:rsid w:val="43B753A5"/>
    <w:rsid w:val="43D441A9"/>
    <w:rsid w:val="43DF0B28"/>
    <w:rsid w:val="43F81C45"/>
    <w:rsid w:val="43FB7987"/>
    <w:rsid w:val="43FE6CDE"/>
    <w:rsid w:val="44004F9E"/>
    <w:rsid w:val="441A605F"/>
    <w:rsid w:val="44316F05"/>
    <w:rsid w:val="443F1622"/>
    <w:rsid w:val="44937BC0"/>
    <w:rsid w:val="44A8366B"/>
    <w:rsid w:val="44B00772"/>
    <w:rsid w:val="44B32010"/>
    <w:rsid w:val="44D53D34"/>
    <w:rsid w:val="44ED8FB0"/>
    <w:rsid w:val="44F06DC0"/>
    <w:rsid w:val="45085EB8"/>
    <w:rsid w:val="4521341D"/>
    <w:rsid w:val="45244CBC"/>
    <w:rsid w:val="452D3302"/>
    <w:rsid w:val="45462E84"/>
    <w:rsid w:val="454865C8"/>
    <w:rsid w:val="4568104C"/>
    <w:rsid w:val="456B28EB"/>
    <w:rsid w:val="45703A5D"/>
    <w:rsid w:val="457F2FAD"/>
    <w:rsid w:val="45895FEC"/>
    <w:rsid w:val="45B55914"/>
    <w:rsid w:val="45D73ADC"/>
    <w:rsid w:val="45E561F9"/>
    <w:rsid w:val="46244F73"/>
    <w:rsid w:val="464E3D9E"/>
    <w:rsid w:val="465C52CF"/>
    <w:rsid w:val="46701873"/>
    <w:rsid w:val="46A55988"/>
    <w:rsid w:val="46BC1650"/>
    <w:rsid w:val="46C10A14"/>
    <w:rsid w:val="46F801AE"/>
    <w:rsid w:val="46FF153C"/>
    <w:rsid w:val="4714323A"/>
    <w:rsid w:val="471A45C8"/>
    <w:rsid w:val="47413903"/>
    <w:rsid w:val="476870E2"/>
    <w:rsid w:val="47736DB8"/>
    <w:rsid w:val="47767A51"/>
    <w:rsid w:val="47777325"/>
    <w:rsid w:val="47A65E5C"/>
    <w:rsid w:val="47BB17F4"/>
    <w:rsid w:val="47C75C4C"/>
    <w:rsid w:val="47DE1152"/>
    <w:rsid w:val="47DE73A4"/>
    <w:rsid w:val="47E86474"/>
    <w:rsid w:val="47F46BC7"/>
    <w:rsid w:val="47F7394B"/>
    <w:rsid w:val="48054931"/>
    <w:rsid w:val="48254FD3"/>
    <w:rsid w:val="48335942"/>
    <w:rsid w:val="483B47F6"/>
    <w:rsid w:val="483E6094"/>
    <w:rsid w:val="483F4991"/>
    <w:rsid w:val="48403BBB"/>
    <w:rsid w:val="484D62D8"/>
    <w:rsid w:val="485338EE"/>
    <w:rsid w:val="486E0728"/>
    <w:rsid w:val="48896772"/>
    <w:rsid w:val="48965ED0"/>
    <w:rsid w:val="48A203D1"/>
    <w:rsid w:val="48AC5B81"/>
    <w:rsid w:val="48E21116"/>
    <w:rsid w:val="48E409EA"/>
    <w:rsid w:val="49042E3F"/>
    <w:rsid w:val="49107A31"/>
    <w:rsid w:val="493337BF"/>
    <w:rsid w:val="494B2817"/>
    <w:rsid w:val="495F62C2"/>
    <w:rsid w:val="49675177"/>
    <w:rsid w:val="49697141"/>
    <w:rsid w:val="49725FF6"/>
    <w:rsid w:val="4977360C"/>
    <w:rsid w:val="49787384"/>
    <w:rsid w:val="499A379E"/>
    <w:rsid w:val="499F0DB5"/>
    <w:rsid w:val="49D77A53"/>
    <w:rsid w:val="49F7299F"/>
    <w:rsid w:val="4A021F18"/>
    <w:rsid w:val="4A1B48DF"/>
    <w:rsid w:val="4A282B58"/>
    <w:rsid w:val="4A3239D7"/>
    <w:rsid w:val="4A347576"/>
    <w:rsid w:val="4A8E50B1"/>
    <w:rsid w:val="4A934476"/>
    <w:rsid w:val="4ACA3C0F"/>
    <w:rsid w:val="4AE922E8"/>
    <w:rsid w:val="4AFD121C"/>
    <w:rsid w:val="4B0B4954"/>
    <w:rsid w:val="4B2C6678"/>
    <w:rsid w:val="4B3F0159"/>
    <w:rsid w:val="4B6A3DF6"/>
    <w:rsid w:val="4B7342A7"/>
    <w:rsid w:val="4B751DCD"/>
    <w:rsid w:val="4B9E2CE6"/>
    <w:rsid w:val="4BBF3CFE"/>
    <w:rsid w:val="4BD74836"/>
    <w:rsid w:val="4C1C493F"/>
    <w:rsid w:val="4C215AB1"/>
    <w:rsid w:val="4C4023DB"/>
    <w:rsid w:val="4C531A87"/>
    <w:rsid w:val="4CAA019C"/>
    <w:rsid w:val="4CB608EF"/>
    <w:rsid w:val="4CDD7C2A"/>
    <w:rsid w:val="4CE11174"/>
    <w:rsid w:val="4CE1674C"/>
    <w:rsid w:val="4CEA0599"/>
    <w:rsid w:val="4D0553D3"/>
    <w:rsid w:val="4D1A36F9"/>
    <w:rsid w:val="4D77007F"/>
    <w:rsid w:val="4D7F0CE1"/>
    <w:rsid w:val="4DAE37D1"/>
    <w:rsid w:val="4DAE7818"/>
    <w:rsid w:val="4DCD4142"/>
    <w:rsid w:val="4DD03C33"/>
    <w:rsid w:val="4E0340C8"/>
    <w:rsid w:val="4E2E49C6"/>
    <w:rsid w:val="4E485577"/>
    <w:rsid w:val="4E5C7274"/>
    <w:rsid w:val="4E880069"/>
    <w:rsid w:val="4E8D18E7"/>
    <w:rsid w:val="4E962786"/>
    <w:rsid w:val="4E9D1D67"/>
    <w:rsid w:val="4EC8490A"/>
    <w:rsid w:val="4EDE7C89"/>
    <w:rsid w:val="4EE138A2"/>
    <w:rsid w:val="4EF61477"/>
    <w:rsid w:val="4F0A6CD0"/>
    <w:rsid w:val="4F0C47F7"/>
    <w:rsid w:val="4F1A64E1"/>
    <w:rsid w:val="4F3F2E1E"/>
    <w:rsid w:val="4F4641AC"/>
    <w:rsid w:val="4F4E12B3"/>
    <w:rsid w:val="4F4F0B87"/>
    <w:rsid w:val="4F4F2C8C"/>
    <w:rsid w:val="4F601ECF"/>
    <w:rsid w:val="4F675ED1"/>
    <w:rsid w:val="4F7A3E56"/>
    <w:rsid w:val="4F934F18"/>
    <w:rsid w:val="4FB00D25"/>
    <w:rsid w:val="4FE65048"/>
    <w:rsid w:val="4FE90FDC"/>
    <w:rsid w:val="4FEA00C2"/>
    <w:rsid w:val="4FFE14C1"/>
    <w:rsid w:val="50246EC8"/>
    <w:rsid w:val="504F5F55"/>
    <w:rsid w:val="50506965"/>
    <w:rsid w:val="50597F0F"/>
    <w:rsid w:val="50642410"/>
    <w:rsid w:val="507E1724"/>
    <w:rsid w:val="50A13664"/>
    <w:rsid w:val="50D17AA6"/>
    <w:rsid w:val="50E821FA"/>
    <w:rsid w:val="510F4C78"/>
    <w:rsid w:val="51226553"/>
    <w:rsid w:val="51905BB3"/>
    <w:rsid w:val="519805C3"/>
    <w:rsid w:val="519D7224"/>
    <w:rsid w:val="51A240CE"/>
    <w:rsid w:val="51A83C79"/>
    <w:rsid w:val="51BA678C"/>
    <w:rsid w:val="51C770FB"/>
    <w:rsid w:val="51D75590"/>
    <w:rsid w:val="51ED412B"/>
    <w:rsid w:val="51F779E0"/>
    <w:rsid w:val="51FF6894"/>
    <w:rsid w:val="52020E15"/>
    <w:rsid w:val="5208399B"/>
    <w:rsid w:val="52187956"/>
    <w:rsid w:val="522105B9"/>
    <w:rsid w:val="523302EC"/>
    <w:rsid w:val="523429E2"/>
    <w:rsid w:val="526112FD"/>
    <w:rsid w:val="52630BD1"/>
    <w:rsid w:val="52D95337"/>
    <w:rsid w:val="52FB705C"/>
    <w:rsid w:val="530028C4"/>
    <w:rsid w:val="5370740E"/>
    <w:rsid w:val="53876B42"/>
    <w:rsid w:val="5395352A"/>
    <w:rsid w:val="539B083F"/>
    <w:rsid w:val="53A21BCD"/>
    <w:rsid w:val="53B11E10"/>
    <w:rsid w:val="53B316E5"/>
    <w:rsid w:val="53CB1124"/>
    <w:rsid w:val="53F046E7"/>
    <w:rsid w:val="54021036"/>
    <w:rsid w:val="5402266C"/>
    <w:rsid w:val="54041F40"/>
    <w:rsid w:val="542720D3"/>
    <w:rsid w:val="545E3D46"/>
    <w:rsid w:val="548117E3"/>
    <w:rsid w:val="548374C4"/>
    <w:rsid w:val="548F3CAB"/>
    <w:rsid w:val="54996B2C"/>
    <w:rsid w:val="54AE6CF6"/>
    <w:rsid w:val="54E3249D"/>
    <w:rsid w:val="550D3076"/>
    <w:rsid w:val="55144405"/>
    <w:rsid w:val="551C775D"/>
    <w:rsid w:val="552A1E7A"/>
    <w:rsid w:val="554271C4"/>
    <w:rsid w:val="55765B38"/>
    <w:rsid w:val="55AE4859"/>
    <w:rsid w:val="55B300C2"/>
    <w:rsid w:val="55C6638D"/>
    <w:rsid w:val="55D73B2B"/>
    <w:rsid w:val="55DA38A0"/>
    <w:rsid w:val="5613290E"/>
    <w:rsid w:val="561F5757"/>
    <w:rsid w:val="565151E5"/>
    <w:rsid w:val="566D64C3"/>
    <w:rsid w:val="56755377"/>
    <w:rsid w:val="56925F29"/>
    <w:rsid w:val="56981066"/>
    <w:rsid w:val="569A3030"/>
    <w:rsid w:val="56AB0D99"/>
    <w:rsid w:val="56DB78D0"/>
    <w:rsid w:val="56DC71A4"/>
    <w:rsid w:val="56DE18C9"/>
    <w:rsid w:val="56EF6ED8"/>
    <w:rsid w:val="570C5CDB"/>
    <w:rsid w:val="574041D1"/>
    <w:rsid w:val="57650F48"/>
    <w:rsid w:val="57825F9E"/>
    <w:rsid w:val="5786B16C"/>
    <w:rsid w:val="579E26AC"/>
    <w:rsid w:val="57B5459E"/>
    <w:rsid w:val="57C739B1"/>
    <w:rsid w:val="58044C05"/>
    <w:rsid w:val="582C415B"/>
    <w:rsid w:val="583B7EFB"/>
    <w:rsid w:val="586C3723"/>
    <w:rsid w:val="587873A1"/>
    <w:rsid w:val="58A04049"/>
    <w:rsid w:val="58C919AA"/>
    <w:rsid w:val="58C93758"/>
    <w:rsid w:val="58E36C79"/>
    <w:rsid w:val="58F46A27"/>
    <w:rsid w:val="58F50437"/>
    <w:rsid w:val="59017396"/>
    <w:rsid w:val="590F1AB3"/>
    <w:rsid w:val="59350DEE"/>
    <w:rsid w:val="593C3F2A"/>
    <w:rsid w:val="5943350B"/>
    <w:rsid w:val="596A0A97"/>
    <w:rsid w:val="598D3DD1"/>
    <w:rsid w:val="59945B14"/>
    <w:rsid w:val="59A73A9A"/>
    <w:rsid w:val="59B461B6"/>
    <w:rsid w:val="59B9557B"/>
    <w:rsid w:val="59BC506B"/>
    <w:rsid w:val="59C75EEA"/>
    <w:rsid w:val="59DB1995"/>
    <w:rsid w:val="59E720E8"/>
    <w:rsid w:val="59F36CDF"/>
    <w:rsid w:val="59FF38D6"/>
    <w:rsid w:val="5A1350B0"/>
    <w:rsid w:val="5A3A33DD"/>
    <w:rsid w:val="5A455061"/>
    <w:rsid w:val="5A492DA3"/>
    <w:rsid w:val="5A584D94"/>
    <w:rsid w:val="5A8913F1"/>
    <w:rsid w:val="5A951B44"/>
    <w:rsid w:val="5ABA5A4E"/>
    <w:rsid w:val="5AC24903"/>
    <w:rsid w:val="5ACB1A0A"/>
    <w:rsid w:val="5AF56A87"/>
    <w:rsid w:val="5B046CCA"/>
    <w:rsid w:val="5B07249B"/>
    <w:rsid w:val="5B1213E7"/>
    <w:rsid w:val="5B152C85"/>
    <w:rsid w:val="5B242EC8"/>
    <w:rsid w:val="5B2555BE"/>
    <w:rsid w:val="5B266C40"/>
    <w:rsid w:val="5B2C01D0"/>
    <w:rsid w:val="5B3550D5"/>
    <w:rsid w:val="5B4377F2"/>
    <w:rsid w:val="5B525C87"/>
    <w:rsid w:val="5B6F5722"/>
    <w:rsid w:val="5B793214"/>
    <w:rsid w:val="5B7C4AB2"/>
    <w:rsid w:val="5BA04182"/>
    <w:rsid w:val="5BA5225B"/>
    <w:rsid w:val="5BAB5397"/>
    <w:rsid w:val="5BB46942"/>
    <w:rsid w:val="5BC87CF7"/>
    <w:rsid w:val="5BD37744"/>
    <w:rsid w:val="5BEA5EBF"/>
    <w:rsid w:val="5C0D1BAE"/>
    <w:rsid w:val="5C2A2760"/>
    <w:rsid w:val="5C4F21C6"/>
    <w:rsid w:val="5C58551F"/>
    <w:rsid w:val="5C5B6DBD"/>
    <w:rsid w:val="5C834C41"/>
    <w:rsid w:val="5C844566"/>
    <w:rsid w:val="5C855BE8"/>
    <w:rsid w:val="5CE2303B"/>
    <w:rsid w:val="5D176BF1"/>
    <w:rsid w:val="5D535CE6"/>
    <w:rsid w:val="5D731EE5"/>
    <w:rsid w:val="5D7A14C5"/>
    <w:rsid w:val="5DC0337C"/>
    <w:rsid w:val="5DD41798"/>
    <w:rsid w:val="5DEB5F1F"/>
    <w:rsid w:val="5DF24A5E"/>
    <w:rsid w:val="5DFE7762"/>
    <w:rsid w:val="5E2A2EEB"/>
    <w:rsid w:val="5E451AD3"/>
    <w:rsid w:val="5E576B2A"/>
    <w:rsid w:val="5E8819C0"/>
    <w:rsid w:val="5EA06D09"/>
    <w:rsid w:val="5EAB08D9"/>
    <w:rsid w:val="5EAE58CA"/>
    <w:rsid w:val="5EBA426F"/>
    <w:rsid w:val="5ED2780B"/>
    <w:rsid w:val="5ED66BCF"/>
    <w:rsid w:val="5ED8132D"/>
    <w:rsid w:val="5EDD61AF"/>
    <w:rsid w:val="5EE7B18A"/>
    <w:rsid w:val="5EEF830C"/>
    <w:rsid w:val="5EFB34B8"/>
    <w:rsid w:val="5EFD415C"/>
    <w:rsid w:val="5F076D88"/>
    <w:rsid w:val="5F830B05"/>
    <w:rsid w:val="5F9F1C95"/>
    <w:rsid w:val="5FAA42E4"/>
    <w:rsid w:val="5FAD5B82"/>
    <w:rsid w:val="5FB24F46"/>
    <w:rsid w:val="5FC627A0"/>
    <w:rsid w:val="5FD96977"/>
    <w:rsid w:val="5FE64BF0"/>
    <w:rsid w:val="5FEA46E0"/>
    <w:rsid w:val="601E438A"/>
    <w:rsid w:val="60213E7A"/>
    <w:rsid w:val="60397415"/>
    <w:rsid w:val="60824919"/>
    <w:rsid w:val="6085265B"/>
    <w:rsid w:val="60916F6B"/>
    <w:rsid w:val="60AE3960"/>
    <w:rsid w:val="60B116A2"/>
    <w:rsid w:val="60B81ABE"/>
    <w:rsid w:val="60E90E3C"/>
    <w:rsid w:val="614918DA"/>
    <w:rsid w:val="617F52FC"/>
    <w:rsid w:val="61930DA7"/>
    <w:rsid w:val="619A0388"/>
    <w:rsid w:val="61AB7E9F"/>
    <w:rsid w:val="61AC70C3"/>
    <w:rsid w:val="61CE3B8D"/>
    <w:rsid w:val="61EA4375"/>
    <w:rsid w:val="62255EA3"/>
    <w:rsid w:val="62410803"/>
    <w:rsid w:val="62522A10"/>
    <w:rsid w:val="62570027"/>
    <w:rsid w:val="626544F2"/>
    <w:rsid w:val="627D0A05"/>
    <w:rsid w:val="62960B4F"/>
    <w:rsid w:val="62BD432E"/>
    <w:rsid w:val="62C31218"/>
    <w:rsid w:val="62F87114"/>
    <w:rsid w:val="63052F50"/>
    <w:rsid w:val="63161C90"/>
    <w:rsid w:val="632717A7"/>
    <w:rsid w:val="633A340B"/>
    <w:rsid w:val="63497970"/>
    <w:rsid w:val="637A221F"/>
    <w:rsid w:val="638135AD"/>
    <w:rsid w:val="638E5CCA"/>
    <w:rsid w:val="639E47F1"/>
    <w:rsid w:val="63AB23D8"/>
    <w:rsid w:val="63B05C41"/>
    <w:rsid w:val="63B156E4"/>
    <w:rsid w:val="63DD630A"/>
    <w:rsid w:val="63E12AF6"/>
    <w:rsid w:val="63EA73A4"/>
    <w:rsid w:val="643979E4"/>
    <w:rsid w:val="64524F4A"/>
    <w:rsid w:val="64541E23"/>
    <w:rsid w:val="64542A70"/>
    <w:rsid w:val="64572560"/>
    <w:rsid w:val="6457430E"/>
    <w:rsid w:val="645E38EF"/>
    <w:rsid w:val="64673B62"/>
    <w:rsid w:val="648275DD"/>
    <w:rsid w:val="64B27796"/>
    <w:rsid w:val="64C61940"/>
    <w:rsid w:val="64CC0858"/>
    <w:rsid w:val="64EF2799"/>
    <w:rsid w:val="64FB113D"/>
    <w:rsid w:val="65143FAD"/>
    <w:rsid w:val="65283023"/>
    <w:rsid w:val="65515201"/>
    <w:rsid w:val="655A5E64"/>
    <w:rsid w:val="655B2CBD"/>
    <w:rsid w:val="65652A5B"/>
    <w:rsid w:val="656D4368"/>
    <w:rsid w:val="65705687"/>
    <w:rsid w:val="658B24C1"/>
    <w:rsid w:val="659A23A7"/>
    <w:rsid w:val="659F5F6D"/>
    <w:rsid w:val="65A45331"/>
    <w:rsid w:val="65BE0EC0"/>
    <w:rsid w:val="65C23A09"/>
    <w:rsid w:val="663C1A0D"/>
    <w:rsid w:val="66486604"/>
    <w:rsid w:val="66611474"/>
    <w:rsid w:val="667B6071"/>
    <w:rsid w:val="66952ECC"/>
    <w:rsid w:val="66A51361"/>
    <w:rsid w:val="66C8504F"/>
    <w:rsid w:val="66F10A4A"/>
    <w:rsid w:val="67024A05"/>
    <w:rsid w:val="67515045"/>
    <w:rsid w:val="67535261"/>
    <w:rsid w:val="67717495"/>
    <w:rsid w:val="67933BF7"/>
    <w:rsid w:val="67987117"/>
    <w:rsid w:val="67B13D35"/>
    <w:rsid w:val="67B25BC5"/>
    <w:rsid w:val="67BD092C"/>
    <w:rsid w:val="67DA328C"/>
    <w:rsid w:val="680447AD"/>
    <w:rsid w:val="680D3662"/>
    <w:rsid w:val="681A79B2"/>
    <w:rsid w:val="682C160E"/>
    <w:rsid w:val="6832131A"/>
    <w:rsid w:val="683D585C"/>
    <w:rsid w:val="683F7593"/>
    <w:rsid w:val="68550B65"/>
    <w:rsid w:val="687C24EC"/>
    <w:rsid w:val="68A37B22"/>
    <w:rsid w:val="68AF296B"/>
    <w:rsid w:val="68C301C4"/>
    <w:rsid w:val="68DE6DAC"/>
    <w:rsid w:val="68EA5751"/>
    <w:rsid w:val="68EA74FF"/>
    <w:rsid w:val="68EC7760"/>
    <w:rsid w:val="69054339"/>
    <w:rsid w:val="69085BD7"/>
    <w:rsid w:val="690A5DF3"/>
    <w:rsid w:val="690F7F14"/>
    <w:rsid w:val="69286279"/>
    <w:rsid w:val="69313380"/>
    <w:rsid w:val="6945507D"/>
    <w:rsid w:val="694F3806"/>
    <w:rsid w:val="696C085C"/>
    <w:rsid w:val="698060B5"/>
    <w:rsid w:val="69C42446"/>
    <w:rsid w:val="69DB153D"/>
    <w:rsid w:val="69DF2DDC"/>
    <w:rsid w:val="69E403F2"/>
    <w:rsid w:val="69E87B0C"/>
    <w:rsid w:val="69ECB494"/>
    <w:rsid w:val="69F543AD"/>
    <w:rsid w:val="6A114F5F"/>
    <w:rsid w:val="6A3273AF"/>
    <w:rsid w:val="6A3824EC"/>
    <w:rsid w:val="6A39656C"/>
    <w:rsid w:val="6A3D3FA6"/>
    <w:rsid w:val="6A486BD3"/>
    <w:rsid w:val="6A6D1DA3"/>
    <w:rsid w:val="6A7018E7"/>
    <w:rsid w:val="6A70612A"/>
    <w:rsid w:val="6A7C062B"/>
    <w:rsid w:val="6A995F75"/>
    <w:rsid w:val="6AE368FC"/>
    <w:rsid w:val="6AF723A7"/>
    <w:rsid w:val="6B0D3978"/>
    <w:rsid w:val="6B3C7DBA"/>
    <w:rsid w:val="6B4A0729"/>
    <w:rsid w:val="6B581098"/>
    <w:rsid w:val="6B803569"/>
    <w:rsid w:val="6BD36970"/>
    <w:rsid w:val="6BD46244"/>
    <w:rsid w:val="6BDB3A77"/>
    <w:rsid w:val="6BE26BB3"/>
    <w:rsid w:val="6BF5776B"/>
    <w:rsid w:val="6C00528B"/>
    <w:rsid w:val="6C054650"/>
    <w:rsid w:val="6C3D2A75"/>
    <w:rsid w:val="6C6972D4"/>
    <w:rsid w:val="6C6A08A1"/>
    <w:rsid w:val="6C937EAD"/>
    <w:rsid w:val="6C9707CF"/>
    <w:rsid w:val="6D013776"/>
    <w:rsid w:val="6D035033"/>
    <w:rsid w:val="6D4F64CA"/>
    <w:rsid w:val="6D655CEE"/>
    <w:rsid w:val="6D6F26C8"/>
    <w:rsid w:val="6D716441"/>
    <w:rsid w:val="6D885538"/>
    <w:rsid w:val="6D8C5028"/>
    <w:rsid w:val="6DB56354"/>
    <w:rsid w:val="6DB91B96"/>
    <w:rsid w:val="6DC20A4A"/>
    <w:rsid w:val="6DCF760B"/>
    <w:rsid w:val="6DDE33AA"/>
    <w:rsid w:val="6DFF3A4C"/>
    <w:rsid w:val="6E076DA5"/>
    <w:rsid w:val="6E3A4A84"/>
    <w:rsid w:val="6E4C0C5C"/>
    <w:rsid w:val="6E6E0BD2"/>
    <w:rsid w:val="6E8C581E"/>
    <w:rsid w:val="6E996E4B"/>
    <w:rsid w:val="6EA97E5C"/>
    <w:rsid w:val="6EC802E2"/>
    <w:rsid w:val="6ED216FB"/>
    <w:rsid w:val="6EDD3662"/>
    <w:rsid w:val="6EE64C0C"/>
    <w:rsid w:val="6EF72976"/>
    <w:rsid w:val="6EFF5CCE"/>
    <w:rsid w:val="6F0D3F47"/>
    <w:rsid w:val="6F103A37"/>
    <w:rsid w:val="6F375468"/>
    <w:rsid w:val="6F3C482C"/>
    <w:rsid w:val="6F525DFE"/>
    <w:rsid w:val="6F852C28"/>
    <w:rsid w:val="6F857F81"/>
    <w:rsid w:val="6F8D5088"/>
    <w:rsid w:val="6F8F2BAE"/>
    <w:rsid w:val="6FAF07A5"/>
    <w:rsid w:val="6FC54822"/>
    <w:rsid w:val="6FE253D4"/>
    <w:rsid w:val="6FF7EED0"/>
    <w:rsid w:val="6FFF2164"/>
    <w:rsid w:val="70052E70"/>
    <w:rsid w:val="703F45D4"/>
    <w:rsid w:val="704240C4"/>
    <w:rsid w:val="709A5CAE"/>
    <w:rsid w:val="70B836E7"/>
    <w:rsid w:val="70CE7706"/>
    <w:rsid w:val="70E4517B"/>
    <w:rsid w:val="70E84C6C"/>
    <w:rsid w:val="70F058CE"/>
    <w:rsid w:val="70F74EAF"/>
    <w:rsid w:val="70F80C27"/>
    <w:rsid w:val="71025602"/>
    <w:rsid w:val="71042DF1"/>
    <w:rsid w:val="711C66C3"/>
    <w:rsid w:val="711F61B4"/>
    <w:rsid w:val="712D6B22"/>
    <w:rsid w:val="714B51FB"/>
    <w:rsid w:val="716F2C97"/>
    <w:rsid w:val="716F713B"/>
    <w:rsid w:val="718F50E7"/>
    <w:rsid w:val="71983EB4"/>
    <w:rsid w:val="71A05546"/>
    <w:rsid w:val="71E03B95"/>
    <w:rsid w:val="71ED34AC"/>
    <w:rsid w:val="71F87130"/>
    <w:rsid w:val="720930EC"/>
    <w:rsid w:val="72121874"/>
    <w:rsid w:val="723143F0"/>
    <w:rsid w:val="72523E7A"/>
    <w:rsid w:val="72536115"/>
    <w:rsid w:val="726C5429"/>
    <w:rsid w:val="72730565"/>
    <w:rsid w:val="7298446F"/>
    <w:rsid w:val="72C47013"/>
    <w:rsid w:val="72CB65F3"/>
    <w:rsid w:val="72CE60E3"/>
    <w:rsid w:val="72FB5B7A"/>
    <w:rsid w:val="73025D8D"/>
    <w:rsid w:val="733C4DFB"/>
    <w:rsid w:val="734D7008"/>
    <w:rsid w:val="735C549D"/>
    <w:rsid w:val="738856A9"/>
    <w:rsid w:val="738B7B30"/>
    <w:rsid w:val="73CF5C6F"/>
    <w:rsid w:val="74060F2F"/>
    <w:rsid w:val="740B2A1F"/>
    <w:rsid w:val="740D6797"/>
    <w:rsid w:val="7419338E"/>
    <w:rsid w:val="74454183"/>
    <w:rsid w:val="74561EEC"/>
    <w:rsid w:val="746A1E3C"/>
    <w:rsid w:val="747B1953"/>
    <w:rsid w:val="748051BB"/>
    <w:rsid w:val="74962C31"/>
    <w:rsid w:val="74AE33C2"/>
    <w:rsid w:val="74C01A5C"/>
    <w:rsid w:val="74C74B98"/>
    <w:rsid w:val="74DF0134"/>
    <w:rsid w:val="74E27C24"/>
    <w:rsid w:val="74F41EA7"/>
    <w:rsid w:val="74F811F5"/>
    <w:rsid w:val="750C6A4F"/>
    <w:rsid w:val="752913AF"/>
    <w:rsid w:val="752C3D9B"/>
    <w:rsid w:val="753C37D8"/>
    <w:rsid w:val="754937FF"/>
    <w:rsid w:val="7568637B"/>
    <w:rsid w:val="758B02BC"/>
    <w:rsid w:val="759C6025"/>
    <w:rsid w:val="75CE1F56"/>
    <w:rsid w:val="75CFCB9E"/>
    <w:rsid w:val="75D02172"/>
    <w:rsid w:val="75DB4786"/>
    <w:rsid w:val="75F61BD9"/>
    <w:rsid w:val="761B33ED"/>
    <w:rsid w:val="762B73A9"/>
    <w:rsid w:val="76433C09"/>
    <w:rsid w:val="76555560"/>
    <w:rsid w:val="76952528"/>
    <w:rsid w:val="76CF5F86"/>
    <w:rsid w:val="76E25CB9"/>
    <w:rsid w:val="76EA1012"/>
    <w:rsid w:val="76EE465E"/>
    <w:rsid w:val="76FD6F97"/>
    <w:rsid w:val="77400C32"/>
    <w:rsid w:val="77514BED"/>
    <w:rsid w:val="775A0D5E"/>
    <w:rsid w:val="775F555C"/>
    <w:rsid w:val="77A613DD"/>
    <w:rsid w:val="77AD4519"/>
    <w:rsid w:val="77C96E79"/>
    <w:rsid w:val="77E580A4"/>
    <w:rsid w:val="77EF55F1"/>
    <w:rsid w:val="77F739E6"/>
    <w:rsid w:val="77FF6DD6"/>
    <w:rsid w:val="78016613"/>
    <w:rsid w:val="781454A5"/>
    <w:rsid w:val="78267E28"/>
    <w:rsid w:val="782A7918"/>
    <w:rsid w:val="782B18E2"/>
    <w:rsid w:val="78313C3C"/>
    <w:rsid w:val="78372035"/>
    <w:rsid w:val="784D7AAA"/>
    <w:rsid w:val="78611500"/>
    <w:rsid w:val="78680440"/>
    <w:rsid w:val="7880578A"/>
    <w:rsid w:val="78B5FCF5"/>
    <w:rsid w:val="78C53AE4"/>
    <w:rsid w:val="78C6612E"/>
    <w:rsid w:val="78DC2B2F"/>
    <w:rsid w:val="78DD498A"/>
    <w:rsid w:val="78E73A5B"/>
    <w:rsid w:val="791D122B"/>
    <w:rsid w:val="79206F6D"/>
    <w:rsid w:val="79450781"/>
    <w:rsid w:val="794A15AA"/>
    <w:rsid w:val="794D6DCE"/>
    <w:rsid w:val="79607369"/>
    <w:rsid w:val="796B643A"/>
    <w:rsid w:val="79764DDF"/>
    <w:rsid w:val="797F0137"/>
    <w:rsid w:val="79982FA7"/>
    <w:rsid w:val="79986B03"/>
    <w:rsid w:val="79B25E17"/>
    <w:rsid w:val="79D97847"/>
    <w:rsid w:val="79EB30D7"/>
    <w:rsid w:val="79F006ED"/>
    <w:rsid w:val="79FE61B4"/>
    <w:rsid w:val="7A431165"/>
    <w:rsid w:val="7A540C7C"/>
    <w:rsid w:val="7A6842AE"/>
    <w:rsid w:val="7A70182E"/>
    <w:rsid w:val="7A707A80"/>
    <w:rsid w:val="7A886B78"/>
    <w:rsid w:val="7A9419C0"/>
    <w:rsid w:val="7A9B2D4F"/>
    <w:rsid w:val="7AA8721A"/>
    <w:rsid w:val="7AE5221C"/>
    <w:rsid w:val="7AE55D78"/>
    <w:rsid w:val="7AE85868"/>
    <w:rsid w:val="7AE91D0C"/>
    <w:rsid w:val="7AFF67EE"/>
    <w:rsid w:val="7B00296F"/>
    <w:rsid w:val="7B25086A"/>
    <w:rsid w:val="7B2C7E4B"/>
    <w:rsid w:val="7B362A78"/>
    <w:rsid w:val="7B713AB0"/>
    <w:rsid w:val="7B7FE24A"/>
    <w:rsid w:val="7B892BA7"/>
    <w:rsid w:val="7B9F686F"/>
    <w:rsid w:val="7BAC177D"/>
    <w:rsid w:val="7BAC4AE8"/>
    <w:rsid w:val="7BCC0CE6"/>
    <w:rsid w:val="7BD5403F"/>
    <w:rsid w:val="7BD76009"/>
    <w:rsid w:val="7BDA3403"/>
    <w:rsid w:val="7C0E7550"/>
    <w:rsid w:val="7C291555"/>
    <w:rsid w:val="7C4D1A74"/>
    <w:rsid w:val="7C5A4544"/>
    <w:rsid w:val="7C75496E"/>
    <w:rsid w:val="7C792C1C"/>
    <w:rsid w:val="7C7E46D6"/>
    <w:rsid w:val="7C8617DD"/>
    <w:rsid w:val="7C9B5288"/>
    <w:rsid w:val="7CAC106D"/>
    <w:rsid w:val="7CE16A13"/>
    <w:rsid w:val="7CE24C65"/>
    <w:rsid w:val="7CE81B50"/>
    <w:rsid w:val="7CEF86E6"/>
    <w:rsid w:val="7CEFABFA"/>
    <w:rsid w:val="7CFB58BB"/>
    <w:rsid w:val="7D297B01"/>
    <w:rsid w:val="7D3923AB"/>
    <w:rsid w:val="7D3D51D7"/>
    <w:rsid w:val="7D5316BF"/>
    <w:rsid w:val="7D6A547E"/>
    <w:rsid w:val="7D6C09D3"/>
    <w:rsid w:val="7D75C927"/>
    <w:rsid w:val="7D8A2C07"/>
    <w:rsid w:val="7D8C697F"/>
    <w:rsid w:val="7DB303AF"/>
    <w:rsid w:val="7DBEC6D3"/>
    <w:rsid w:val="7DCB56F9"/>
    <w:rsid w:val="7DE44A0D"/>
    <w:rsid w:val="7DFD5ACF"/>
    <w:rsid w:val="7E2557DA"/>
    <w:rsid w:val="7E394D59"/>
    <w:rsid w:val="7E5F5E41"/>
    <w:rsid w:val="7E747B3F"/>
    <w:rsid w:val="7E861620"/>
    <w:rsid w:val="7EA47CF8"/>
    <w:rsid w:val="7EB919F5"/>
    <w:rsid w:val="7ECA3C03"/>
    <w:rsid w:val="7EDF71B7"/>
    <w:rsid w:val="7EEF71C5"/>
    <w:rsid w:val="7EF12A69"/>
    <w:rsid w:val="7EF649F8"/>
    <w:rsid w:val="7F0C2DB2"/>
    <w:rsid w:val="7F0C421B"/>
    <w:rsid w:val="7F1430D0"/>
    <w:rsid w:val="7F152B60"/>
    <w:rsid w:val="7F4514DB"/>
    <w:rsid w:val="7F4629FF"/>
    <w:rsid w:val="7F5931D8"/>
    <w:rsid w:val="7F5D4A77"/>
    <w:rsid w:val="7F721E2A"/>
    <w:rsid w:val="7F7712B7"/>
    <w:rsid w:val="7FB310A5"/>
    <w:rsid w:val="7FBF85A4"/>
    <w:rsid w:val="7FC00B62"/>
    <w:rsid w:val="7FCB5E86"/>
    <w:rsid w:val="7FCF5B98"/>
    <w:rsid w:val="7FEE1B73"/>
    <w:rsid w:val="7FFA6757"/>
    <w:rsid w:val="7FFBFF52"/>
    <w:rsid w:val="952FDF1B"/>
    <w:rsid w:val="9AFC5909"/>
    <w:rsid w:val="9E6BEF11"/>
    <w:rsid w:val="9F3969E3"/>
    <w:rsid w:val="ABFF6020"/>
    <w:rsid w:val="B7B40E2B"/>
    <w:rsid w:val="B7F7FEBC"/>
    <w:rsid w:val="BE47EEF7"/>
    <w:rsid w:val="BEDAF99C"/>
    <w:rsid w:val="BFD592EF"/>
    <w:rsid w:val="C4BE4189"/>
    <w:rsid w:val="CB6F9FCD"/>
    <w:rsid w:val="CDF37C4E"/>
    <w:rsid w:val="CFB6111C"/>
    <w:rsid w:val="D74EDD46"/>
    <w:rsid w:val="DC7F922E"/>
    <w:rsid w:val="DDFF5DB1"/>
    <w:rsid w:val="DE7B54E3"/>
    <w:rsid w:val="DFFC9A20"/>
    <w:rsid w:val="E3BF2516"/>
    <w:rsid w:val="E7DB9391"/>
    <w:rsid w:val="E8E77845"/>
    <w:rsid w:val="EADEBA20"/>
    <w:rsid w:val="EC6D4A30"/>
    <w:rsid w:val="EDB7C9A3"/>
    <w:rsid w:val="EF7F6791"/>
    <w:rsid w:val="EFBCFBBE"/>
    <w:rsid w:val="EFCF8EBB"/>
    <w:rsid w:val="EFFEB58B"/>
    <w:rsid w:val="F3BEFA99"/>
    <w:rsid w:val="F476C89A"/>
    <w:rsid w:val="F5AEA2C7"/>
    <w:rsid w:val="F6DB8BCC"/>
    <w:rsid w:val="F77F1720"/>
    <w:rsid w:val="F7C55BD0"/>
    <w:rsid w:val="F7DD1E00"/>
    <w:rsid w:val="F86FA3EC"/>
    <w:rsid w:val="FAF7307E"/>
    <w:rsid w:val="FB3F9AA1"/>
    <w:rsid w:val="FBCB7821"/>
    <w:rsid w:val="FBF9450A"/>
    <w:rsid w:val="FBFA7946"/>
    <w:rsid w:val="FC3F6979"/>
    <w:rsid w:val="FCDE5525"/>
    <w:rsid w:val="FD574AE0"/>
    <w:rsid w:val="FD7B60F4"/>
    <w:rsid w:val="FDFA664B"/>
    <w:rsid w:val="FDFF50C6"/>
    <w:rsid w:val="FE2F77E4"/>
    <w:rsid w:val="FEFD8EF2"/>
    <w:rsid w:val="FF6F24F6"/>
    <w:rsid w:val="FF7DB792"/>
    <w:rsid w:val="FFABC432"/>
    <w:rsid w:val="FFB7FF24"/>
    <w:rsid w:val="FFD67CAC"/>
    <w:rsid w:val="FFF5D32B"/>
    <w:rsid w:val="FFFD6DCF"/>
    <w:rsid w:val="FFFF8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0"/>
    <w:pPr>
      <w:ind w:firstLine="420" w:firstLineChars="200"/>
    </w:pPr>
    <w:rPr>
      <w:rFonts w:ascii="Calibri" w:hAnsi="Calibri" w:eastAsia="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2.xml"/><Relationship Id="rId4" Type="http://schemas.microsoft.com/office/2011/relationships/chartStyle" Target="style2.xml"/><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政策解读数量</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件数</c:v>
                </c:pt>
              </c:strCache>
            </c:strRef>
          </c:tx>
          <c:spPr>
            <a:blipFill rotWithShape="1">
              <a:blip xmlns:r="http://schemas.openxmlformats.org/officeDocument/2006/relationships" r:embed="rId2">
                <a:duotone>
                  <a:schemeClr val="accent1"/>
                  <a:prstClr val="white"/>
                </a:duotone>
              </a:blip>
              <a:stretch>
                <a:fillRect/>
              </a:stretch>
            </a:blipFill>
            <a:ln>
              <a:noFill/>
            </a:ln>
            <a:effectLst>
              <a:outerShdw blurRad="76200" dir="18900000" sy="23000" kx="-1200000" algn="bl" rotWithShape="0">
                <a:prstClr val="black">
                  <a:alpha val="10000"/>
                </a:prstClr>
              </a:outerShdw>
            </a:effectLst>
          </c:spPr>
          <c:invertIfNegative val="0"/>
          <c:dPt>
            <c:idx val="0"/>
            <c:invertIfNegative val="0"/>
            <c:bubble3D val="0"/>
            <c:spPr>
              <a:blipFill rotWithShape="1">
                <a:blip xmlns:r="http://schemas.openxmlformats.org/officeDocument/2006/relationships" r:embed="rId3">
                  <a:duotone>
                    <a:schemeClr val="accent1"/>
                    <a:prstClr val="white"/>
                  </a:duotone>
                </a:blip>
                <a:stretch>
                  <a:fillRect/>
                </a:stretch>
              </a:blipFill>
              <a:ln>
                <a:noFill/>
              </a:ln>
              <a:effectLst>
                <a:outerShdw blurRad="76200" dir="18900000" sy="23000" kx="-1200000" algn="bl" rotWithShape="0">
                  <a:prstClr val="black">
                    <a:alpha val="10000"/>
                  </a:prstClr>
                </a:outerShdw>
              </a:effectLst>
            </c:spPr>
          </c:dPt>
          <c:dPt>
            <c:idx val="1"/>
            <c:invertIfNegative val="0"/>
            <c:bubble3D val="0"/>
            <c:spPr>
              <a:blipFill rotWithShape="1">
                <a:blip xmlns:r="http://schemas.openxmlformats.org/officeDocument/2006/relationships" r:embed="rId3">
                  <a:duotone>
                    <a:schemeClr val="accent2"/>
                    <a:prstClr val="white"/>
                  </a:duotone>
                </a:blip>
                <a:stretch>
                  <a:fillRect/>
                </a:stretch>
              </a:blipFill>
              <a:ln>
                <a:noFill/>
              </a:ln>
              <a:effectLst>
                <a:outerShdw blurRad="76200" dir="18900000" sy="23000" kx="-1200000" algn="bl" rotWithShape="0">
                  <a:prstClr val="black">
                    <a:alpha val="10000"/>
                  </a:prstClr>
                </a:outerShdw>
              </a:effectLst>
            </c:spPr>
          </c:dPt>
          <c:dPt>
            <c:idx val="2"/>
            <c:invertIfNegative val="0"/>
            <c:bubble3D val="0"/>
            <c:spPr>
              <a:blipFill rotWithShape="1">
                <a:blip xmlns:r="http://schemas.openxmlformats.org/officeDocument/2006/relationships" r:embed="rId3">
                  <a:duotone>
                    <a:schemeClr val="accent3"/>
                    <a:prstClr val="white"/>
                  </a:duotone>
                </a:blip>
                <a:stretch>
                  <a:fillRect/>
                </a:stretch>
              </a:blipFill>
              <a:ln>
                <a:noFill/>
              </a:ln>
              <a:effectLst>
                <a:outerShdw blurRad="76200" dir="18900000" sy="23000" kx="-1200000" algn="bl" rotWithShape="0">
                  <a:prstClr val="black">
                    <a:alpha val="10000"/>
                  </a:prstClr>
                </a:outerShdw>
              </a:effectLst>
            </c:spPr>
          </c:dPt>
          <c:dPt>
            <c:idx val="3"/>
            <c:invertIfNegative val="0"/>
            <c:bubble3D val="0"/>
            <c:spPr>
              <a:blipFill rotWithShape="1">
                <a:blip xmlns:r="http://schemas.openxmlformats.org/officeDocument/2006/relationships" r:embed="rId3">
                  <a:duotone>
                    <a:schemeClr val="accent4"/>
                    <a:prstClr val="white"/>
                  </a:duotone>
                </a:blip>
                <a:stretch>
                  <a:fillRect/>
                </a:stretch>
              </a:blipFill>
              <a:ln>
                <a:noFill/>
              </a:ln>
              <a:effectLst>
                <a:outerShdw blurRad="76200" dir="18900000" sy="23000" kx="-1200000" algn="bl" rotWithShape="0">
                  <a:prstClr val="black">
                    <a:alpha val="10000"/>
                  </a:prstClr>
                </a:outerShdw>
              </a:effectLst>
            </c:spPr>
          </c:dPt>
          <c:dPt>
            <c:idx val="4"/>
            <c:invertIfNegative val="0"/>
            <c:bubble3D val="0"/>
            <c:spPr>
              <a:blipFill rotWithShape="1">
                <a:blip xmlns:r="http://schemas.openxmlformats.org/officeDocument/2006/relationships" r:embed="rId3">
                  <a:duotone>
                    <a:schemeClr val="accent5"/>
                    <a:prstClr val="white"/>
                  </a:duotone>
                </a:blip>
                <a:stretch>
                  <a:fillRect/>
                </a:stretch>
              </a:blipFill>
              <a:ln>
                <a:noFill/>
              </a:ln>
              <a:effectLst>
                <a:outerShdw blurRad="76200" dir="18900000" sy="23000" kx="-1200000" algn="bl" rotWithShape="0">
                  <a:prstClr val="black">
                    <a:alpha val="10000"/>
                  </a:prstClr>
                </a:outerShdw>
              </a:effectLst>
            </c:spPr>
          </c:dPt>
          <c:dLbls>
            <c:dLbl>
              <c:idx val="0"/>
              <c:layout/>
              <c:numFmt formatCode="General" sourceLinked="1"/>
              <c:spPr>
                <a:solidFill>
                  <a:schemeClr val="accent1"/>
                </a:solid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solidFill>
                  <a:schemeClr val="accent2"/>
                </a:solid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solidFill>
                  <a:schemeClr val="accent3"/>
                </a:solid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solidFill>
                  <a:schemeClr val="accent4"/>
                </a:solid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4"/>
              <c:layout/>
              <c:numFmt formatCode="General" sourceLinked="1"/>
              <c:spPr>
                <a:solidFill>
                  <a:schemeClr val="accent5"/>
                </a:solid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9370" tIns="0" rIns="38100" bIns="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2020年</c:v>
                </c:pt>
                <c:pt idx="1">
                  <c:v>2021年</c:v>
                </c:pt>
                <c:pt idx="2">
                  <c:v>2022年</c:v>
                </c:pt>
                <c:pt idx="3">
                  <c:v>2023年</c:v>
                </c:pt>
                <c:pt idx="4">
                  <c:v>2024年</c:v>
                </c:pt>
              </c:strCache>
            </c:strRef>
          </c:cat>
          <c:val>
            <c:numRef>
              <c:f>Sheet1!$B$2:$B$6</c:f>
              <c:numCache>
                <c:formatCode>General</c:formatCode>
                <c:ptCount val="5"/>
                <c:pt idx="0">
                  <c:v>47</c:v>
                </c:pt>
                <c:pt idx="1">
                  <c:v>75</c:v>
                </c:pt>
                <c:pt idx="2">
                  <c:v>43</c:v>
                </c:pt>
                <c:pt idx="3">
                  <c:v>51</c:v>
                </c:pt>
                <c:pt idx="4">
                  <c:v>48</c:v>
                </c:pt>
              </c:numCache>
            </c:numRef>
          </c:val>
        </c:ser>
        <c:dLbls>
          <c:showLegendKey val="0"/>
          <c:showVal val="1"/>
          <c:showCatName val="0"/>
          <c:showSerName val="0"/>
          <c:showPercent val="0"/>
          <c:showBubbleSize val="0"/>
        </c:dLbls>
        <c:gapWidth val="152"/>
        <c:overlap val="-21"/>
        <c:axId val="658341830"/>
        <c:axId val="450998926"/>
      </c:barChart>
      <c:catAx>
        <c:axId val="658341830"/>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50998926"/>
        <c:crosses val="autoZero"/>
        <c:auto val="1"/>
        <c:lblAlgn val="ctr"/>
        <c:lblOffset val="100"/>
        <c:noMultiLvlLbl val="0"/>
      </c:catAx>
      <c:valAx>
        <c:axId val="45099892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5834183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重要政策文件</a:t>
            </a:r>
          </a:p>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多形式、多角度解读</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a:ln w="28575">
              <a:solidFill>
                <a:sysClr val="window" lastClr="FFFFFF"/>
              </a:solidFill>
              <a:prstDash val="sysDash"/>
            </a:ln>
            <a:sp3d contourW="28575"/>
          </c:spPr>
          <c:explosion val="5"/>
          <c:dPt>
            <c:idx val="0"/>
            <c:bubble3D val="0"/>
            <c:spPr>
              <a:solidFill>
                <a:schemeClr val="accent1"/>
              </a:solidFill>
              <a:ln w="28575">
                <a:solidFill>
                  <a:sysClr val="window" lastClr="FFFFFF"/>
                </a:solidFill>
                <a:prstDash val="sysDash"/>
              </a:ln>
              <a:effectLst/>
              <a:sp3d contourW="28575"/>
            </c:spPr>
          </c:dPt>
          <c:dPt>
            <c:idx val="1"/>
            <c:bubble3D val="0"/>
            <c:spPr>
              <a:solidFill>
                <a:schemeClr val="accent2"/>
              </a:solidFill>
              <a:ln w="28575">
                <a:solidFill>
                  <a:sysClr val="window" lastClr="FFFFFF"/>
                </a:solidFill>
                <a:prstDash val="sysDash"/>
              </a:ln>
              <a:effectLst/>
              <a:sp3d contourW="28575"/>
            </c:spPr>
          </c:dPt>
          <c:dPt>
            <c:idx val="2"/>
            <c:bubble3D val="0"/>
            <c:spPr>
              <a:solidFill>
                <a:schemeClr val="accent3"/>
              </a:solidFill>
              <a:ln w="28575">
                <a:solidFill>
                  <a:sysClr val="window" lastClr="FFFFFF"/>
                </a:solidFill>
                <a:prstDash val="sysDash"/>
              </a:ln>
              <a:effectLst/>
              <a:sp3d contourW="28575"/>
            </c:spPr>
          </c:dPt>
          <c:dPt>
            <c:idx val="3"/>
            <c:bubble3D val="0"/>
            <c:spPr>
              <a:solidFill>
                <a:schemeClr val="accent4"/>
              </a:solidFill>
              <a:ln w="28575">
                <a:solidFill>
                  <a:sysClr val="window" lastClr="FFFFFF"/>
                </a:solidFill>
                <a:prstDash val="sysDash"/>
              </a:ln>
              <a:effectLst/>
              <a:sp3d contourW="28575"/>
            </c:spPr>
          </c:dPt>
          <c:dPt>
            <c:idx val="4"/>
            <c:bubble3D val="0"/>
            <c:spPr>
              <a:solidFill>
                <a:schemeClr val="accent5"/>
              </a:solidFill>
              <a:ln w="28575">
                <a:solidFill>
                  <a:sysClr val="window" lastClr="FFFFFF"/>
                </a:solidFill>
                <a:prstDash val="sysDash"/>
              </a:ln>
              <a:effectLst/>
              <a:sp3d contourW="28575"/>
            </c:spPr>
          </c:dPt>
          <c:dPt>
            <c:idx val="5"/>
            <c:bubble3D val="0"/>
            <c:spPr>
              <a:solidFill>
                <a:schemeClr val="accent6"/>
              </a:solidFill>
              <a:ln w="28575">
                <a:solidFill>
                  <a:sysClr val="window" lastClr="FFFFFF"/>
                </a:solidFill>
                <a:prstDash val="sysDash"/>
              </a:ln>
              <a:effectLst/>
              <a:sp3d contourW="28575"/>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extLst>
                <c:ext xmlns:c15="http://schemas.microsoft.com/office/drawing/2012/chart" uri="{CE6537A1-D6FC-4f65-9D91-7224C49458BB}"/>
              </c:extLst>
            </c:dLbl>
            <c:dLbl>
              <c:idx val="5"/>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新闻发布会</c:v>
                </c:pt>
                <c:pt idx="1">
                  <c:v>专家解读</c:v>
                </c:pt>
                <c:pt idx="2">
                  <c:v>媒体解读</c:v>
                </c:pt>
                <c:pt idx="3">
                  <c:v>一图读懂</c:v>
                </c:pt>
                <c:pt idx="4">
                  <c:v>音频解读</c:v>
                </c:pt>
                <c:pt idx="5">
                  <c:v>动漫视频</c:v>
                </c:pt>
              </c:strCache>
            </c:strRef>
          </c:cat>
          <c:val>
            <c:numRef>
              <c:f>Sheet1!$B$2:$B$7</c:f>
              <c:numCache>
                <c:formatCode>General</c:formatCode>
                <c:ptCount val="6"/>
                <c:pt idx="0">
                  <c:v>4</c:v>
                </c:pt>
                <c:pt idx="1">
                  <c:v>3</c:v>
                </c:pt>
                <c:pt idx="2">
                  <c:v>6</c:v>
                </c:pt>
                <c:pt idx="3">
                  <c:v>10</c:v>
                </c:pt>
                <c:pt idx="4">
                  <c:v>5</c:v>
                </c:pt>
                <c:pt idx="5">
                  <c:v>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接收政府信息依申请公开数量</a:t>
            </a:r>
          </a:p>
        </c:rich>
      </c:tx>
      <c:layout/>
      <c:overlay val="0"/>
      <c:spPr>
        <a:noFill/>
        <a:ln>
          <a:noFill/>
        </a:ln>
        <a:effectLst/>
      </c:spPr>
    </c:title>
    <c:autoTitleDeleted val="0"/>
    <c:plotArea>
      <c:layout/>
      <c:lineChart>
        <c:grouping val="standard"/>
        <c:varyColors val="0"/>
        <c:ser>
          <c:idx val="0"/>
          <c:order val="0"/>
          <c:spPr>
            <a:ln w="34925" cap="rnd" cmpd="sng">
              <a:solidFill>
                <a:schemeClr val="accent1"/>
              </a:solidFill>
              <a:prstDash val="solid"/>
              <a:round/>
              <a:tailEnd type="none"/>
            </a:ln>
            <a:effectLst>
              <a:outerShdw blurRad="50800" dist="127000" dir="5400000" algn="t" rotWithShape="0">
                <a:schemeClr val="accent1">
                  <a:alpha val="40000"/>
                </a:schemeClr>
              </a:outerShdw>
            </a:effectLst>
          </c:spPr>
          <c:marker>
            <c:symbol val="diamond"/>
            <c:size val="8"/>
            <c:spPr>
              <a:solidFill>
                <a:schemeClr val="bg1"/>
              </a:solidFill>
              <a:ln w="34925">
                <a:solidFill>
                  <a:schemeClr val="accent1"/>
                </a:solidFill>
              </a:ln>
              <a:effectLst/>
            </c:spPr>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2020年</c:v>
                </c:pt>
                <c:pt idx="1">
                  <c:v>2021年</c:v>
                </c:pt>
                <c:pt idx="2">
                  <c:v>2022年</c:v>
                </c:pt>
                <c:pt idx="3">
                  <c:v>2023年</c:v>
                </c:pt>
                <c:pt idx="4">
                  <c:v>2024年</c:v>
                </c:pt>
              </c:strCache>
            </c:strRef>
          </c:cat>
          <c:val>
            <c:numRef>
              <c:f>Sheet1!$B$2:$B$6</c:f>
              <c:numCache>
                <c:formatCode>General</c:formatCode>
                <c:ptCount val="5"/>
                <c:pt idx="0">
                  <c:v>9</c:v>
                </c:pt>
                <c:pt idx="1">
                  <c:v>14</c:v>
                </c:pt>
                <c:pt idx="2">
                  <c:v>15</c:v>
                </c:pt>
                <c:pt idx="3">
                  <c:v>28</c:v>
                </c:pt>
                <c:pt idx="4">
                  <c:v>28</c:v>
                </c:pt>
              </c:numCache>
            </c:numRef>
          </c:val>
          <c:smooth val="1"/>
        </c:ser>
        <c:dLbls>
          <c:showLegendKey val="0"/>
          <c:showVal val="0"/>
          <c:showCatName val="0"/>
          <c:showSerName val="0"/>
          <c:showPercent val="0"/>
          <c:showBubbleSize val="0"/>
        </c:dLbls>
        <c:marker val="1"/>
        <c:smooth val="1"/>
        <c:axId val="186493683"/>
        <c:axId val="824365020"/>
      </c:lineChart>
      <c:catAx>
        <c:axId val="186493683"/>
        <c:scaling>
          <c:orientation val="minMax"/>
        </c:scaling>
        <c:delete val="0"/>
        <c:axPos val="b"/>
        <c:minorGridlines>
          <c:spPr>
            <a:ln w="9525" cap="flat" cmpd="sng" algn="ctr">
              <a:solidFill>
                <a:schemeClr val="accent1">
                  <a:lumMod val="40000"/>
                  <a:lumOff val="60000"/>
                  <a:alpha val="50000"/>
                </a:schemeClr>
              </a:solidFill>
              <a:round/>
            </a:ln>
            <a:effectLst/>
          </c:spPr>
        </c:minorGridlines>
        <c:numFmt formatCode="General" sourceLinked="1"/>
        <c:majorTickMark val="none"/>
        <c:minorTickMark val="none"/>
        <c:tickLblPos val="nextTo"/>
        <c:spPr>
          <a:noFill/>
          <a:ln w="6350"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24365020"/>
        <c:crosses val="autoZero"/>
        <c:auto val="1"/>
        <c:lblAlgn val="ctr"/>
        <c:lblOffset val="100"/>
        <c:noMultiLvlLbl val="0"/>
      </c:catAx>
      <c:valAx>
        <c:axId val="824365020"/>
        <c:scaling>
          <c:orientation val="minMax"/>
        </c:scaling>
        <c:delete val="0"/>
        <c:axPos val="l"/>
        <c:majorGridlines>
          <c:spPr>
            <a:ln w="9525" cap="flat" cmpd="sng" algn="ctr">
              <a:solidFill>
                <a:schemeClr val="accent1">
                  <a:lumMod val="40000"/>
                  <a:lumOff val="60000"/>
                  <a:alpha val="50000"/>
                </a:schemeClr>
              </a:solidFill>
              <a:round/>
            </a:ln>
            <a:effectLst/>
          </c:spPr>
        </c:majorGridlines>
        <c:numFmt formatCode="General" sourceLinked="1"/>
        <c:majorTickMark val="out"/>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86493683"/>
        <c:crosses val="autoZero"/>
        <c:crossBetween val="between"/>
      </c:valAx>
      <c:spPr>
        <a:noFill/>
        <a:ln>
          <a:gradFill flip="none" rotWithShape="1">
            <a:gsLst>
              <a:gs pos="50000">
                <a:schemeClr val="accent1">
                  <a:lumMod val="5000"/>
                  <a:lumOff val="95000"/>
                  <a:alpha val="0"/>
                </a:schemeClr>
              </a:gs>
              <a:gs pos="0">
                <a:schemeClr val="accent1"/>
              </a:gs>
              <a:gs pos="100000">
                <a:schemeClr val="accent1"/>
              </a:gs>
            </a:gsLst>
            <a:lin ang="13500000" scaled="1"/>
            <a:tileRect/>
          </a:grad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cap="all"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依申请公开办理情况</a:t>
            </a:r>
          </a:p>
        </c:rich>
      </c:tx>
      <c:layout/>
      <c:overlay val="0"/>
      <c:spPr>
        <a:noFill/>
        <a:ln>
          <a:noFill/>
        </a:ln>
        <a:effectLst/>
      </c:spPr>
    </c:title>
    <c:autoTitleDeleted val="0"/>
    <c:plotArea>
      <c:layout/>
      <c:pieChart>
        <c:varyColors val="1"/>
        <c:ser>
          <c:idx val="0"/>
          <c:order val="0"/>
          <c:tx>
            <c:strRef>
              <c:f>Sheet1!$B$1</c:f>
              <c:strCache>
                <c:ptCount val="1"/>
                <c:pt idx="0">
                  <c:v>依申请公开办理情况</c:v>
                </c:pt>
              </c:strCache>
            </c:strRef>
          </c:tx>
          <c:spPr>
            <a:ln>
              <a:solidFill>
                <a:schemeClr val="bg1"/>
              </a:solidFill>
            </a:ln>
            <a:effectLst>
              <a:glow rad="88900">
                <a:schemeClr val="accent1">
                  <a:satMod val="175000"/>
                  <a:alpha val="40000"/>
                </a:schemeClr>
              </a:glow>
            </a:effectLst>
          </c:spPr>
          <c:explosion val="0"/>
          <c:dPt>
            <c:idx val="0"/>
            <c:bubble3D val="0"/>
            <c:explosion val="10"/>
            <c:spPr>
              <a:solidFill>
                <a:schemeClr val="accent1"/>
              </a:solidFill>
              <a:ln>
                <a:solidFill>
                  <a:schemeClr val="bg1"/>
                </a:solidFill>
              </a:ln>
              <a:effectLst>
                <a:glow rad="88900">
                  <a:schemeClr val="accent1">
                    <a:satMod val="175000"/>
                    <a:alpha val="40000"/>
                  </a:schemeClr>
                </a:glow>
              </a:effectLst>
            </c:spPr>
          </c:dPt>
          <c:dPt>
            <c:idx val="1"/>
            <c:bubble3D val="0"/>
            <c:spPr>
              <a:solidFill>
                <a:schemeClr val="accent2"/>
              </a:solidFill>
              <a:ln>
                <a:solidFill>
                  <a:schemeClr val="bg1"/>
                </a:solidFill>
              </a:ln>
              <a:effectLst>
                <a:glow rad="88900">
                  <a:schemeClr val="accent2">
                    <a:alpha val="40000"/>
                  </a:schemeClr>
                </a:glow>
              </a:effectLst>
            </c:spPr>
          </c:dPt>
          <c:dPt>
            <c:idx val="2"/>
            <c:bubble3D val="0"/>
            <c:spPr>
              <a:solidFill>
                <a:schemeClr val="accent3"/>
              </a:solidFill>
              <a:ln>
                <a:solidFill>
                  <a:schemeClr val="bg1"/>
                </a:solidFill>
              </a:ln>
              <a:effectLst>
                <a:glow rad="88900">
                  <a:schemeClr val="accent3">
                    <a:alpha val="40000"/>
                  </a:schemeClr>
                </a:glow>
              </a:effectLst>
            </c:spPr>
          </c:dPt>
          <c:dPt>
            <c:idx val="3"/>
            <c:bubble3D val="0"/>
            <c:spPr>
              <a:solidFill>
                <a:schemeClr val="accent4"/>
              </a:solidFill>
              <a:ln>
                <a:solidFill>
                  <a:schemeClr val="bg1"/>
                </a:solidFill>
              </a:ln>
              <a:effectLst>
                <a:glow rad="88900">
                  <a:schemeClr val="accent4">
                    <a:alpha val="40000"/>
                  </a:schemeClr>
                </a:glow>
              </a:effectLst>
            </c:spPr>
          </c:dPt>
          <c:dPt>
            <c:idx val="4"/>
            <c:bubble3D val="0"/>
            <c:explosion val="0"/>
            <c:spPr>
              <a:solidFill>
                <a:schemeClr val="accent5"/>
              </a:solidFill>
              <a:ln>
                <a:solidFill>
                  <a:schemeClr val="bg1"/>
                </a:solidFill>
              </a:ln>
              <a:effectLst>
                <a:glow rad="88900">
                  <a:schemeClr val="accent5">
                    <a:alpha val="40000"/>
                  </a:schemeClr>
                </a:glo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spc="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spc="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spc="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spc="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spc="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spc="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予以公开</c:v>
                </c:pt>
                <c:pt idx="1">
                  <c:v>部分公开</c:v>
                </c:pt>
                <c:pt idx="2">
                  <c:v>不予公开</c:v>
                </c:pt>
                <c:pt idx="3">
                  <c:v>无法提供</c:v>
                </c:pt>
                <c:pt idx="4">
                  <c:v>不予处理</c:v>
                </c:pt>
              </c:strCache>
            </c:strRef>
          </c:cat>
          <c:val>
            <c:numRef>
              <c:f>Sheet1!$B$2:$B$6</c:f>
              <c:numCache>
                <c:formatCode>General</c:formatCode>
                <c:ptCount val="5"/>
                <c:pt idx="0">
                  <c:v>8</c:v>
                </c:pt>
                <c:pt idx="1">
                  <c:v>8</c:v>
                </c:pt>
                <c:pt idx="2">
                  <c:v>3</c:v>
                </c:pt>
                <c:pt idx="3">
                  <c:v>7</c:v>
                </c:pt>
                <c:pt idx="4">
                  <c:v>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7">
    <a:dk1>
      <a:srgbClr val="000000"/>
    </a:dk1>
    <a:lt1>
      <a:srgbClr val="FFFFFF"/>
    </a:lt1>
    <a:dk2>
      <a:srgbClr val="44546A"/>
    </a:dk2>
    <a:lt2>
      <a:srgbClr val="E7E6E6"/>
    </a:lt2>
    <a:accent1>
      <a:srgbClr val="A89DEF"/>
    </a:accent1>
    <a:accent2>
      <a:srgbClr val="C9A9EB"/>
    </a:accent2>
    <a:accent3>
      <a:srgbClr val="758CDC"/>
    </a:accent3>
    <a:accent4>
      <a:srgbClr val="8EAAF0"/>
    </a:accent4>
    <a:accent5>
      <a:srgbClr val="77D1E8"/>
    </a:accent5>
    <a:accent6>
      <a:srgbClr val="3CB8EC"/>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5">
    <a:dk1>
      <a:srgbClr val="000000"/>
    </a:dk1>
    <a:lt1>
      <a:srgbClr val="FFFFFF"/>
    </a:lt1>
    <a:dk2>
      <a:srgbClr val="44546A"/>
    </a:dk2>
    <a:lt2>
      <a:srgbClr val="E7E6E6"/>
    </a:lt2>
    <a:accent1>
      <a:srgbClr val="3CB8EC"/>
    </a:accent1>
    <a:accent2>
      <a:srgbClr val="77D1E8"/>
    </a:accent2>
    <a:accent3>
      <a:srgbClr val="FAC114"/>
    </a:accent3>
    <a:accent4>
      <a:srgbClr val="FE961C"/>
    </a:accent4>
    <a:accent5>
      <a:srgbClr val="E15441"/>
    </a:accent5>
    <a:accent6>
      <a:srgbClr val="6775FF"/>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彩色7">
    <a:dk1>
      <a:srgbClr val="000000"/>
    </a:dk1>
    <a:lt1>
      <a:srgbClr val="FFFFFF"/>
    </a:lt1>
    <a:dk2>
      <a:srgbClr val="44546A"/>
    </a:dk2>
    <a:lt2>
      <a:srgbClr val="E7E6E6"/>
    </a:lt2>
    <a:accent1>
      <a:srgbClr val="31BE61"/>
    </a:accent1>
    <a:accent2>
      <a:srgbClr val="FFC800"/>
    </a:accent2>
    <a:accent3>
      <a:srgbClr val="3F7BF9"/>
    </a:accent3>
    <a:accent4>
      <a:srgbClr val="FF5F69"/>
    </a:accent4>
    <a:accent5>
      <a:srgbClr val="644FFF"/>
    </a:accent5>
    <a:accent6>
      <a:srgbClr val="761DF8"/>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4615</Words>
  <Characters>4763</Characters>
  <Lines>0</Lines>
  <Paragraphs>0</Paragraphs>
  <TotalTime>45</TotalTime>
  <ScaleCrop>false</ScaleCrop>
  <LinksUpToDate>false</LinksUpToDate>
  <CharactersWithSpaces>4763</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2022-01-03T06:46:00Z</dcterms:created>
  <dc:creator>听风吹.</dc:creator>
  <cp:lastModifiedBy>曹莎莎</cp:lastModifiedBy>
  <dcterms:modified xsi:type="dcterms:W3CDTF">2025-02-18T16:22:00Z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85C3B8E23B0C4215A381A5CD73C6DD22_13</vt:lpwstr>
  </property>
  <property fmtid="{D5CDD505-2E9C-101B-9397-08002B2CF9AE}" pid="4" name="KSOTemplateDocerSaveRecord">
    <vt:lpwstr>eyJoZGlkIjoiMGE0MTYwMWM5M2RlMTAwOGUwNTM4M2QxNGIzYmQyMWUiLCJ1c2VySWQiOiIyMjk0NzA5NTUifQ==</vt:lpwstr>
  </property>
</Properties>
</file>